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D13" w14:textId="69C5C8DD" w:rsidR="00275F13" w:rsidRPr="008F4DF9" w:rsidRDefault="00C93379" w:rsidP="003439AE">
      <w:pPr>
        <w:pBdr>
          <w:top w:val="single" w:sz="12" w:space="0" w:color="auto" w:shadow="1"/>
          <w:left w:val="single" w:sz="12" w:space="4" w:color="auto" w:shadow="1"/>
          <w:bottom w:val="single" w:sz="12" w:space="1" w:color="auto" w:shadow="1"/>
          <w:right w:val="single" w:sz="4" w:space="1" w:color="auto"/>
        </w:pBdr>
        <w:ind w:right="2790"/>
        <w:rPr>
          <w:bCs/>
        </w:rPr>
      </w:pPr>
      <w:r w:rsidRPr="008F4DF9">
        <w:t xml:space="preserve">LA CONVENCIÓN SOBRE LOS HUMEDALES </w:t>
      </w:r>
    </w:p>
    <w:p w14:paraId="00EA38A3" w14:textId="206CCE3A" w:rsidR="00DF2386" w:rsidRPr="008F4DF9"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8F4DF9">
        <w:t>58ª Reunión del Comité Permanente</w:t>
      </w:r>
    </w:p>
    <w:p w14:paraId="348B6A75" w14:textId="2FE39B15" w:rsidR="00DF2386" w:rsidRPr="008F4DF9"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8F4DF9">
        <w:t>Gland (Suiza), 26 a 30 de octubre de 2020</w:t>
      </w:r>
    </w:p>
    <w:p w14:paraId="637FC88B" w14:textId="77777777" w:rsidR="00DF2386" w:rsidRPr="008F4DF9" w:rsidRDefault="00DF2386" w:rsidP="00633DD5">
      <w:pPr>
        <w:outlineLvl w:val="0"/>
        <w:rPr>
          <w:b/>
        </w:rPr>
      </w:pPr>
    </w:p>
    <w:p w14:paraId="383D711F" w14:textId="7BE441EC" w:rsidR="00DF2386" w:rsidRPr="008F4DF9" w:rsidRDefault="00DF2386" w:rsidP="00633DD5">
      <w:pPr>
        <w:jc w:val="right"/>
        <w:rPr>
          <w:rFonts w:cs="Arial"/>
          <w:sz w:val="28"/>
          <w:szCs w:val="28"/>
        </w:rPr>
      </w:pPr>
      <w:r w:rsidRPr="008F4DF9">
        <w:rPr>
          <w:b/>
          <w:sz w:val="28"/>
          <w:szCs w:val="28"/>
        </w:rPr>
        <w:t>SC58 Doc.8.2</w:t>
      </w:r>
    </w:p>
    <w:p w14:paraId="282994B8" w14:textId="77777777" w:rsidR="00DF2386" w:rsidRPr="008F4DF9" w:rsidRDefault="00DF2386" w:rsidP="00633DD5">
      <w:pPr>
        <w:rPr>
          <w:rFonts w:cs="Arial"/>
          <w:b/>
          <w:sz w:val="28"/>
          <w:szCs w:val="28"/>
        </w:rPr>
      </w:pPr>
    </w:p>
    <w:p w14:paraId="1DEA50B7" w14:textId="389E4D29" w:rsidR="00DF2386" w:rsidRPr="008F4DF9" w:rsidRDefault="00A31490" w:rsidP="00633DD5">
      <w:pPr>
        <w:ind w:left="0" w:firstLine="0"/>
        <w:jc w:val="center"/>
        <w:rPr>
          <w:rFonts w:cs="Arial"/>
          <w:b/>
          <w:sz w:val="28"/>
          <w:szCs w:val="28"/>
        </w:rPr>
      </w:pPr>
      <w:r w:rsidRPr="008F4DF9">
        <w:rPr>
          <w:b/>
          <w:sz w:val="28"/>
          <w:szCs w:val="28"/>
        </w:rPr>
        <w:t>Informe sobre cuestiones financieras, 2019 y 2020</w:t>
      </w:r>
    </w:p>
    <w:p w14:paraId="41274F6D" w14:textId="79329CCA" w:rsidR="00DF2386" w:rsidRPr="008F4DF9" w:rsidRDefault="00DF2386" w:rsidP="00633DD5">
      <w:pPr>
        <w:rPr>
          <w:rFonts w:ascii="Garamond" w:hAnsi="Garamond" w:cs="Arial"/>
        </w:rPr>
      </w:pPr>
    </w:p>
    <w:p w14:paraId="1C1EE55D" w14:textId="3B1B288A" w:rsidR="000C2489" w:rsidRPr="008F4DF9" w:rsidRDefault="000C2489" w:rsidP="00633DD5">
      <w:pPr>
        <w:autoSpaceDE w:val="0"/>
        <w:autoSpaceDN w:val="0"/>
        <w:adjustRightInd w:val="0"/>
        <w:rPr>
          <w:rFonts w:asciiTheme="minorHAnsi" w:eastAsiaTheme="minorHAnsi" w:hAnsiTheme="minorHAnsi" w:cs="Calibri-Bold"/>
          <w:b/>
          <w:bCs/>
        </w:rPr>
      </w:pPr>
      <w:r w:rsidRPr="008F4DF9">
        <w:rPr>
          <w:noProof/>
          <w:lang w:val="en-GB" w:eastAsia="en-GB"/>
        </w:rPr>
        <mc:AlternateContent>
          <mc:Choice Requires="wps">
            <w:drawing>
              <wp:inline distT="0" distB="0" distL="0" distR="0" wp14:anchorId="0606A690" wp14:editId="51768937">
                <wp:extent cx="5888567" cy="5262034"/>
                <wp:effectExtent l="0" t="0" r="17145"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567" cy="5262034"/>
                        </a:xfrm>
                        <a:prstGeom prst="rect">
                          <a:avLst/>
                        </a:prstGeom>
                        <a:solidFill>
                          <a:srgbClr val="FFFFFF"/>
                        </a:solidFill>
                        <a:ln w="9525">
                          <a:solidFill>
                            <a:srgbClr val="000000"/>
                          </a:solidFill>
                          <a:miter lim="800000"/>
                          <a:headEnd/>
                          <a:tailEnd/>
                        </a:ln>
                      </wps:spPr>
                      <wps:txbx>
                        <w:txbxContent>
                          <w:p w14:paraId="042A6F62" w14:textId="77777777" w:rsidR="00C02579" w:rsidRDefault="00C02579" w:rsidP="000C2489">
                            <w:pPr>
                              <w:rPr>
                                <w:b/>
                                <w:bCs/>
                              </w:rPr>
                            </w:pPr>
                            <w:r>
                              <w:rPr>
                                <w:b/>
                                <w:bCs/>
                              </w:rPr>
                              <w:t xml:space="preserve">Acciones solicitadas: </w:t>
                            </w:r>
                          </w:p>
                          <w:p w14:paraId="6AFFC31D" w14:textId="77777777" w:rsidR="00C02579" w:rsidRDefault="00C02579" w:rsidP="000C2489">
                            <w:pPr>
                              <w:pStyle w:val="ColorfulList-Accent11"/>
                              <w:ind w:left="0"/>
                            </w:pPr>
                          </w:p>
                          <w:p w14:paraId="70ED186F" w14:textId="6C0C2A3B" w:rsidR="00C02579" w:rsidRDefault="00C02579" w:rsidP="00275F13">
                            <w:pPr>
                              <w:pStyle w:val="ColorfulList-Accent11"/>
                              <w:ind w:left="0" w:firstLine="0"/>
                              <w:rPr>
                                <w:rFonts w:cs="Calibri"/>
                              </w:rPr>
                            </w:pPr>
                            <w:r>
                              <w:t>Se invita al Comité Permanente a hacer lo siguiente:</w:t>
                            </w:r>
                          </w:p>
                          <w:p w14:paraId="52CF3F8D" w14:textId="77777777" w:rsidR="00C02579" w:rsidRDefault="00C02579" w:rsidP="000C2489">
                            <w:pPr>
                              <w:pStyle w:val="ColorfulList-Accent11"/>
                              <w:ind w:left="0"/>
                              <w:rPr>
                                <w:rFonts w:cs="Calibri"/>
                              </w:rPr>
                            </w:pPr>
                          </w:p>
                          <w:p w14:paraId="73C5ED58" w14:textId="40A163B6" w:rsidR="00C02579" w:rsidRDefault="00C02579" w:rsidP="009C55B1">
                            <w:pPr>
                              <w:pStyle w:val="ColorfulList-Accent11"/>
                              <w:ind w:left="425"/>
                              <w:rPr>
                                <w:rFonts w:cs="Calibri"/>
                              </w:rPr>
                            </w:pPr>
                            <w:r>
                              <w:t>i.</w:t>
                            </w:r>
                            <w:r>
                              <w:tab/>
                              <w:t>examinar y aprobar los estados financieros auditados de 2019 al 31 de diciembre de 2019;</w:t>
                            </w:r>
                          </w:p>
                          <w:p w14:paraId="4FA92D9D" w14:textId="77777777" w:rsidR="00C02579" w:rsidRPr="004142A8" w:rsidRDefault="00C02579" w:rsidP="009C55B1">
                            <w:pPr>
                              <w:pStyle w:val="ColorfulList-Accent11"/>
                              <w:ind w:left="425"/>
                              <w:rPr>
                                <w:rFonts w:cs="Calibri"/>
                              </w:rPr>
                            </w:pPr>
                          </w:p>
                          <w:p w14:paraId="2F2E1948" w14:textId="0A7B10AA" w:rsidR="00C02579" w:rsidRPr="00E27D44" w:rsidRDefault="00C02579" w:rsidP="00AE43C7">
                            <w:pPr>
                              <w:pStyle w:val="ColorfulList-Accent11"/>
                              <w:ind w:left="425"/>
                              <w:rPr>
                                <w:rFonts w:cs="Calibri"/>
                              </w:rPr>
                            </w:pPr>
                            <w:r>
                              <w:t>ii.</w:t>
                            </w:r>
                            <w:r>
                              <w:tab/>
                              <w:t>tomar nota de los resultados del presupuesto básico para 2019;</w:t>
                            </w:r>
                          </w:p>
                          <w:p w14:paraId="79859B48" w14:textId="77777777" w:rsidR="00C02579" w:rsidRPr="00E27D44" w:rsidRDefault="00C02579" w:rsidP="009C55B1">
                            <w:pPr>
                              <w:pStyle w:val="ColorfulList-Accent11"/>
                              <w:ind w:left="425"/>
                              <w:rPr>
                                <w:rFonts w:cs="Calibri"/>
                              </w:rPr>
                            </w:pPr>
                          </w:p>
                          <w:p w14:paraId="168CBB05" w14:textId="0768C55B" w:rsidR="00C02579" w:rsidRPr="00E27D44" w:rsidRDefault="00C02579" w:rsidP="009C55B1">
                            <w:pPr>
                              <w:pStyle w:val="ColorfulList-Accent11"/>
                              <w:ind w:left="425"/>
                              <w:rPr>
                                <w:rFonts w:cs="Calibri"/>
                              </w:rPr>
                            </w:pPr>
                            <w:r>
                              <w:t>iii.</w:t>
                            </w:r>
                            <w:r>
                              <w:tab/>
                              <w:t xml:space="preserve">tomar nota del saldo del presupuesto no básico y las contribuciones voluntarias para 2019; </w:t>
                            </w:r>
                          </w:p>
                          <w:p w14:paraId="6FEB9E62" w14:textId="77777777" w:rsidR="00C02579" w:rsidRPr="00E27D44" w:rsidRDefault="00C02579" w:rsidP="009C55B1">
                            <w:pPr>
                              <w:pStyle w:val="ColorfulList-Accent11"/>
                              <w:ind w:left="425"/>
                              <w:rPr>
                                <w:rFonts w:cs="Calibri"/>
                              </w:rPr>
                            </w:pPr>
                          </w:p>
                          <w:p w14:paraId="2FEF7CD1" w14:textId="44A9912C" w:rsidR="00C02579" w:rsidRPr="00E27D44" w:rsidRDefault="00C02579" w:rsidP="008B2ABF">
                            <w:pPr>
                              <w:pStyle w:val="ColorfulList-Accent11"/>
                              <w:ind w:left="425"/>
                              <w:rPr>
                                <w:rFonts w:cs="Calibri"/>
                              </w:rPr>
                            </w:pPr>
                            <w:r>
                              <w:t>iv.</w:t>
                            </w:r>
                            <w:r>
                              <w:tab/>
                              <w:t>tomar nota de la reasignación del presupuesto de 2019 como se describe en el párrafo 14;</w:t>
                            </w:r>
                          </w:p>
                          <w:p w14:paraId="1CDC3321" w14:textId="1AAD0C6A" w:rsidR="00C02579" w:rsidRDefault="00C02579" w:rsidP="009C55B1">
                            <w:pPr>
                              <w:pStyle w:val="ColorfulList-Accent11"/>
                              <w:ind w:left="425"/>
                              <w:rPr>
                                <w:rFonts w:cs="Calibri"/>
                              </w:rPr>
                            </w:pPr>
                          </w:p>
                          <w:p w14:paraId="7BC1F6ED" w14:textId="54919B95" w:rsidR="00C02579" w:rsidRDefault="00C02579" w:rsidP="009C55B1">
                            <w:pPr>
                              <w:pStyle w:val="ColorfulList-Accent11"/>
                              <w:ind w:left="425"/>
                              <w:rPr>
                                <w:rFonts w:cs="Calibri"/>
                              </w:rPr>
                            </w:pPr>
                            <w:r>
                              <w:t>v.</w:t>
                            </w:r>
                            <w:r>
                              <w:tab/>
                              <w:t>tomar nota de los ajustes de la Secretaría al presupuesto básico aprobado por la COP13 para 2020, que incluye el saldo de la utilización aprobada del excedente del trienio anterior y el traspaso de saldos de 2019 a 2020;</w:t>
                            </w:r>
                          </w:p>
                          <w:p w14:paraId="4B7B762D" w14:textId="58A8B9E4" w:rsidR="00C02579" w:rsidRDefault="00C02579" w:rsidP="009C55B1">
                            <w:pPr>
                              <w:pStyle w:val="ColorfulList-Accent11"/>
                              <w:ind w:left="425"/>
                              <w:rPr>
                                <w:rFonts w:cs="Calibri"/>
                              </w:rPr>
                            </w:pPr>
                          </w:p>
                          <w:p w14:paraId="5BF04D5F" w14:textId="40C38254" w:rsidR="00C02579" w:rsidRDefault="00C02579" w:rsidP="009C55B1">
                            <w:pPr>
                              <w:pStyle w:val="ColorfulList-Accent11"/>
                              <w:ind w:left="425"/>
                              <w:rPr>
                                <w:rFonts w:cs="Calibri"/>
                              </w:rPr>
                            </w:pPr>
                            <w:r>
                              <w:t>vi.</w:t>
                            </w:r>
                            <w:r>
                              <w:tab/>
                              <w:t>Aprobar la asignación de la partida D del presupuesto básico "Apoyo a las iniciativas regionales", como se describe en el párrafo 34;</w:t>
                            </w:r>
                          </w:p>
                          <w:p w14:paraId="61C61C95" w14:textId="77777777" w:rsidR="00C02579" w:rsidRDefault="00C02579" w:rsidP="009C55B1">
                            <w:pPr>
                              <w:pStyle w:val="ColorfulList-Accent11"/>
                              <w:ind w:left="425"/>
                              <w:rPr>
                                <w:rFonts w:cs="Calibri"/>
                              </w:rPr>
                            </w:pPr>
                          </w:p>
                          <w:p w14:paraId="76942774" w14:textId="4D1E88D1" w:rsidR="00C02579" w:rsidRPr="009B3163" w:rsidRDefault="00C02579" w:rsidP="00495842">
                            <w:pPr>
                              <w:pStyle w:val="ColorfulList-Accent11"/>
                              <w:ind w:left="425"/>
                              <w:rPr>
                                <w:rFonts w:cs="Calibri"/>
                              </w:rPr>
                            </w:pPr>
                            <w:r>
                              <w:t>vii.</w:t>
                            </w:r>
                            <w:r>
                              <w:tab/>
                              <w:t>aprobar la asignación de ahorros en el presupuesto básico al examen de las resoluciones, como se describe en el párrafo 35;</w:t>
                            </w:r>
                          </w:p>
                          <w:p w14:paraId="2AA68A7C" w14:textId="77777777" w:rsidR="00C02579" w:rsidRPr="009B3163" w:rsidRDefault="00C02579" w:rsidP="009C55B1">
                            <w:pPr>
                              <w:pStyle w:val="ColorfulList-Accent11"/>
                              <w:ind w:left="425"/>
                              <w:rPr>
                                <w:rFonts w:cs="Calibri"/>
                              </w:rPr>
                            </w:pPr>
                          </w:p>
                          <w:p w14:paraId="32EEABF6" w14:textId="27738A53" w:rsidR="00C02579" w:rsidRPr="009B3163" w:rsidRDefault="00C02579" w:rsidP="009C55B1">
                            <w:pPr>
                              <w:pStyle w:val="ColorfulList-Accent11"/>
                              <w:ind w:left="425"/>
                              <w:rPr>
                                <w:rFonts w:cs="Calibri"/>
                              </w:rPr>
                            </w:pPr>
                            <w:r>
                              <w:t>viii.</w:t>
                            </w:r>
                            <w:r>
                              <w:tab/>
                              <w:t xml:space="preserve">tomar nota de los progresos realizados en la aplicación de las recomendaciones del </w:t>
                            </w:r>
                            <w:r>
                              <w:rPr>
                                <w:i/>
                                <w:iCs/>
                              </w:rPr>
                              <w:t>Examen de la Gestión Financiera de los Fondos Complementarios (de uso restringido)</w:t>
                            </w:r>
                            <w:r>
                              <w:t xml:space="preserve"> de la UICN y aprobar la propuesta sobre la utilización de los honorarios de gestión, como se describe en el párrafo 43; y</w:t>
                            </w:r>
                          </w:p>
                          <w:p w14:paraId="5CC42FAA" w14:textId="77777777" w:rsidR="00C02579" w:rsidRPr="009B3163" w:rsidRDefault="00C02579" w:rsidP="009C55B1">
                            <w:pPr>
                              <w:pStyle w:val="ColorfulList-Accent11"/>
                              <w:ind w:left="425"/>
                              <w:rPr>
                                <w:rFonts w:cs="Calibri"/>
                              </w:rPr>
                            </w:pPr>
                          </w:p>
                          <w:p w14:paraId="06DCBDC2" w14:textId="41DCC4E1" w:rsidR="00C02579" w:rsidRPr="001730E3" w:rsidRDefault="00C02579" w:rsidP="000D3FBF">
                            <w:pPr>
                              <w:pStyle w:val="ColorfulList-Accent11"/>
                              <w:ind w:left="425"/>
                              <w:rPr>
                                <w:rFonts w:cs="Calibri"/>
                              </w:rPr>
                            </w:pPr>
                            <w:r>
                              <w:t>ix.</w:t>
                            </w:r>
                            <w:r>
                              <w:tab/>
                              <w:t>examinar la propuesta del auditor externo sobre la confirmación por parte del grupo de los saldos pendientes de las contribuciones de las Partes Contratantes en aplicación de la Decisión SC57-40, y aprobar la solución propuesta en los párrafos 50 y 51.</w:t>
                            </w: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63.65pt;height:4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">
                <v:textbox>
                  <w:txbxContent>
                    <w:p w14:paraId="042A6F62" w14:textId="77777777" w:rsidR="00C02579" w:rsidRDefault="00C02579" w:rsidP="000C2489">
                      <w:pPr>
                        <w:rPr>
                          <w:b/>
                          <w:bCs/>
                        </w:rPr>
                      </w:pPr>
                      <w:r>
                        <w:rPr>
                          <w:b/>
                          <w:bCs/>
                        </w:rPr>
                        <w:t xml:space="preserve">Acciones solicitadas: </w:t>
                      </w:r>
                    </w:p>
                    <w:p w14:paraId="6AFFC31D" w14:textId="77777777" w:rsidR="00C02579" w:rsidRDefault="00C02579" w:rsidP="000C2489">
                      <w:pPr>
                        <w:pStyle w:val="ColorfulList-Accent11"/>
                        <w:ind w:left="0"/>
                      </w:pPr>
                    </w:p>
                    <w:p w14:paraId="70ED186F" w14:textId="6C0C2A3B" w:rsidR="00C02579" w:rsidRDefault="00C02579" w:rsidP="00275F13">
                      <w:pPr>
                        <w:pStyle w:val="ColorfulList-Accent11"/>
                        <w:ind w:left="0" w:firstLine="0"/>
                        <w:rPr>
                          <w:rFonts w:cs="Calibri"/>
                        </w:rPr>
                      </w:pPr>
                      <w:r>
                        <w:t>Se invita al Comité Permanente a hacer lo siguiente:</w:t>
                      </w:r>
                    </w:p>
                    <w:p w14:paraId="52CF3F8D" w14:textId="77777777" w:rsidR="00C02579" w:rsidRDefault="00C02579" w:rsidP="000C2489">
                      <w:pPr>
                        <w:pStyle w:val="ColorfulList-Accent11"/>
                        <w:ind w:left="0"/>
                        <w:rPr>
                          <w:rFonts w:cs="Calibri"/>
                        </w:rPr>
                      </w:pPr>
                    </w:p>
                    <w:p w14:paraId="73C5ED58" w14:textId="40A163B6" w:rsidR="00C02579" w:rsidRDefault="00C02579" w:rsidP="009C55B1">
                      <w:pPr>
                        <w:pStyle w:val="ColorfulList-Accent11"/>
                        <w:ind w:left="425"/>
                        <w:rPr>
                          <w:rFonts w:cs="Calibri"/>
                        </w:rPr>
                      </w:pPr>
                      <w:r>
                        <w:t>i.</w:t>
                      </w:r>
                      <w:r>
                        <w:tab/>
                        <w:t>examinar y aprobar los estados financieros auditados de 2019 al 31 de diciembre de 2019;</w:t>
                      </w:r>
                    </w:p>
                    <w:p w14:paraId="4FA92D9D" w14:textId="77777777" w:rsidR="00C02579" w:rsidRPr="004142A8" w:rsidRDefault="00C02579" w:rsidP="009C55B1">
                      <w:pPr>
                        <w:pStyle w:val="ColorfulList-Accent11"/>
                        <w:ind w:left="425"/>
                        <w:rPr>
                          <w:rFonts w:cs="Calibri"/>
                        </w:rPr>
                      </w:pPr>
                    </w:p>
                    <w:p w14:paraId="2F2E1948" w14:textId="0A7B10AA" w:rsidR="00C02579" w:rsidRPr="00E27D44" w:rsidRDefault="00C02579" w:rsidP="00AE43C7">
                      <w:pPr>
                        <w:pStyle w:val="ColorfulList-Accent11"/>
                        <w:ind w:left="425"/>
                        <w:rPr>
                          <w:rFonts w:cs="Calibri"/>
                        </w:rPr>
                      </w:pPr>
                      <w:r>
                        <w:t>ii.</w:t>
                      </w:r>
                      <w:r>
                        <w:tab/>
                        <w:t>tomar nota de los resultados del presupuesto básico para 2019;</w:t>
                      </w:r>
                    </w:p>
                    <w:p w14:paraId="79859B48" w14:textId="77777777" w:rsidR="00C02579" w:rsidRPr="00E27D44" w:rsidRDefault="00C02579" w:rsidP="009C55B1">
                      <w:pPr>
                        <w:pStyle w:val="ColorfulList-Accent11"/>
                        <w:ind w:left="425"/>
                        <w:rPr>
                          <w:rFonts w:cs="Calibri"/>
                        </w:rPr>
                      </w:pPr>
                    </w:p>
                    <w:p w14:paraId="168CBB05" w14:textId="0768C55B" w:rsidR="00C02579" w:rsidRPr="00E27D44" w:rsidRDefault="00C02579" w:rsidP="009C55B1">
                      <w:pPr>
                        <w:pStyle w:val="ColorfulList-Accent11"/>
                        <w:ind w:left="425"/>
                        <w:rPr>
                          <w:rFonts w:cs="Calibri"/>
                        </w:rPr>
                      </w:pPr>
                      <w:r>
                        <w:t>iii.</w:t>
                      </w:r>
                      <w:r>
                        <w:tab/>
                        <w:t xml:space="preserve">tomar nota del saldo del presupuesto no básico y las contribuciones voluntarias para 2019; </w:t>
                      </w:r>
                    </w:p>
                    <w:p w14:paraId="6FEB9E62" w14:textId="77777777" w:rsidR="00C02579" w:rsidRPr="00E27D44" w:rsidRDefault="00C02579" w:rsidP="009C55B1">
                      <w:pPr>
                        <w:pStyle w:val="ColorfulList-Accent11"/>
                        <w:ind w:left="425"/>
                        <w:rPr>
                          <w:rFonts w:cs="Calibri"/>
                        </w:rPr>
                      </w:pPr>
                    </w:p>
                    <w:p w14:paraId="2FEF7CD1" w14:textId="44A9912C" w:rsidR="00C02579" w:rsidRPr="00E27D44" w:rsidRDefault="00C02579" w:rsidP="008B2ABF">
                      <w:pPr>
                        <w:pStyle w:val="ColorfulList-Accent11"/>
                        <w:ind w:left="425"/>
                        <w:rPr>
                          <w:rFonts w:cs="Calibri"/>
                        </w:rPr>
                      </w:pPr>
                      <w:r>
                        <w:t>iv.</w:t>
                      </w:r>
                      <w:r>
                        <w:tab/>
                        <w:t>tomar nota de la reasignación del presupuesto de 2019 como se describe en el párrafo 14;</w:t>
                      </w:r>
                    </w:p>
                    <w:p w14:paraId="1CDC3321" w14:textId="1AAD0C6A" w:rsidR="00C02579" w:rsidRDefault="00C02579" w:rsidP="009C55B1">
                      <w:pPr>
                        <w:pStyle w:val="ColorfulList-Accent11"/>
                        <w:ind w:left="425"/>
                        <w:rPr>
                          <w:rFonts w:cs="Calibri"/>
                        </w:rPr>
                      </w:pPr>
                    </w:p>
                    <w:p w14:paraId="7BC1F6ED" w14:textId="54919B95" w:rsidR="00C02579" w:rsidRDefault="00C02579" w:rsidP="009C55B1">
                      <w:pPr>
                        <w:pStyle w:val="ColorfulList-Accent11"/>
                        <w:ind w:left="425"/>
                        <w:rPr>
                          <w:rFonts w:cs="Calibri"/>
                        </w:rPr>
                      </w:pPr>
                      <w:r>
                        <w:t>v.</w:t>
                      </w:r>
                      <w:r>
                        <w:tab/>
                        <w:t>tomar nota de los ajustes de la Secretaría al presupuesto básico aprobado por la COP13 para 2020, que incluye el saldo de la utilización aprobada del excedente del trienio anterior y el traspaso de saldos de 2019 a 2020;</w:t>
                      </w:r>
                    </w:p>
                    <w:p w14:paraId="4B7B762D" w14:textId="58A8B9E4" w:rsidR="00C02579" w:rsidRDefault="00C02579" w:rsidP="009C55B1">
                      <w:pPr>
                        <w:pStyle w:val="ColorfulList-Accent11"/>
                        <w:ind w:left="425"/>
                        <w:rPr>
                          <w:rFonts w:cs="Calibri"/>
                        </w:rPr>
                      </w:pPr>
                    </w:p>
                    <w:p w14:paraId="5BF04D5F" w14:textId="40C38254" w:rsidR="00C02579" w:rsidRDefault="00C02579" w:rsidP="009C55B1">
                      <w:pPr>
                        <w:pStyle w:val="ColorfulList-Accent11"/>
                        <w:ind w:left="425"/>
                        <w:rPr>
                          <w:rFonts w:cs="Calibri"/>
                        </w:rPr>
                      </w:pPr>
                      <w:r>
                        <w:t>vi.</w:t>
                      </w:r>
                      <w:r>
                        <w:tab/>
                        <w:t>Aprobar la asignación de la partida D del presupuesto básico "Apoyo a las iniciativas regionales", como se describe en el párrafo 34;</w:t>
                      </w:r>
                    </w:p>
                    <w:p w14:paraId="61C61C95" w14:textId="77777777" w:rsidR="00C02579" w:rsidRDefault="00C02579" w:rsidP="009C55B1">
                      <w:pPr>
                        <w:pStyle w:val="ColorfulList-Accent11"/>
                        <w:ind w:left="425"/>
                        <w:rPr>
                          <w:rFonts w:cs="Calibri"/>
                        </w:rPr>
                      </w:pPr>
                    </w:p>
                    <w:p w14:paraId="76942774" w14:textId="4D1E88D1" w:rsidR="00C02579" w:rsidRPr="009B3163" w:rsidRDefault="00C02579" w:rsidP="00495842">
                      <w:pPr>
                        <w:pStyle w:val="ColorfulList-Accent11"/>
                        <w:ind w:left="425"/>
                        <w:rPr>
                          <w:rFonts w:cs="Calibri"/>
                        </w:rPr>
                      </w:pPr>
                      <w:r>
                        <w:t>vii.</w:t>
                      </w:r>
                      <w:r>
                        <w:tab/>
                        <w:t>aprobar la asignación de ahorros en el presupuesto básico al examen de las resoluciones, como se describe en el párrafo 35;</w:t>
                      </w:r>
                    </w:p>
                    <w:p w14:paraId="2AA68A7C" w14:textId="77777777" w:rsidR="00C02579" w:rsidRPr="009B3163" w:rsidRDefault="00C02579" w:rsidP="009C55B1">
                      <w:pPr>
                        <w:pStyle w:val="ColorfulList-Accent11"/>
                        <w:ind w:left="425"/>
                        <w:rPr>
                          <w:rFonts w:cs="Calibri"/>
                        </w:rPr>
                      </w:pPr>
                    </w:p>
                    <w:p w14:paraId="32EEABF6" w14:textId="27738A53" w:rsidR="00C02579" w:rsidRPr="009B3163" w:rsidRDefault="00C02579" w:rsidP="009C55B1">
                      <w:pPr>
                        <w:pStyle w:val="ColorfulList-Accent11"/>
                        <w:ind w:left="425"/>
                        <w:rPr>
                          <w:rFonts w:cs="Calibri"/>
                        </w:rPr>
                      </w:pPr>
                      <w:r>
                        <w:t>viii.</w:t>
                      </w:r>
                      <w:r>
                        <w:tab/>
                        <w:t xml:space="preserve">tomar nota de los progresos realizados en la aplicación de las recomendaciones del </w:t>
                      </w:r>
                      <w:r>
                        <w:rPr>
                          <w:i/>
                          <w:iCs/>
                        </w:rPr>
                        <w:t>Examen de la Gestión Financiera de los Fondos Complementarios (de uso restringido)</w:t>
                      </w:r>
                      <w:r>
                        <w:t xml:space="preserve"> de la UICN y aprobar la propuesta sobre la utilización de los honorarios de gestión, como se describe en el párrafo 43; y</w:t>
                      </w:r>
                    </w:p>
                    <w:p w14:paraId="5CC42FAA" w14:textId="77777777" w:rsidR="00C02579" w:rsidRPr="009B3163" w:rsidRDefault="00C02579" w:rsidP="009C55B1">
                      <w:pPr>
                        <w:pStyle w:val="ColorfulList-Accent11"/>
                        <w:ind w:left="425"/>
                        <w:rPr>
                          <w:rFonts w:cs="Calibri"/>
                        </w:rPr>
                      </w:pPr>
                    </w:p>
                    <w:p w14:paraId="06DCBDC2" w14:textId="41DCC4E1" w:rsidR="00C02579" w:rsidRPr="001730E3" w:rsidRDefault="00C02579" w:rsidP="000D3FBF">
                      <w:pPr>
                        <w:pStyle w:val="ColorfulList-Accent11"/>
                        <w:ind w:left="425"/>
                        <w:rPr>
                          <w:rFonts w:cs="Calibri"/>
                        </w:rPr>
                      </w:pPr>
                      <w:r>
                        <w:t>ix.</w:t>
                      </w:r>
                      <w:r>
                        <w:tab/>
                        <w:t>examinar la propuesta del auditor externo sobre la confirmación por parte del grupo de los saldos pendientes de las contribuciones de las Partes Contratantes en aplicación de la Decisión SC57-40, y aprobar la solución propuesta en los párrafos 50 y 51.</w:t>
                      </w:r>
                    </w:p>
                  </w:txbxContent>
                </v:textbox>
                <w10:anchorlock/>
              </v:shape>
            </w:pict>
          </mc:Fallback>
        </mc:AlternateContent>
      </w:r>
    </w:p>
    <w:p w14:paraId="6851CF50" w14:textId="77777777" w:rsidR="009E0AE8" w:rsidRPr="008F4DF9" w:rsidRDefault="009E0AE8" w:rsidP="00162710">
      <w:pPr>
        <w:ind w:left="0" w:firstLine="0"/>
        <w:rPr>
          <w:rFonts w:cs="Arial"/>
          <w:b/>
        </w:rPr>
      </w:pPr>
    </w:p>
    <w:p w14:paraId="258B288D" w14:textId="6F7E4322" w:rsidR="00A31490" w:rsidRPr="008F4DF9" w:rsidRDefault="00A31490" w:rsidP="00162710">
      <w:pPr>
        <w:rPr>
          <w:rFonts w:cs="Arial"/>
          <w:b/>
        </w:rPr>
      </w:pPr>
    </w:p>
    <w:p w14:paraId="669F5FB2" w14:textId="77777777" w:rsidR="00EE484E" w:rsidRPr="008F4DF9" w:rsidRDefault="00EE484E" w:rsidP="00162710">
      <w:pPr>
        <w:rPr>
          <w:rFonts w:cs="Arial"/>
          <w:b/>
        </w:rPr>
      </w:pPr>
      <w:r w:rsidRPr="008F4DF9">
        <w:rPr>
          <w:b/>
        </w:rPr>
        <w:t>Antecedentes</w:t>
      </w:r>
    </w:p>
    <w:p w14:paraId="0B270B88" w14:textId="77777777" w:rsidR="00A31490" w:rsidRPr="008F4DF9" w:rsidRDefault="00A31490" w:rsidP="00162710">
      <w:pPr>
        <w:rPr>
          <w:rFonts w:cs="Arial"/>
        </w:rPr>
      </w:pPr>
    </w:p>
    <w:p w14:paraId="73F2080A" w14:textId="7F1F2A9F" w:rsidR="00B60B96" w:rsidRPr="008F4DF9" w:rsidRDefault="00112F62" w:rsidP="00162710">
      <w:pPr>
        <w:rPr>
          <w:rFonts w:cs="Arial"/>
        </w:rPr>
      </w:pPr>
      <w:r w:rsidRPr="008F4DF9">
        <w:t>1.</w:t>
      </w:r>
      <w:r w:rsidRPr="008F4DF9">
        <w:tab/>
        <w:t>El presente informe trata sobre cuestiones financieras relativas a los presupuestos básico y no básico de la Convención sobre los Humedales para 2019 y 2020, y a los resultados en 2019.</w:t>
      </w:r>
    </w:p>
    <w:p w14:paraId="272B6B35" w14:textId="77777777" w:rsidR="00A31490" w:rsidRPr="008F4DF9" w:rsidRDefault="00A31490" w:rsidP="00162710">
      <w:pPr>
        <w:rPr>
          <w:rFonts w:cs="Arial"/>
        </w:rPr>
      </w:pPr>
    </w:p>
    <w:p w14:paraId="47BCA898" w14:textId="4A408CB9" w:rsidR="001730E3" w:rsidRPr="008F4DF9" w:rsidRDefault="00112F62" w:rsidP="00162710">
      <w:pPr>
        <w:rPr>
          <w:rFonts w:cs="Arial"/>
        </w:rPr>
      </w:pPr>
      <w:r w:rsidRPr="008F4DF9">
        <w:t>2.</w:t>
      </w:r>
      <w:r w:rsidRPr="008F4DF9">
        <w:tab/>
        <w:t xml:space="preserve">Los auditores externos han validado nuevas mejoras en la gestión financiera de la Secretaría, y ya se han cerrado todas las cuestiones que estaban pendientes antes de que la Secretaria General tomara posesión de su cargo en 2016. También se está haciendo un seguimiento de los resultados positivos del </w:t>
      </w:r>
      <w:r w:rsidRPr="008F4DF9">
        <w:rPr>
          <w:i/>
          <w:iCs/>
        </w:rPr>
        <w:t xml:space="preserve">Examen de la Gestión Financiera de los Fondos Complementarios (de </w:t>
      </w:r>
      <w:r w:rsidRPr="008F4DF9">
        <w:rPr>
          <w:i/>
          <w:iCs/>
        </w:rPr>
        <w:lastRenderedPageBreak/>
        <w:t>uso restringido)</w:t>
      </w:r>
      <w:r w:rsidRPr="008F4DF9">
        <w:t xml:space="preserve"> de la UICN realizada por la Unidad de Supervisión de la UICN y presentado al Comité Permanente en su 55</w:t>
      </w:r>
      <w:r w:rsidRPr="008F4DF9">
        <w:rPr>
          <w:vertAlign w:val="superscript"/>
        </w:rPr>
        <w:t>a</w:t>
      </w:r>
      <w:r w:rsidRPr="008F4DF9">
        <w:t xml:space="preserve"> reunión (SC55) (véase el párrafo 40). Se han actualizado las responsabilidades internas y la atribución de controles entre la UICN y la Secretaría. La Secretaría ha reforzado su capacidad con la contratación de un responsable de finanzas y un auxiliar contable y financiero a tiempo completo en 2019. Se han seguido mejorando los procesos y se han elaborado orientaciones, de conformidad con las políticas y procedimientos de la UICN, cuando procedía. </w:t>
      </w:r>
    </w:p>
    <w:p w14:paraId="42319817" w14:textId="77777777" w:rsidR="00FC40CB" w:rsidRPr="008F4DF9" w:rsidRDefault="00FC40CB" w:rsidP="00FC40CB">
      <w:pPr>
        <w:keepNext/>
        <w:ind w:left="0" w:firstLine="0"/>
        <w:rPr>
          <w:rFonts w:cs="Arial"/>
          <w:b/>
        </w:rPr>
      </w:pPr>
    </w:p>
    <w:p w14:paraId="34F18BE8" w14:textId="2BE538C1" w:rsidR="006656E1" w:rsidRPr="008F4DF9" w:rsidRDefault="00BB5CF1" w:rsidP="00FC40CB">
      <w:pPr>
        <w:keepNext/>
        <w:ind w:left="0" w:firstLine="0"/>
        <w:rPr>
          <w:rFonts w:cs="Arial"/>
          <w:b/>
        </w:rPr>
      </w:pPr>
      <w:r w:rsidRPr="008F4DF9">
        <w:rPr>
          <w:b/>
        </w:rPr>
        <w:t>Resultados de 2019: presupuesto básico</w:t>
      </w:r>
    </w:p>
    <w:p w14:paraId="31910A04" w14:textId="26441FE7" w:rsidR="002F2543" w:rsidRPr="008F4DF9" w:rsidRDefault="002F2543" w:rsidP="00162710">
      <w:pPr>
        <w:pStyle w:val="NoSpacing"/>
        <w:rPr>
          <w:b/>
        </w:rPr>
      </w:pPr>
    </w:p>
    <w:p w14:paraId="71AB184A" w14:textId="4EEC48B0" w:rsidR="00EC32C4" w:rsidRPr="008F4DF9" w:rsidRDefault="00C42F6F" w:rsidP="00162710">
      <w:r w:rsidRPr="008F4DF9">
        <w:t>3.</w:t>
      </w:r>
      <w:r w:rsidRPr="008F4DF9">
        <w:tab/>
        <w:t xml:space="preserve">Los estados financieros auditados de 2019 se incluyen en el anexo 1. El resumen de los resultados del presupuesto básico de 2019 se adjunta en el anexo 2. En la columna A figura el presupuesto para 2019 de 5 081 000 francos suizos aprobado mediante la Resolución XIII.2 sobre </w:t>
      </w:r>
      <w:r w:rsidRPr="008F4DF9">
        <w:rPr>
          <w:i/>
          <w:iCs/>
        </w:rPr>
        <w:t>Cuestiones financieras y presupuestarias</w:t>
      </w:r>
      <w:r w:rsidRPr="008F4DF9">
        <w:t>.</w:t>
      </w:r>
    </w:p>
    <w:p w14:paraId="30070520" w14:textId="77777777" w:rsidR="00FC40CB" w:rsidRPr="008F4DF9" w:rsidRDefault="00FC40CB" w:rsidP="00FC40CB"/>
    <w:p w14:paraId="1E806F53" w14:textId="49B658D8" w:rsidR="00AC6729" w:rsidRPr="008F4DF9" w:rsidRDefault="00FC40CB" w:rsidP="00DA7BE0">
      <w:r w:rsidRPr="008F4DF9">
        <w:t>4.</w:t>
      </w:r>
      <w:r w:rsidRPr="008F4DF9">
        <w:tab/>
        <w:t>En la columna B del anexo 2 se indica la utilización autorizada del excedente de 76 000 francos suizos durante el año, de conformidad con el párrafo 15 de la resolución XIII.2, mientras que en la columna C se indican los saldos comprometidos para 2018 y la utilización autorizada de los excedentes por un total de 851 000 francos suizos. Este total incluye el empleo de los fondos aprobados en años anteriores en las siguientes áreas: Grupo de Trabajo sobre la Eficacia (párrafo 16 de la Resolución XIII.2); compromisos del presupuesto de 2018 (traspasados a 2019); y</w:t>
      </w:r>
    </w:p>
    <w:p w14:paraId="6F87BFEA" w14:textId="5815D714" w:rsidR="00EC32C4" w:rsidRPr="008F4DF9" w:rsidRDefault="00DA7BE0" w:rsidP="00DA7BE0">
      <w:pPr>
        <w:ind w:firstLine="0"/>
      </w:pPr>
      <w:r w:rsidRPr="008F4DF9">
        <w:t>corrección para las Iniciativas Regionales de Ramsar (IRR) y uso autorizado del excedente en la reunión SC57 (véase el Anexo 9.2 del Informe de la reunión SC57, aprobado mediante la Decisión 57-47).</w:t>
      </w:r>
    </w:p>
    <w:p w14:paraId="455530B8" w14:textId="146A7EC7" w:rsidR="00504DE2" w:rsidRPr="008F4DF9" w:rsidRDefault="00504DE2" w:rsidP="00162710">
      <w:pPr>
        <w:ind w:left="0" w:firstLine="0"/>
      </w:pPr>
    </w:p>
    <w:p w14:paraId="11F5D800" w14:textId="1AB53AFF" w:rsidR="009B7477" w:rsidRPr="008F4DF9" w:rsidRDefault="00FC40CB" w:rsidP="00FC40CB">
      <w:r w:rsidRPr="008F4DF9">
        <w:t>5.</w:t>
      </w:r>
      <w:r w:rsidRPr="008F4DF9">
        <w:tab/>
        <w:t>El presupuesto total disponible para 2019 era, por tanto, de 6 008 000 francos suizos. En el anexo 2 se muestran también los ingresos y gastos definitivos en 2019 confirmados por los estados financieros (anexo 1) y el saldo al 31 de diciembre de 2019 para cada partida y categoría presupuestaria.</w:t>
      </w:r>
    </w:p>
    <w:p w14:paraId="6041D318" w14:textId="46A189F6" w:rsidR="00CC24F5" w:rsidRPr="008F4DF9" w:rsidRDefault="00CC24F5" w:rsidP="00162710"/>
    <w:p w14:paraId="584C2180" w14:textId="31FCD01C" w:rsidR="00C0407F" w:rsidRPr="008F4DF9" w:rsidRDefault="00FC40CB" w:rsidP="00162710">
      <w:r w:rsidRPr="008F4DF9">
        <w:t>6.</w:t>
      </w:r>
      <w:r w:rsidRPr="008F4DF9">
        <w:tab/>
        <w:t>Se invita al Comité Permanente a que examine y acepte los estados financieros auditados de 2019 (anexo 1). Los estados financieros auditados completos de 2019, incluidas las notas y el dictamen de los auditores, han sido publicados en el sitio web de la Convención</w:t>
      </w:r>
      <w:r w:rsidR="00CB6134" w:rsidRPr="008F4DF9">
        <w:rPr>
          <w:rStyle w:val="FootnoteReference"/>
        </w:rPr>
        <w:footnoteReference w:id="1"/>
      </w:r>
      <w:r w:rsidRPr="008F4DF9">
        <w:t>.</w:t>
      </w:r>
    </w:p>
    <w:p w14:paraId="2617A8F7" w14:textId="77777777" w:rsidR="004C6D8E" w:rsidRPr="008F4DF9" w:rsidRDefault="004C6D8E" w:rsidP="00162710"/>
    <w:p w14:paraId="1DBFA619" w14:textId="1F9B4522" w:rsidR="00F1556C" w:rsidRPr="008F4DF9" w:rsidRDefault="00FC40CB" w:rsidP="00F1556C">
      <w:r w:rsidRPr="008F4DF9">
        <w:t>7.</w:t>
      </w:r>
      <w:r w:rsidRPr="008F4DF9">
        <w:tab/>
        <w:t>Al final de 2019, el presupuesto básico arrojaba un excedente de 1 488 000 francos suizos. Esto incluía 588 000 francos suizos de fondos previamente comprometidos de 2019 a gastar en 2020, una reducción por el déficit neto de ingresos y diferencias de redondeo de 19 000 francos suizos, y 919 000 francos suizos de fondos no comprometidos o no gastados. En el cuadro 1 se presenta un resumen de los fondos previamente comprometidos y no comprometidos transferidos del presupuesto básico de 2019.</w:t>
      </w:r>
    </w:p>
    <w:p w14:paraId="6F1E828A" w14:textId="3C263A87" w:rsidR="00882609" w:rsidRPr="008F4DF9" w:rsidRDefault="00882609" w:rsidP="00162710"/>
    <w:p w14:paraId="552CF735" w14:textId="188D3F4C" w:rsidR="00030DC9" w:rsidRPr="008F4DF9" w:rsidRDefault="00FC40CB" w:rsidP="00FC40CB">
      <w:r w:rsidRPr="008F4DF9">
        <w:t>8.</w:t>
      </w:r>
      <w:r w:rsidRPr="008F4DF9">
        <w:tab/>
        <w:t xml:space="preserve">El Comité Permanente, en su decisión SC57-50, decidió que los saldos no comprometidos o no gastados de las partidas presupuestarias se podrían transferir al año siguiente dentro del trienio y presentar a la siguiente reunión del Subgrupo de Finanzas. Por consiguiente, el total de los saldos no comprometidos o no gastados se transfiere a 2020. </w:t>
      </w:r>
    </w:p>
    <w:p w14:paraId="4E6C1B11" w14:textId="40E278BA" w:rsidR="00C730BF" w:rsidRPr="008F4DF9" w:rsidRDefault="00C730BF" w:rsidP="00162710"/>
    <w:p w14:paraId="679F885E" w14:textId="77777777" w:rsidR="00163F72" w:rsidRPr="008F4DF9" w:rsidRDefault="00163F72">
      <w:pPr>
        <w:rPr>
          <w:i/>
        </w:rPr>
      </w:pPr>
      <w:r w:rsidRPr="008F4DF9">
        <w:br w:type="page"/>
      </w:r>
    </w:p>
    <w:p w14:paraId="0324CA37" w14:textId="436A7F39" w:rsidR="00E74FC5" w:rsidRPr="008F4DF9" w:rsidRDefault="00C946CD" w:rsidP="00162710">
      <w:pPr>
        <w:ind w:left="0" w:firstLine="0"/>
        <w:rPr>
          <w:rFonts w:eastAsia="Times New Roman" w:cs="Calibri"/>
          <w:color w:val="000000"/>
          <w:sz w:val="20"/>
          <w:szCs w:val="20"/>
        </w:rPr>
      </w:pPr>
      <w:r w:rsidRPr="008F4DF9">
        <w:rPr>
          <w:i/>
        </w:rPr>
        <w:lastRenderedPageBreak/>
        <w:t>Cuadro 1: Resumen de los fondos previamente comprometidos y no comprometidos transferidos del presupuesto básico de 2019 (en miles de francos suizos, con posibles diferencias de redondeo)</w:t>
      </w:r>
    </w:p>
    <w:tbl>
      <w:tblPr>
        <w:tblW w:w="9356" w:type="dxa"/>
        <w:tblInd w:w="-147" w:type="dxa"/>
        <w:tblLayout w:type="fixed"/>
        <w:tblCellMar>
          <w:top w:w="28" w:type="dxa"/>
          <w:left w:w="28" w:type="dxa"/>
          <w:bottom w:w="28" w:type="dxa"/>
          <w:right w:w="28" w:type="dxa"/>
        </w:tblCellMar>
        <w:tblLook w:val="04A0" w:firstRow="1" w:lastRow="0" w:firstColumn="1" w:lastColumn="0" w:noHBand="0" w:noVBand="1"/>
      </w:tblPr>
      <w:tblGrid>
        <w:gridCol w:w="1554"/>
        <w:gridCol w:w="1418"/>
        <w:gridCol w:w="1417"/>
        <w:gridCol w:w="1276"/>
        <w:gridCol w:w="3691"/>
      </w:tblGrid>
      <w:tr w:rsidR="00FC40CB" w:rsidRPr="00C02579" w14:paraId="3EA61A0A" w14:textId="77777777" w:rsidTr="00C02579">
        <w:trPr>
          <w:cantSplit/>
          <w:tblHeader/>
        </w:trPr>
        <w:tc>
          <w:tcPr>
            <w:tcW w:w="155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ED3D6FB" w14:textId="77777777" w:rsidR="00FC40CB" w:rsidRPr="00C02579" w:rsidRDefault="00FC40CB" w:rsidP="00D67522">
            <w:pPr>
              <w:ind w:left="0" w:firstLine="0"/>
              <w:jc w:val="center"/>
              <w:rPr>
                <w:rFonts w:asciiTheme="minorHAnsi" w:eastAsia="Times New Roman" w:hAnsiTheme="minorHAnsi" w:cstheme="minorHAnsi"/>
                <w:b/>
                <w:bCs/>
                <w:color w:val="000000"/>
                <w:spacing w:val="-4"/>
                <w:sz w:val="20"/>
                <w:szCs w:val="20"/>
              </w:rPr>
            </w:pPr>
            <w:r w:rsidRPr="00C02579">
              <w:rPr>
                <w:rFonts w:asciiTheme="minorHAnsi" w:hAnsiTheme="minorHAnsi"/>
                <w:b/>
                <w:bCs/>
                <w:color w:val="000000"/>
                <w:spacing w:val="-4"/>
                <w:sz w:val="20"/>
                <w:szCs w:val="20"/>
              </w:rPr>
              <w:t>Categoría / Departamento</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14:paraId="0FEB230B" w14:textId="282B41C7" w:rsidR="00FC40CB" w:rsidRPr="00C02579" w:rsidRDefault="00FC40CB" w:rsidP="0068105F">
            <w:pPr>
              <w:ind w:left="0" w:firstLine="0"/>
              <w:jc w:val="center"/>
              <w:rPr>
                <w:rFonts w:asciiTheme="minorHAnsi" w:eastAsia="Times New Roman" w:hAnsiTheme="minorHAnsi" w:cstheme="minorHAnsi"/>
                <w:b/>
                <w:bCs/>
                <w:spacing w:val="-4"/>
                <w:sz w:val="20"/>
                <w:szCs w:val="20"/>
              </w:rPr>
            </w:pPr>
            <w:r w:rsidRPr="00C02579">
              <w:rPr>
                <w:rFonts w:asciiTheme="minorHAnsi" w:hAnsiTheme="minorHAnsi"/>
                <w:b/>
                <w:bCs/>
                <w:spacing w:val="-4"/>
                <w:sz w:val="20"/>
                <w:szCs w:val="20"/>
              </w:rPr>
              <w:t>Fondos previamente comprometidos de 2019 a gastar en 2020</w:t>
            </w:r>
            <w:r w:rsidRPr="00C02579">
              <w:rPr>
                <w:rFonts w:asciiTheme="minorHAnsi" w:hAnsiTheme="minorHAnsi"/>
                <w:b/>
                <w:bCs/>
                <w:spacing w:val="-4"/>
                <w:sz w:val="20"/>
                <w:szCs w:val="20"/>
              </w:rPr>
              <w:br/>
              <w:t xml:space="preserve"> (A)</w:t>
            </w:r>
          </w:p>
        </w:tc>
        <w:tc>
          <w:tcPr>
            <w:tcW w:w="1417" w:type="dxa"/>
            <w:tcBorders>
              <w:top w:val="single" w:sz="4" w:space="0" w:color="auto"/>
              <w:left w:val="nil"/>
              <w:bottom w:val="single" w:sz="4" w:space="0" w:color="auto"/>
              <w:right w:val="single" w:sz="4" w:space="0" w:color="auto"/>
            </w:tcBorders>
            <w:shd w:val="clear" w:color="000000" w:fill="DBE5F1"/>
            <w:vAlign w:val="center"/>
            <w:hideMark/>
          </w:tcPr>
          <w:p w14:paraId="4AAC17E4" w14:textId="77777777" w:rsidR="00FC40CB" w:rsidRPr="00C02579" w:rsidRDefault="00FC40CB" w:rsidP="00D67522">
            <w:pPr>
              <w:ind w:left="0" w:firstLine="0"/>
              <w:jc w:val="center"/>
              <w:rPr>
                <w:rFonts w:asciiTheme="minorHAnsi" w:eastAsia="Times New Roman" w:hAnsiTheme="minorHAnsi" w:cstheme="minorHAnsi"/>
                <w:b/>
                <w:bCs/>
                <w:spacing w:val="-4"/>
                <w:sz w:val="20"/>
                <w:szCs w:val="20"/>
              </w:rPr>
            </w:pPr>
            <w:r w:rsidRPr="00C02579">
              <w:rPr>
                <w:rFonts w:asciiTheme="minorHAnsi" w:hAnsiTheme="minorHAnsi"/>
                <w:b/>
                <w:bCs/>
                <w:spacing w:val="-4"/>
                <w:sz w:val="20"/>
                <w:szCs w:val="20"/>
              </w:rPr>
              <w:t>Fondos no comprometidos de 2019 transferidos a 2020</w:t>
            </w:r>
            <w:r w:rsidRPr="00C02579">
              <w:rPr>
                <w:rFonts w:asciiTheme="minorHAnsi" w:hAnsiTheme="minorHAnsi"/>
                <w:b/>
                <w:bCs/>
                <w:spacing w:val="-4"/>
                <w:sz w:val="20"/>
                <w:szCs w:val="20"/>
              </w:rPr>
              <w:br/>
              <w:t xml:space="preserve"> (B)</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14:paraId="471D56D3" w14:textId="7EBCE09E" w:rsidR="00FC40CB" w:rsidRPr="00C02579" w:rsidRDefault="00FC40CB" w:rsidP="0068105F">
            <w:pPr>
              <w:ind w:left="0" w:firstLine="0"/>
              <w:jc w:val="center"/>
              <w:rPr>
                <w:rFonts w:asciiTheme="minorHAnsi" w:eastAsia="Times New Roman" w:hAnsiTheme="minorHAnsi" w:cstheme="minorHAnsi"/>
                <w:b/>
                <w:bCs/>
                <w:spacing w:val="-4"/>
                <w:sz w:val="20"/>
                <w:szCs w:val="20"/>
              </w:rPr>
            </w:pPr>
            <w:r w:rsidRPr="00C02579">
              <w:rPr>
                <w:rFonts w:asciiTheme="minorHAnsi" w:hAnsiTheme="minorHAnsi"/>
                <w:b/>
                <w:bCs/>
                <w:spacing w:val="-4"/>
                <w:sz w:val="20"/>
                <w:szCs w:val="20"/>
              </w:rPr>
              <w:t>Fondos transferidos de 2019 a 2020</w:t>
            </w:r>
            <w:r w:rsidRPr="00C02579">
              <w:rPr>
                <w:rFonts w:asciiTheme="minorHAnsi" w:hAnsiTheme="minorHAnsi"/>
                <w:b/>
                <w:bCs/>
                <w:spacing w:val="-4"/>
                <w:sz w:val="20"/>
                <w:szCs w:val="20"/>
              </w:rPr>
              <w:br/>
              <w:t>(C=A+B)</w:t>
            </w:r>
          </w:p>
        </w:tc>
        <w:tc>
          <w:tcPr>
            <w:tcW w:w="3691" w:type="dxa"/>
            <w:tcBorders>
              <w:top w:val="single" w:sz="4" w:space="0" w:color="auto"/>
              <w:left w:val="nil"/>
              <w:bottom w:val="single" w:sz="4" w:space="0" w:color="auto"/>
              <w:right w:val="single" w:sz="4" w:space="0" w:color="auto"/>
            </w:tcBorders>
            <w:shd w:val="clear" w:color="000000" w:fill="DBE5F1"/>
            <w:noWrap/>
            <w:vAlign w:val="center"/>
            <w:hideMark/>
          </w:tcPr>
          <w:p w14:paraId="4B98C40E" w14:textId="12D58050" w:rsidR="00FC40CB" w:rsidRPr="00C02579" w:rsidRDefault="00FC40CB" w:rsidP="00573F8B">
            <w:pPr>
              <w:ind w:left="0" w:firstLine="0"/>
              <w:jc w:val="center"/>
              <w:rPr>
                <w:rFonts w:asciiTheme="minorHAnsi" w:eastAsia="Times New Roman" w:hAnsiTheme="minorHAnsi" w:cstheme="minorHAnsi"/>
                <w:b/>
                <w:bCs/>
                <w:spacing w:val="-4"/>
                <w:sz w:val="20"/>
                <w:szCs w:val="20"/>
              </w:rPr>
            </w:pPr>
            <w:r w:rsidRPr="00C02579">
              <w:rPr>
                <w:rFonts w:asciiTheme="minorHAnsi" w:hAnsiTheme="minorHAnsi"/>
                <w:b/>
                <w:bCs/>
                <w:spacing w:val="-4"/>
                <w:sz w:val="20"/>
                <w:szCs w:val="20"/>
              </w:rPr>
              <w:t>Comentarios sobre los fondos previamente comprometidos y los ahorros</w:t>
            </w:r>
          </w:p>
        </w:tc>
      </w:tr>
      <w:tr w:rsidR="00FC40CB" w:rsidRPr="008F4DF9" w14:paraId="2CDD4AD3" w14:textId="77777777" w:rsidTr="00C02579">
        <w:trPr>
          <w:trHeight w:val="990"/>
        </w:trPr>
        <w:tc>
          <w:tcPr>
            <w:tcW w:w="1554" w:type="dxa"/>
            <w:tcBorders>
              <w:top w:val="nil"/>
              <w:left w:val="single" w:sz="4" w:space="0" w:color="auto"/>
              <w:bottom w:val="single" w:sz="4" w:space="0" w:color="auto"/>
              <w:right w:val="single" w:sz="4" w:space="0" w:color="auto"/>
            </w:tcBorders>
            <w:shd w:val="clear" w:color="auto" w:fill="auto"/>
            <w:noWrap/>
            <w:hideMark/>
          </w:tcPr>
          <w:p w14:paraId="0541BA04"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Personal directivo</w:t>
            </w:r>
          </w:p>
        </w:tc>
        <w:tc>
          <w:tcPr>
            <w:tcW w:w="1418" w:type="dxa"/>
            <w:tcBorders>
              <w:top w:val="nil"/>
              <w:left w:val="nil"/>
              <w:bottom w:val="single" w:sz="4" w:space="0" w:color="auto"/>
              <w:right w:val="single" w:sz="4" w:space="0" w:color="auto"/>
            </w:tcBorders>
            <w:shd w:val="clear" w:color="auto" w:fill="auto"/>
            <w:hideMark/>
          </w:tcPr>
          <w:p w14:paraId="4589F0C3"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0</w:t>
            </w:r>
          </w:p>
        </w:tc>
        <w:tc>
          <w:tcPr>
            <w:tcW w:w="1417" w:type="dxa"/>
            <w:tcBorders>
              <w:top w:val="nil"/>
              <w:left w:val="nil"/>
              <w:bottom w:val="single" w:sz="4" w:space="0" w:color="auto"/>
              <w:right w:val="single" w:sz="4" w:space="0" w:color="auto"/>
            </w:tcBorders>
            <w:shd w:val="clear" w:color="auto" w:fill="auto"/>
            <w:hideMark/>
          </w:tcPr>
          <w:p w14:paraId="57E6435A"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126</w:t>
            </w:r>
          </w:p>
        </w:tc>
        <w:tc>
          <w:tcPr>
            <w:tcW w:w="1276" w:type="dxa"/>
            <w:tcBorders>
              <w:top w:val="nil"/>
              <w:left w:val="nil"/>
              <w:bottom w:val="single" w:sz="4" w:space="0" w:color="auto"/>
              <w:right w:val="single" w:sz="4" w:space="0" w:color="auto"/>
            </w:tcBorders>
            <w:shd w:val="clear" w:color="auto" w:fill="auto"/>
            <w:noWrap/>
            <w:hideMark/>
          </w:tcPr>
          <w:p w14:paraId="37B2BDB8"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126</w:t>
            </w:r>
          </w:p>
        </w:tc>
        <w:tc>
          <w:tcPr>
            <w:tcW w:w="3691" w:type="dxa"/>
            <w:tcBorders>
              <w:top w:val="nil"/>
              <w:left w:val="nil"/>
              <w:bottom w:val="single" w:sz="4" w:space="0" w:color="auto"/>
              <w:right w:val="single" w:sz="4" w:space="0" w:color="auto"/>
            </w:tcBorders>
            <w:shd w:val="clear" w:color="auto" w:fill="auto"/>
            <w:hideMark/>
          </w:tcPr>
          <w:p w14:paraId="5F251681" w14:textId="4AEC6C32" w:rsidR="00FC40CB" w:rsidRPr="008F4DF9" w:rsidRDefault="00573F8B" w:rsidP="00D67522">
            <w:pPr>
              <w:ind w:left="0" w:firstLine="0"/>
              <w:rPr>
                <w:rFonts w:asciiTheme="minorHAnsi" w:eastAsia="Times New Roman" w:hAnsiTheme="minorHAnsi" w:cstheme="minorHAnsi"/>
                <w:color w:val="000000"/>
                <w:sz w:val="20"/>
                <w:szCs w:val="20"/>
              </w:rPr>
            </w:pPr>
            <w:r w:rsidRPr="008F4DF9">
              <w:rPr>
                <w:rFonts w:asciiTheme="minorHAnsi" w:hAnsiTheme="minorHAnsi"/>
                <w:b/>
                <w:bCs/>
                <w:color w:val="000000"/>
                <w:sz w:val="20"/>
                <w:szCs w:val="20"/>
              </w:rPr>
              <w:t>Ahorros:</w:t>
            </w:r>
            <w:r w:rsidRPr="008F4DF9">
              <w:rPr>
                <w:rFonts w:asciiTheme="minorHAnsi" w:hAnsiTheme="minorHAnsi"/>
                <w:color w:val="000000"/>
                <w:sz w:val="20"/>
                <w:szCs w:val="20"/>
              </w:rPr>
              <w:t xml:space="preserve"> i) vacante de un puesto de adjunto a principios de 2019 y ii) nivel inferior de la partida </w:t>
            </w:r>
            <w:r w:rsidRPr="008F4DF9">
              <w:rPr>
                <w:rFonts w:asciiTheme="minorHAnsi" w:hAnsiTheme="minorHAnsi"/>
                <w:i/>
                <w:iCs/>
                <w:color w:val="000000"/>
                <w:sz w:val="20"/>
                <w:szCs w:val="20"/>
              </w:rPr>
              <w:t>Otras prestaciones laborales</w:t>
            </w:r>
            <w:r w:rsidRPr="008F4DF9">
              <w:rPr>
                <w:rFonts w:asciiTheme="minorHAnsi" w:hAnsiTheme="minorHAnsi"/>
                <w:color w:val="000000"/>
                <w:sz w:val="20"/>
                <w:szCs w:val="20"/>
              </w:rPr>
              <w:t xml:space="preserve"> y iii) viajes</w:t>
            </w:r>
          </w:p>
        </w:tc>
      </w:tr>
      <w:tr w:rsidR="00FC40CB" w:rsidRPr="008F4DF9" w14:paraId="31DB43DD" w14:textId="77777777" w:rsidTr="00C02579">
        <w:trPr>
          <w:trHeight w:val="225"/>
        </w:trPr>
        <w:tc>
          <w:tcPr>
            <w:tcW w:w="1554" w:type="dxa"/>
            <w:tcBorders>
              <w:top w:val="nil"/>
              <w:left w:val="single" w:sz="4" w:space="0" w:color="auto"/>
              <w:bottom w:val="single" w:sz="4" w:space="0" w:color="auto"/>
              <w:right w:val="single" w:sz="4" w:space="0" w:color="auto"/>
            </w:tcBorders>
            <w:shd w:val="clear" w:color="auto" w:fill="auto"/>
            <w:noWrap/>
            <w:hideMark/>
          </w:tcPr>
          <w:p w14:paraId="408C5313"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Movilización de Recursos y Promoción</w:t>
            </w:r>
          </w:p>
        </w:tc>
        <w:tc>
          <w:tcPr>
            <w:tcW w:w="1418" w:type="dxa"/>
            <w:tcBorders>
              <w:top w:val="nil"/>
              <w:left w:val="nil"/>
              <w:bottom w:val="single" w:sz="4" w:space="0" w:color="auto"/>
              <w:right w:val="single" w:sz="4" w:space="0" w:color="auto"/>
            </w:tcBorders>
            <w:shd w:val="clear" w:color="auto" w:fill="auto"/>
            <w:noWrap/>
            <w:hideMark/>
          </w:tcPr>
          <w:p w14:paraId="625BD23F"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81</w:t>
            </w:r>
          </w:p>
        </w:tc>
        <w:tc>
          <w:tcPr>
            <w:tcW w:w="1417" w:type="dxa"/>
            <w:tcBorders>
              <w:top w:val="nil"/>
              <w:left w:val="nil"/>
              <w:bottom w:val="single" w:sz="4" w:space="0" w:color="auto"/>
              <w:right w:val="single" w:sz="4" w:space="0" w:color="auto"/>
            </w:tcBorders>
            <w:shd w:val="clear" w:color="auto" w:fill="auto"/>
            <w:hideMark/>
          </w:tcPr>
          <w:p w14:paraId="779DACA0"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269</w:t>
            </w:r>
          </w:p>
        </w:tc>
        <w:tc>
          <w:tcPr>
            <w:tcW w:w="1276" w:type="dxa"/>
            <w:tcBorders>
              <w:top w:val="nil"/>
              <w:left w:val="nil"/>
              <w:bottom w:val="single" w:sz="4" w:space="0" w:color="auto"/>
              <w:right w:val="single" w:sz="4" w:space="0" w:color="auto"/>
            </w:tcBorders>
            <w:shd w:val="clear" w:color="auto" w:fill="auto"/>
            <w:noWrap/>
            <w:hideMark/>
          </w:tcPr>
          <w:p w14:paraId="76F46BFC"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349</w:t>
            </w:r>
          </w:p>
        </w:tc>
        <w:tc>
          <w:tcPr>
            <w:tcW w:w="3691" w:type="dxa"/>
            <w:tcBorders>
              <w:top w:val="nil"/>
              <w:left w:val="nil"/>
              <w:bottom w:val="single" w:sz="4" w:space="0" w:color="auto"/>
              <w:right w:val="single" w:sz="4" w:space="0" w:color="auto"/>
            </w:tcBorders>
            <w:shd w:val="clear" w:color="auto" w:fill="auto"/>
            <w:hideMark/>
          </w:tcPr>
          <w:p w14:paraId="19DF981D" w14:textId="7275DEB0" w:rsidR="00FC40CB" w:rsidRPr="008F4DF9" w:rsidRDefault="00573F8B" w:rsidP="009401C8">
            <w:pPr>
              <w:ind w:left="0" w:firstLine="0"/>
              <w:rPr>
                <w:rFonts w:asciiTheme="minorHAnsi" w:eastAsia="Times New Roman" w:hAnsiTheme="minorHAnsi" w:cstheme="minorHAnsi"/>
                <w:color w:val="000000"/>
                <w:spacing w:val="-2"/>
                <w:sz w:val="20"/>
                <w:szCs w:val="20"/>
              </w:rPr>
            </w:pPr>
            <w:r w:rsidRPr="008F4DF9">
              <w:rPr>
                <w:rFonts w:asciiTheme="minorHAnsi" w:hAnsiTheme="minorHAnsi"/>
                <w:b/>
                <w:bCs/>
                <w:color w:val="000000"/>
                <w:sz w:val="20"/>
                <w:szCs w:val="20"/>
              </w:rPr>
              <w:t>Fondos previamente comprometidos:</w:t>
            </w:r>
            <w:r w:rsidRPr="008F4DF9">
              <w:rPr>
                <w:rFonts w:asciiTheme="minorHAnsi" w:hAnsiTheme="minorHAnsi"/>
                <w:color w:val="000000"/>
                <w:sz w:val="20"/>
                <w:szCs w:val="20"/>
              </w:rPr>
              <w:t xml:space="preserve"> i) 31 000 en servicios de TI a gastar 2020; ii) 7 000 en servicios de TI a gastar en 2021; y iii) 43 000 para el DMH y el 50° aniversario en 2021,</w:t>
            </w:r>
            <w:r w:rsidRPr="008F4DF9">
              <w:rPr>
                <w:rFonts w:asciiTheme="minorHAnsi" w:hAnsiTheme="minorHAnsi"/>
                <w:color w:val="000000"/>
                <w:sz w:val="20"/>
                <w:szCs w:val="20"/>
              </w:rPr>
              <w:br/>
            </w:r>
            <w:r w:rsidRPr="008F4DF9">
              <w:rPr>
                <w:rFonts w:asciiTheme="minorHAnsi" w:hAnsiTheme="minorHAnsi"/>
                <w:b/>
                <w:bCs/>
                <w:color w:val="000000"/>
                <w:sz w:val="20"/>
                <w:szCs w:val="20"/>
              </w:rPr>
              <w:t>Ahorros</w:t>
            </w:r>
            <w:r w:rsidRPr="008F4DF9">
              <w:rPr>
                <w:rFonts w:asciiTheme="minorHAnsi" w:hAnsiTheme="minorHAnsi"/>
                <w:color w:val="000000"/>
                <w:sz w:val="20"/>
                <w:szCs w:val="20"/>
              </w:rPr>
              <w:t>:</w:t>
            </w:r>
            <w:r w:rsidRPr="008F4DF9">
              <w:rPr>
                <w:rFonts w:asciiTheme="minorHAnsi" w:hAnsiTheme="minorHAnsi"/>
                <w:b/>
                <w:bCs/>
                <w:color w:val="000000"/>
                <w:sz w:val="20"/>
                <w:szCs w:val="20"/>
              </w:rPr>
              <w:t xml:space="preserve"> </w:t>
            </w:r>
            <w:r w:rsidRPr="008F4DF9">
              <w:rPr>
                <w:rFonts w:asciiTheme="minorHAnsi" w:hAnsiTheme="minorHAnsi"/>
                <w:color w:val="000000"/>
                <w:sz w:val="20"/>
                <w:szCs w:val="20"/>
              </w:rPr>
              <w:t>i) vacante de Director de Movilización de Recursos y Promoción, ya que el puesto se reclasificó y se cubrió en 2020; ii) programa de CECoP y iii) Comunicaciones, traducciones, publicaciones e informes sobre la aplicación, ya que los gastos aumentarán en el período previo a la COP14; y iv) viajes</w:t>
            </w:r>
          </w:p>
        </w:tc>
      </w:tr>
      <w:tr w:rsidR="00FC40CB" w:rsidRPr="008F4DF9" w14:paraId="74E49C3A" w14:textId="77777777" w:rsidTr="00C02579">
        <w:trPr>
          <w:trHeight w:val="1170"/>
        </w:trPr>
        <w:tc>
          <w:tcPr>
            <w:tcW w:w="1554" w:type="dxa"/>
            <w:tcBorders>
              <w:top w:val="nil"/>
              <w:left w:val="single" w:sz="4" w:space="0" w:color="auto"/>
              <w:bottom w:val="single" w:sz="4" w:space="0" w:color="auto"/>
              <w:right w:val="single" w:sz="4" w:space="0" w:color="auto"/>
            </w:tcBorders>
            <w:shd w:val="clear" w:color="auto" w:fill="auto"/>
            <w:noWrap/>
            <w:hideMark/>
          </w:tcPr>
          <w:p w14:paraId="43C73905"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Asesoramiento y apoyo regionales</w:t>
            </w:r>
          </w:p>
        </w:tc>
        <w:tc>
          <w:tcPr>
            <w:tcW w:w="1418" w:type="dxa"/>
            <w:tcBorders>
              <w:top w:val="nil"/>
              <w:left w:val="nil"/>
              <w:bottom w:val="single" w:sz="4" w:space="0" w:color="auto"/>
              <w:right w:val="single" w:sz="4" w:space="0" w:color="auto"/>
            </w:tcBorders>
            <w:shd w:val="clear" w:color="auto" w:fill="auto"/>
            <w:noWrap/>
            <w:hideMark/>
          </w:tcPr>
          <w:p w14:paraId="4CE35673"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96</w:t>
            </w:r>
          </w:p>
        </w:tc>
        <w:tc>
          <w:tcPr>
            <w:tcW w:w="1417" w:type="dxa"/>
            <w:tcBorders>
              <w:top w:val="nil"/>
              <w:left w:val="nil"/>
              <w:bottom w:val="single" w:sz="4" w:space="0" w:color="auto"/>
              <w:right w:val="single" w:sz="4" w:space="0" w:color="auto"/>
            </w:tcBorders>
            <w:shd w:val="clear" w:color="auto" w:fill="auto"/>
            <w:hideMark/>
          </w:tcPr>
          <w:p w14:paraId="48784741"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152</w:t>
            </w:r>
          </w:p>
        </w:tc>
        <w:tc>
          <w:tcPr>
            <w:tcW w:w="1276" w:type="dxa"/>
            <w:tcBorders>
              <w:top w:val="nil"/>
              <w:left w:val="nil"/>
              <w:bottom w:val="single" w:sz="4" w:space="0" w:color="auto"/>
              <w:right w:val="single" w:sz="4" w:space="0" w:color="auto"/>
            </w:tcBorders>
            <w:shd w:val="clear" w:color="auto" w:fill="auto"/>
            <w:noWrap/>
            <w:hideMark/>
          </w:tcPr>
          <w:p w14:paraId="49525B69"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248</w:t>
            </w:r>
          </w:p>
        </w:tc>
        <w:tc>
          <w:tcPr>
            <w:tcW w:w="3691" w:type="dxa"/>
            <w:tcBorders>
              <w:top w:val="nil"/>
              <w:left w:val="nil"/>
              <w:bottom w:val="single" w:sz="4" w:space="0" w:color="auto"/>
              <w:right w:val="single" w:sz="4" w:space="0" w:color="auto"/>
            </w:tcBorders>
            <w:shd w:val="clear" w:color="auto" w:fill="auto"/>
            <w:hideMark/>
          </w:tcPr>
          <w:p w14:paraId="778999F7" w14:textId="783B5305" w:rsidR="00FC40CB" w:rsidRPr="008F4DF9" w:rsidRDefault="00573F8B" w:rsidP="00D67522">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(i) la realización de las Misiones Ramsar de Asesoramiento fue aplazada hasta 2020</w:t>
            </w:r>
            <w:r w:rsidRPr="008F4DF9">
              <w:rPr>
                <w:rFonts w:asciiTheme="minorHAnsi" w:hAnsiTheme="minorHAnsi"/>
                <w:sz w:val="20"/>
                <w:szCs w:val="20"/>
              </w:rPr>
              <w:br/>
            </w:r>
            <w:r w:rsidRPr="008F4DF9">
              <w:rPr>
                <w:rFonts w:asciiTheme="minorHAnsi" w:hAnsiTheme="minorHAnsi"/>
                <w:b/>
                <w:bCs/>
                <w:sz w:val="20"/>
                <w:szCs w:val="20"/>
              </w:rPr>
              <w:t>Ahorros:</w:t>
            </w:r>
            <w:r w:rsidRPr="008F4DF9">
              <w:rPr>
                <w:rFonts w:asciiTheme="minorHAnsi" w:hAnsiTheme="minorHAnsi"/>
                <w:sz w:val="20"/>
                <w:szCs w:val="20"/>
              </w:rPr>
              <w:t xml:space="preserve"> i) vacante del puesto de asesor regional superior que se cubrirá en 2020; y ii) viajes</w:t>
            </w:r>
          </w:p>
        </w:tc>
      </w:tr>
      <w:tr w:rsidR="00FC40CB" w:rsidRPr="008F4DF9" w14:paraId="506816AE"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014A54E3"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Apoyo a las Iniciativas Regionales de Ramsar</w:t>
            </w:r>
          </w:p>
        </w:tc>
        <w:tc>
          <w:tcPr>
            <w:tcW w:w="1418" w:type="dxa"/>
            <w:tcBorders>
              <w:top w:val="nil"/>
              <w:left w:val="nil"/>
              <w:bottom w:val="single" w:sz="4" w:space="0" w:color="auto"/>
              <w:right w:val="single" w:sz="4" w:space="0" w:color="auto"/>
            </w:tcBorders>
            <w:shd w:val="clear" w:color="auto" w:fill="auto"/>
            <w:hideMark/>
          </w:tcPr>
          <w:p w14:paraId="1BA726AA"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107</w:t>
            </w:r>
          </w:p>
        </w:tc>
        <w:tc>
          <w:tcPr>
            <w:tcW w:w="1417" w:type="dxa"/>
            <w:tcBorders>
              <w:top w:val="nil"/>
              <w:left w:val="nil"/>
              <w:bottom w:val="single" w:sz="4" w:space="0" w:color="auto"/>
              <w:right w:val="single" w:sz="4" w:space="0" w:color="auto"/>
            </w:tcBorders>
            <w:shd w:val="clear" w:color="auto" w:fill="auto"/>
            <w:hideMark/>
          </w:tcPr>
          <w:p w14:paraId="768302F3"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0</w:t>
            </w:r>
          </w:p>
        </w:tc>
        <w:tc>
          <w:tcPr>
            <w:tcW w:w="1276" w:type="dxa"/>
            <w:tcBorders>
              <w:top w:val="nil"/>
              <w:left w:val="nil"/>
              <w:bottom w:val="single" w:sz="4" w:space="0" w:color="auto"/>
              <w:right w:val="single" w:sz="4" w:space="0" w:color="auto"/>
            </w:tcBorders>
            <w:shd w:val="clear" w:color="auto" w:fill="auto"/>
            <w:noWrap/>
            <w:hideMark/>
          </w:tcPr>
          <w:p w14:paraId="1B151CA7"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107</w:t>
            </w:r>
          </w:p>
        </w:tc>
        <w:tc>
          <w:tcPr>
            <w:tcW w:w="3691" w:type="dxa"/>
            <w:tcBorders>
              <w:top w:val="nil"/>
              <w:left w:val="nil"/>
              <w:bottom w:val="single" w:sz="4" w:space="0" w:color="auto"/>
              <w:right w:val="single" w:sz="4" w:space="0" w:color="auto"/>
            </w:tcBorders>
            <w:shd w:val="clear" w:color="auto" w:fill="auto"/>
            <w:hideMark/>
          </w:tcPr>
          <w:p w14:paraId="13F8F1FC" w14:textId="5776EC0B" w:rsidR="00FC40CB" w:rsidRPr="008F4DF9" w:rsidRDefault="00573F8B" w:rsidP="009401C8">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continúa la ejecución en 2020 para (i) el Grupo de Trabajo sobre las IRR, Res. XIII.9 párrafo 9 y la creación de capacidad; y (ii) IRR de la cuenca del Amazonas.</w:t>
            </w:r>
          </w:p>
        </w:tc>
      </w:tr>
      <w:tr w:rsidR="00FC40CB" w:rsidRPr="008F4DF9" w14:paraId="1F8D334B"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443AEBA6"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Servicios científicos y técnicos</w:t>
            </w:r>
          </w:p>
        </w:tc>
        <w:tc>
          <w:tcPr>
            <w:tcW w:w="1418" w:type="dxa"/>
            <w:tcBorders>
              <w:top w:val="nil"/>
              <w:left w:val="nil"/>
              <w:bottom w:val="single" w:sz="4" w:space="0" w:color="auto"/>
              <w:right w:val="single" w:sz="4" w:space="0" w:color="auto"/>
            </w:tcBorders>
            <w:shd w:val="clear" w:color="auto" w:fill="auto"/>
            <w:hideMark/>
          </w:tcPr>
          <w:p w14:paraId="236F225D"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121</w:t>
            </w:r>
          </w:p>
        </w:tc>
        <w:tc>
          <w:tcPr>
            <w:tcW w:w="1417" w:type="dxa"/>
            <w:tcBorders>
              <w:top w:val="nil"/>
              <w:left w:val="nil"/>
              <w:bottom w:val="single" w:sz="4" w:space="0" w:color="auto"/>
              <w:right w:val="single" w:sz="4" w:space="0" w:color="auto"/>
            </w:tcBorders>
            <w:shd w:val="clear" w:color="auto" w:fill="auto"/>
            <w:hideMark/>
          </w:tcPr>
          <w:p w14:paraId="79860234"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145</w:t>
            </w:r>
          </w:p>
        </w:tc>
        <w:tc>
          <w:tcPr>
            <w:tcW w:w="1276" w:type="dxa"/>
            <w:tcBorders>
              <w:top w:val="nil"/>
              <w:left w:val="nil"/>
              <w:bottom w:val="single" w:sz="4" w:space="0" w:color="auto"/>
              <w:right w:val="single" w:sz="4" w:space="0" w:color="auto"/>
            </w:tcBorders>
            <w:shd w:val="clear" w:color="auto" w:fill="auto"/>
            <w:noWrap/>
            <w:hideMark/>
          </w:tcPr>
          <w:p w14:paraId="250F7C7A"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266</w:t>
            </w:r>
          </w:p>
        </w:tc>
        <w:tc>
          <w:tcPr>
            <w:tcW w:w="3691" w:type="dxa"/>
            <w:tcBorders>
              <w:top w:val="nil"/>
              <w:left w:val="nil"/>
              <w:bottom w:val="single" w:sz="4" w:space="0" w:color="auto"/>
              <w:right w:val="single" w:sz="4" w:space="0" w:color="auto"/>
            </w:tcBorders>
            <w:shd w:val="clear" w:color="auto" w:fill="auto"/>
            <w:hideMark/>
          </w:tcPr>
          <w:p w14:paraId="5E272A43" w14:textId="2AA388F6" w:rsidR="00FC40CB" w:rsidRPr="008F4DF9" w:rsidRDefault="00573F8B" w:rsidP="00D67522">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continúa la ejecución en 2020 para i) el Plan Estratégico: 29 000 (2019 - 2021) y ii) los inventarios: 91 000,</w:t>
            </w:r>
            <w:r w:rsidRPr="008F4DF9">
              <w:rPr>
                <w:rFonts w:asciiTheme="minorHAnsi" w:hAnsiTheme="minorHAnsi"/>
                <w:sz w:val="20"/>
                <w:szCs w:val="20"/>
              </w:rPr>
              <w:br/>
            </w:r>
            <w:r w:rsidRPr="008F4DF9">
              <w:rPr>
                <w:rFonts w:asciiTheme="minorHAnsi" w:hAnsiTheme="minorHAnsi"/>
                <w:b/>
                <w:bCs/>
                <w:sz w:val="20"/>
                <w:szCs w:val="20"/>
              </w:rPr>
              <w:t>Ahorros</w:t>
            </w:r>
            <w:r w:rsidRPr="008F4DF9">
              <w:rPr>
                <w:rFonts w:asciiTheme="minorHAnsi" w:hAnsiTheme="minorHAnsi"/>
                <w:sz w:val="20"/>
                <w:szCs w:val="20"/>
              </w:rPr>
              <w:t>: Ejecución y reuniones del GECT y ii) SISR</w:t>
            </w:r>
          </w:p>
        </w:tc>
      </w:tr>
      <w:tr w:rsidR="00FC40CB" w:rsidRPr="008F4DF9" w14:paraId="10B67DC5" w14:textId="77777777" w:rsidTr="00C02579">
        <w:trPr>
          <w:trHeight w:val="1125"/>
        </w:trPr>
        <w:tc>
          <w:tcPr>
            <w:tcW w:w="1554" w:type="dxa"/>
            <w:tcBorders>
              <w:top w:val="nil"/>
              <w:left w:val="single" w:sz="4" w:space="0" w:color="auto"/>
              <w:bottom w:val="single" w:sz="4" w:space="0" w:color="auto"/>
              <w:right w:val="single" w:sz="4" w:space="0" w:color="auto"/>
            </w:tcBorders>
            <w:shd w:val="clear" w:color="auto" w:fill="auto"/>
            <w:noWrap/>
            <w:hideMark/>
          </w:tcPr>
          <w:p w14:paraId="06F58DC1" w14:textId="3E801711"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Administración / SISR / Web</w:t>
            </w:r>
          </w:p>
        </w:tc>
        <w:tc>
          <w:tcPr>
            <w:tcW w:w="1418" w:type="dxa"/>
            <w:tcBorders>
              <w:top w:val="nil"/>
              <w:left w:val="nil"/>
              <w:bottom w:val="single" w:sz="4" w:space="0" w:color="auto"/>
              <w:right w:val="single" w:sz="4" w:space="0" w:color="auto"/>
            </w:tcBorders>
            <w:shd w:val="clear" w:color="auto" w:fill="auto"/>
            <w:noWrap/>
            <w:hideMark/>
          </w:tcPr>
          <w:p w14:paraId="154BDFDC"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83</w:t>
            </w:r>
          </w:p>
        </w:tc>
        <w:tc>
          <w:tcPr>
            <w:tcW w:w="1417" w:type="dxa"/>
            <w:tcBorders>
              <w:top w:val="nil"/>
              <w:left w:val="nil"/>
              <w:bottom w:val="single" w:sz="4" w:space="0" w:color="auto"/>
              <w:right w:val="single" w:sz="4" w:space="0" w:color="auto"/>
            </w:tcBorders>
            <w:shd w:val="clear" w:color="auto" w:fill="auto"/>
            <w:hideMark/>
          </w:tcPr>
          <w:p w14:paraId="1AD7BDFC"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152</w:t>
            </w:r>
          </w:p>
        </w:tc>
        <w:tc>
          <w:tcPr>
            <w:tcW w:w="1276" w:type="dxa"/>
            <w:tcBorders>
              <w:top w:val="nil"/>
              <w:left w:val="nil"/>
              <w:bottom w:val="single" w:sz="4" w:space="0" w:color="auto"/>
              <w:right w:val="single" w:sz="4" w:space="0" w:color="auto"/>
            </w:tcBorders>
            <w:shd w:val="clear" w:color="auto" w:fill="auto"/>
            <w:noWrap/>
            <w:hideMark/>
          </w:tcPr>
          <w:p w14:paraId="61A035D3"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235</w:t>
            </w:r>
          </w:p>
        </w:tc>
        <w:tc>
          <w:tcPr>
            <w:tcW w:w="3691" w:type="dxa"/>
            <w:tcBorders>
              <w:top w:val="nil"/>
              <w:left w:val="nil"/>
              <w:bottom w:val="single" w:sz="4" w:space="0" w:color="auto"/>
              <w:right w:val="single" w:sz="4" w:space="0" w:color="auto"/>
            </w:tcBorders>
            <w:shd w:val="clear" w:color="auto" w:fill="auto"/>
            <w:hideMark/>
          </w:tcPr>
          <w:p w14:paraId="5A3DD237" w14:textId="5DA33ADC" w:rsidR="00FC40CB" w:rsidRPr="008F4DF9" w:rsidRDefault="00573F8B" w:rsidP="00CB0294">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plan de creación de capacidad que se ejecutará en los tres años del trienio,</w:t>
            </w:r>
            <w:r w:rsidRPr="008F4DF9">
              <w:rPr>
                <w:rFonts w:asciiTheme="minorHAnsi" w:hAnsiTheme="minorHAnsi"/>
                <w:sz w:val="20"/>
                <w:szCs w:val="20"/>
              </w:rPr>
              <w:br/>
            </w:r>
            <w:r w:rsidRPr="008F4DF9">
              <w:rPr>
                <w:rFonts w:asciiTheme="minorHAnsi" w:hAnsiTheme="minorHAnsi"/>
                <w:b/>
                <w:bCs/>
                <w:sz w:val="20"/>
                <w:szCs w:val="20"/>
              </w:rPr>
              <w:t>Ahorros</w:t>
            </w:r>
            <w:r w:rsidRPr="008F4DF9">
              <w:rPr>
                <w:rFonts w:asciiTheme="minorHAnsi" w:hAnsiTheme="minorHAnsi"/>
                <w:sz w:val="20"/>
                <w:szCs w:val="20"/>
              </w:rPr>
              <w:t xml:space="preserve">: i) vacantes, ii) contratación de personal y iii) material y equipo de oficina </w:t>
            </w:r>
          </w:p>
        </w:tc>
      </w:tr>
      <w:tr w:rsidR="00FC40CB" w:rsidRPr="008F4DF9" w14:paraId="7C732F5D"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4403B6B9"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Servicios para el Comité Permanente</w:t>
            </w:r>
          </w:p>
        </w:tc>
        <w:tc>
          <w:tcPr>
            <w:tcW w:w="1418" w:type="dxa"/>
            <w:tcBorders>
              <w:top w:val="nil"/>
              <w:left w:val="nil"/>
              <w:bottom w:val="single" w:sz="4" w:space="0" w:color="auto"/>
              <w:right w:val="single" w:sz="4" w:space="0" w:color="auto"/>
            </w:tcBorders>
            <w:shd w:val="clear" w:color="auto" w:fill="auto"/>
            <w:hideMark/>
          </w:tcPr>
          <w:p w14:paraId="5D85ADF9"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75</w:t>
            </w:r>
          </w:p>
        </w:tc>
        <w:tc>
          <w:tcPr>
            <w:tcW w:w="1417" w:type="dxa"/>
            <w:tcBorders>
              <w:top w:val="nil"/>
              <w:left w:val="nil"/>
              <w:bottom w:val="single" w:sz="4" w:space="0" w:color="auto"/>
              <w:right w:val="single" w:sz="4" w:space="0" w:color="auto"/>
            </w:tcBorders>
            <w:shd w:val="clear" w:color="auto" w:fill="auto"/>
            <w:hideMark/>
          </w:tcPr>
          <w:p w14:paraId="6C701055"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15</w:t>
            </w:r>
          </w:p>
        </w:tc>
        <w:tc>
          <w:tcPr>
            <w:tcW w:w="1276" w:type="dxa"/>
            <w:tcBorders>
              <w:top w:val="nil"/>
              <w:left w:val="nil"/>
              <w:bottom w:val="single" w:sz="4" w:space="0" w:color="auto"/>
              <w:right w:val="single" w:sz="4" w:space="0" w:color="auto"/>
            </w:tcBorders>
            <w:shd w:val="clear" w:color="auto" w:fill="auto"/>
            <w:noWrap/>
            <w:hideMark/>
          </w:tcPr>
          <w:p w14:paraId="222F75C8"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90</w:t>
            </w:r>
          </w:p>
        </w:tc>
        <w:tc>
          <w:tcPr>
            <w:tcW w:w="3691" w:type="dxa"/>
            <w:tcBorders>
              <w:top w:val="nil"/>
              <w:left w:val="nil"/>
              <w:bottom w:val="single" w:sz="4" w:space="0" w:color="auto"/>
              <w:right w:val="single" w:sz="4" w:space="0" w:color="auto"/>
            </w:tcBorders>
            <w:shd w:val="clear" w:color="auto" w:fill="auto"/>
            <w:hideMark/>
          </w:tcPr>
          <w:p w14:paraId="6123F359" w14:textId="43C4B513" w:rsidR="008F4DF9" w:rsidRPr="008F4DF9" w:rsidRDefault="00573F8B" w:rsidP="008F4DF9">
            <w:pPr>
              <w:ind w:left="0" w:firstLine="0"/>
              <w:rPr>
                <w:rFonts w:asciiTheme="minorHAnsi" w:hAnsi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w:t>
            </w:r>
            <w:r w:rsidR="006D4727">
              <w:rPr>
                <w:rFonts w:asciiTheme="minorHAnsi" w:hAnsiTheme="minorHAnsi"/>
                <w:sz w:val="20"/>
                <w:szCs w:val="20"/>
              </w:rPr>
              <w:br/>
            </w:r>
            <w:r w:rsidR="008F4DF9" w:rsidRPr="008F4DF9">
              <w:rPr>
                <w:rFonts w:asciiTheme="minorHAnsi" w:hAnsiTheme="minorHAnsi"/>
                <w:sz w:val="20"/>
                <w:szCs w:val="20"/>
              </w:rPr>
              <w:t>i) Grupo de Trabajo sobre la Eficacia: 55 000 y ii) Examen de resoluciones (Res. XIII.4): 20 000</w:t>
            </w:r>
          </w:p>
          <w:p w14:paraId="11C63886" w14:textId="73D05F39" w:rsidR="00FC40CB" w:rsidRPr="008F4DF9" w:rsidRDefault="008F4DF9" w:rsidP="008F4DF9">
            <w:pPr>
              <w:ind w:left="0" w:firstLine="0"/>
              <w:rPr>
                <w:rFonts w:asciiTheme="minorHAnsi" w:eastAsia="Times New Roman" w:hAnsiTheme="minorHAnsi" w:cstheme="minorHAnsi"/>
                <w:sz w:val="20"/>
                <w:szCs w:val="20"/>
              </w:rPr>
            </w:pPr>
            <w:r w:rsidRPr="008F4DF9">
              <w:rPr>
                <w:rFonts w:asciiTheme="minorHAnsi" w:hAnsiTheme="minorHAnsi"/>
                <w:b/>
                <w:sz w:val="20"/>
                <w:szCs w:val="20"/>
              </w:rPr>
              <w:t>Ahorros</w:t>
            </w:r>
            <w:r w:rsidRPr="008F4DF9">
              <w:rPr>
                <w:rFonts w:asciiTheme="minorHAnsi" w:hAnsiTheme="minorHAnsi"/>
                <w:sz w:val="20"/>
                <w:szCs w:val="20"/>
              </w:rPr>
              <w:t>:</w:t>
            </w:r>
            <w:r w:rsidR="00573F8B" w:rsidRPr="008F4DF9">
              <w:rPr>
                <w:rFonts w:asciiTheme="minorHAnsi" w:hAnsiTheme="minorHAnsi"/>
                <w:sz w:val="20"/>
                <w:szCs w:val="20"/>
              </w:rPr>
              <w:t xml:space="preserve"> Servicios para el Comité Permanente</w:t>
            </w:r>
          </w:p>
        </w:tc>
      </w:tr>
      <w:tr w:rsidR="00FC40CB" w:rsidRPr="008F4DF9" w14:paraId="120EE2E1" w14:textId="77777777" w:rsidTr="00C02579">
        <w:trPr>
          <w:trHeight w:val="570"/>
        </w:trPr>
        <w:tc>
          <w:tcPr>
            <w:tcW w:w="1554" w:type="dxa"/>
            <w:tcBorders>
              <w:top w:val="nil"/>
              <w:left w:val="single" w:sz="4" w:space="0" w:color="auto"/>
              <w:bottom w:val="single" w:sz="4" w:space="0" w:color="auto"/>
              <w:right w:val="single" w:sz="4" w:space="0" w:color="auto"/>
            </w:tcBorders>
            <w:shd w:val="clear" w:color="auto" w:fill="auto"/>
            <w:noWrap/>
            <w:hideMark/>
          </w:tcPr>
          <w:p w14:paraId="69ECF5F3"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lastRenderedPageBreak/>
              <w:t>Gastos por servicios administrativos de la UICN</w:t>
            </w:r>
          </w:p>
        </w:tc>
        <w:tc>
          <w:tcPr>
            <w:tcW w:w="1418" w:type="dxa"/>
            <w:tcBorders>
              <w:top w:val="nil"/>
              <w:left w:val="nil"/>
              <w:bottom w:val="single" w:sz="4" w:space="0" w:color="auto"/>
              <w:right w:val="single" w:sz="4" w:space="0" w:color="auto"/>
            </w:tcBorders>
            <w:shd w:val="clear" w:color="auto" w:fill="auto"/>
            <w:hideMark/>
          </w:tcPr>
          <w:p w14:paraId="42A44C29"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0</w:t>
            </w:r>
          </w:p>
        </w:tc>
        <w:tc>
          <w:tcPr>
            <w:tcW w:w="1417" w:type="dxa"/>
            <w:tcBorders>
              <w:top w:val="nil"/>
              <w:left w:val="nil"/>
              <w:bottom w:val="single" w:sz="4" w:space="0" w:color="auto"/>
              <w:right w:val="single" w:sz="4" w:space="0" w:color="auto"/>
            </w:tcBorders>
            <w:shd w:val="clear" w:color="auto" w:fill="auto"/>
            <w:hideMark/>
          </w:tcPr>
          <w:p w14:paraId="340A956A"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36</w:t>
            </w:r>
          </w:p>
        </w:tc>
        <w:tc>
          <w:tcPr>
            <w:tcW w:w="1276" w:type="dxa"/>
            <w:tcBorders>
              <w:top w:val="nil"/>
              <w:left w:val="nil"/>
              <w:bottom w:val="single" w:sz="4" w:space="0" w:color="auto"/>
              <w:right w:val="single" w:sz="4" w:space="0" w:color="auto"/>
            </w:tcBorders>
            <w:shd w:val="clear" w:color="auto" w:fill="auto"/>
            <w:noWrap/>
            <w:hideMark/>
          </w:tcPr>
          <w:p w14:paraId="1512D927"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36</w:t>
            </w:r>
          </w:p>
        </w:tc>
        <w:tc>
          <w:tcPr>
            <w:tcW w:w="3691" w:type="dxa"/>
            <w:tcBorders>
              <w:top w:val="nil"/>
              <w:left w:val="nil"/>
              <w:bottom w:val="single" w:sz="4" w:space="0" w:color="auto"/>
              <w:right w:val="single" w:sz="4" w:space="0" w:color="auto"/>
            </w:tcBorders>
            <w:shd w:val="clear" w:color="auto" w:fill="auto"/>
            <w:hideMark/>
          </w:tcPr>
          <w:p w14:paraId="0F217840" w14:textId="10F1D7DB" w:rsidR="00FC40CB" w:rsidRPr="008F4DF9" w:rsidRDefault="00573F8B" w:rsidP="00CB0294">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Ahorros:</w:t>
            </w:r>
            <w:r w:rsidRPr="008F4DF9">
              <w:rPr>
                <w:rFonts w:asciiTheme="minorHAnsi" w:hAnsiTheme="minorHAnsi"/>
                <w:sz w:val="20"/>
                <w:szCs w:val="20"/>
              </w:rPr>
              <w:t xml:space="preserve"> Gastos administrativos de la UICN</w:t>
            </w:r>
          </w:p>
        </w:tc>
      </w:tr>
      <w:tr w:rsidR="00FC40CB" w:rsidRPr="008F4DF9" w14:paraId="004CAC98" w14:textId="77777777" w:rsidTr="00C02579">
        <w:trPr>
          <w:trHeight w:val="1455"/>
        </w:trPr>
        <w:tc>
          <w:tcPr>
            <w:tcW w:w="1554" w:type="dxa"/>
            <w:tcBorders>
              <w:top w:val="nil"/>
              <w:left w:val="single" w:sz="4" w:space="0" w:color="auto"/>
              <w:bottom w:val="single" w:sz="4" w:space="0" w:color="auto"/>
              <w:right w:val="single" w:sz="4" w:space="0" w:color="auto"/>
            </w:tcBorders>
            <w:shd w:val="clear" w:color="auto" w:fill="auto"/>
            <w:hideMark/>
          </w:tcPr>
          <w:p w14:paraId="60228AFB" w14:textId="6E405B03"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Provisiones, diferencias de tipo de cambio y servicios jurídicos</w:t>
            </w:r>
          </w:p>
        </w:tc>
        <w:tc>
          <w:tcPr>
            <w:tcW w:w="1418" w:type="dxa"/>
            <w:tcBorders>
              <w:top w:val="nil"/>
              <w:left w:val="nil"/>
              <w:bottom w:val="single" w:sz="4" w:space="0" w:color="auto"/>
              <w:right w:val="single" w:sz="4" w:space="0" w:color="auto"/>
            </w:tcBorders>
            <w:shd w:val="clear" w:color="auto" w:fill="auto"/>
            <w:hideMark/>
          </w:tcPr>
          <w:p w14:paraId="283AB6B2"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25</w:t>
            </w:r>
          </w:p>
        </w:tc>
        <w:tc>
          <w:tcPr>
            <w:tcW w:w="1417" w:type="dxa"/>
            <w:tcBorders>
              <w:top w:val="nil"/>
              <w:left w:val="nil"/>
              <w:bottom w:val="single" w:sz="4" w:space="0" w:color="auto"/>
              <w:right w:val="single" w:sz="4" w:space="0" w:color="auto"/>
            </w:tcBorders>
            <w:shd w:val="clear" w:color="auto" w:fill="auto"/>
            <w:hideMark/>
          </w:tcPr>
          <w:p w14:paraId="6F7F99A3"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26</w:t>
            </w:r>
          </w:p>
        </w:tc>
        <w:tc>
          <w:tcPr>
            <w:tcW w:w="1276" w:type="dxa"/>
            <w:tcBorders>
              <w:top w:val="nil"/>
              <w:left w:val="nil"/>
              <w:bottom w:val="single" w:sz="4" w:space="0" w:color="auto"/>
              <w:right w:val="single" w:sz="4" w:space="0" w:color="auto"/>
            </w:tcBorders>
            <w:shd w:val="clear" w:color="auto" w:fill="auto"/>
            <w:noWrap/>
            <w:hideMark/>
          </w:tcPr>
          <w:p w14:paraId="0D35ED4A" w14:textId="77777777" w:rsidR="00FC40CB" w:rsidRPr="008F4DF9" w:rsidRDefault="00FC40CB" w:rsidP="00D67522">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51</w:t>
            </w:r>
          </w:p>
        </w:tc>
        <w:tc>
          <w:tcPr>
            <w:tcW w:w="3691" w:type="dxa"/>
            <w:tcBorders>
              <w:top w:val="nil"/>
              <w:left w:val="nil"/>
              <w:bottom w:val="single" w:sz="4" w:space="0" w:color="auto"/>
              <w:right w:val="single" w:sz="4" w:space="0" w:color="auto"/>
            </w:tcBorders>
            <w:shd w:val="clear" w:color="auto" w:fill="auto"/>
            <w:hideMark/>
          </w:tcPr>
          <w:p w14:paraId="68DCF916" w14:textId="3DF391C2" w:rsidR="00FC40CB" w:rsidRPr="008F4DF9" w:rsidRDefault="00573F8B" w:rsidP="00CB0294">
            <w:pPr>
              <w:ind w:left="0" w:firstLine="0"/>
              <w:rPr>
                <w:rFonts w:asciiTheme="minorHAnsi" w:eastAsia="Times New Roman" w:hAnsiTheme="minorHAnsi" w:cstheme="minorHAnsi"/>
                <w:sz w:val="20"/>
                <w:szCs w:val="20"/>
              </w:rPr>
            </w:pPr>
            <w:r w:rsidRPr="008F4DF9">
              <w:rPr>
                <w:rFonts w:asciiTheme="minorHAnsi" w:hAnsiTheme="minorHAnsi"/>
                <w:b/>
                <w:bCs/>
                <w:sz w:val="20"/>
                <w:szCs w:val="20"/>
              </w:rPr>
              <w:t>Fondos previamente comprometidos:</w:t>
            </w:r>
            <w:r w:rsidRPr="008F4DF9">
              <w:rPr>
                <w:rFonts w:asciiTheme="minorHAnsi" w:hAnsiTheme="minorHAnsi"/>
                <w:sz w:val="20"/>
                <w:szCs w:val="20"/>
              </w:rPr>
              <w:t xml:space="preserve"> (i) condición jurídica: 15 000 y (ii) consultas de asesoramiento jurídico: 10 000</w:t>
            </w:r>
            <w:r w:rsidRPr="008F4DF9">
              <w:rPr>
                <w:rFonts w:asciiTheme="minorHAnsi" w:hAnsiTheme="minorHAnsi"/>
                <w:sz w:val="20"/>
                <w:szCs w:val="20"/>
              </w:rPr>
              <w:br/>
            </w:r>
            <w:r w:rsidRPr="008F4DF9">
              <w:rPr>
                <w:rFonts w:asciiTheme="minorHAnsi" w:hAnsiTheme="minorHAnsi"/>
                <w:b/>
                <w:bCs/>
                <w:sz w:val="20"/>
                <w:szCs w:val="20"/>
              </w:rPr>
              <w:t>Ahorros</w:t>
            </w:r>
            <w:r w:rsidRPr="008F4DF9">
              <w:rPr>
                <w:rFonts w:asciiTheme="minorHAnsi" w:hAnsiTheme="minorHAnsi"/>
                <w:sz w:val="20"/>
                <w:szCs w:val="20"/>
              </w:rPr>
              <w:t>: netos de i) servicios jurídicos: 49 000, ii) provisiones presupuestadas: 6 000 y iii) pérdidas por el tipo de cambio para todos los departamentos: -29 000</w:t>
            </w:r>
          </w:p>
        </w:tc>
      </w:tr>
      <w:tr w:rsidR="00FC40CB" w:rsidRPr="008F4DF9" w14:paraId="03F4C903" w14:textId="77777777" w:rsidTr="00C02579">
        <w:trPr>
          <w:trHeight w:val="450"/>
        </w:trPr>
        <w:tc>
          <w:tcPr>
            <w:tcW w:w="1554" w:type="dxa"/>
            <w:tcBorders>
              <w:top w:val="nil"/>
              <w:left w:val="single" w:sz="4" w:space="0" w:color="auto"/>
              <w:bottom w:val="single" w:sz="4" w:space="0" w:color="auto"/>
              <w:right w:val="single" w:sz="4" w:space="0" w:color="auto"/>
            </w:tcBorders>
            <w:shd w:val="clear" w:color="000000" w:fill="DBE5F1"/>
            <w:noWrap/>
            <w:hideMark/>
          </w:tcPr>
          <w:p w14:paraId="1885F067" w14:textId="4D8D3422" w:rsidR="00FC40CB" w:rsidRPr="008F4DF9" w:rsidRDefault="00FC40CB" w:rsidP="00CB0294">
            <w:pPr>
              <w:ind w:left="0" w:firstLine="0"/>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Subtotal</w:t>
            </w:r>
          </w:p>
        </w:tc>
        <w:tc>
          <w:tcPr>
            <w:tcW w:w="1418" w:type="dxa"/>
            <w:tcBorders>
              <w:top w:val="nil"/>
              <w:left w:val="nil"/>
              <w:bottom w:val="single" w:sz="4" w:space="0" w:color="auto"/>
              <w:right w:val="single" w:sz="4" w:space="0" w:color="auto"/>
            </w:tcBorders>
            <w:shd w:val="clear" w:color="000000" w:fill="DBE5F1"/>
            <w:noWrap/>
            <w:hideMark/>
          </w:tcPr>
          <w:p w14:paraId="65646733" w14:textId="54C8B1F2"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588</w:t>
            </w:r>
          </w:p>
        </w:tc>
        <w:tc>
          <w:tcPr>
            <w:tcW w:w="1417" w:type="dxa"/>
            <w:tcBorders>
              <w:top w:val="nil"/>
              <w:left w:val="nil"/>
              <w:bottom w:val="single" w:sz="4" w:space="0" w:color="auto"/>
              <w:right w:val="single" w:sz="4" w:space="0" w:color="auto"/>
            </w:tcBorders>
            <w:shd w:val="clear" w:color="000000" w:fill="DBE5F1"/>
            <w:noWrap/>
            <w:hideMark/>
          </w:tcPr>
          <w:p w14:paraId="57D7F82F" w14:textId="5CE60608"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919</w:t>
            </w:r>
          </w:p>
        </w:tc>
        <w:tc>
          <w:tcPr>
            <w:tcW w:w="1276" w:type="dxa"/>
            <w:tcBorders>
              <w:top w:val="nil"/>
              <w:left w:val="nil"/>
              <w:bottom w:val="single" w:sz="4" w:space="0" w:color="auto"/>
              <w:right w:val="single" w:sz="4" w:space="0" w:color="auto"/>
            </w:tcBorders>
            <w:shd w:val="clear" w:color="000000" w:fill="DBE5F1"/>
            <w:noWrap/>
            <w:hideMark/>
          </w:tcPr>
          <w:p w14:paraId="1358FB45" w14:textId="10F43FE2"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1 507</w:t>
            </w:r>
          </w:p>
        </w:tc>
        <w:tc>
          <w:tcPr>
            <w:tcW w:w="3691" w:type="dxa"/>
            <w:tcBorders>
              <w:top w:val="nil"/>
              <w:left w:val="nil"/>
              <w:bottom w:val="single" w:sz="4" w:space="0" w:color="auto"/>
              <w:right w:val="single" w:sz="4" w:space="0" w:color="auto"/>
            </w:tcBorders>
            <w:shd w:val="clear" w:color="000000" w:fill="DBE5F1"/>
            <w:noWrap/>
            <w:hideMark/>
          </w:tcPr>
          <w:p w14:paraId="57AC3186" w14:textId="0726BD3D" w:rsidR="00FC40CB" w:rsidRPr="008F4DF9" w:rsidRDefault="00FC40CB" w:rsidP="00D67522">
            <w:pPr>
              <w:ind w:left="0" w:firstLine="0"/>
              <w:rPr>
                <w:rFonts w:asciiTheme="minorHAnsi" w:eastAsia="Times New Roman" w:hAnsiTheme="minorHAnsi" w:cstheme="minorHAnsi"/>
                <w:color w:val="000000"/>
                <w:sz w:val="20"/>
                <w:szCs w:val="20"/>
                <w:lang w:eastAsia="en-GB"/>
              </w:rPr>
            </w:pPr>
          </w:p>
        </w:tc>
      </w:tr>
      <w:tr w:rsidR="00FC40CB" w:rsidRPr="008F4DF9" w14:paraId="59C58409" w14:textId="77777777" w:rsidTr="00C02579">
        <w:trPr>
          <w:trHeight w:val="576"/>
        </w:trPr>
        <w:tc>
          <w:tcPr>
            <w:tcW w:w="1554" w:type="dxa"/>
            <w:tcBorders>
              <w:top w:val="nil"/>
              <w:left w:val="single" w:sz="4" w:space="0" w:color="auto"/>
              <w:bottom w:val="single" w:sz="4" w:space="0" w:color="auto"/>
              <w:right w:val="single" w:sz="4" w:space="0" w:color="auto"/>
            </w:tcBorders>
            <w:shd w:val="clear" w:color="auto" w:fill="auto"/>
            <w:noWrap/>
            <w:hideMark/>
          </w:tcPr>
          <w:p w14:paraId="60D017B5"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Déficit de ingresos con respecto al presupuesto</w:t>
            </w:r>
          </w:p>
        </w:tc>
        <w:tc>
          <w:tcPr>
            <w:tcW w:w="1418" w:type="dxa"/>
            <w:tcBorders>
              <w:top w:val="nil"/>
              <w:left w:val="nil"/>
              <w:bottom w:val="single" w:sz="4" w:space="0" w:color="auto"/>
              <w:right w:val="single" w:sz="4" w:space="0" w:color="auto"/>
            </w:tcBorders>
            <w:shd w:val="clear" w:color="auto" w:fill="auto"/>
            <w:hideMark/>
          </w:tcPr>
          <w:p w14:paraId="2A2A6D9F"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-20</w:t>
            </w:r>
          </w:p>
        </w:tc>
        <w:tc>
          <w:tcPr>
            <w:tcW w:w="1417" w:type="dxa"/>
            <w:tcBorders>
              <w:top w:val="nil"/>
              <w:left w:val="nil"/>
              <w:bottom w:val="single" w:sz="4" w:space="0" w:color="auto"/>
              <w:right w:val="single" w:sz="4" w:space="0" w:color="auto"/>
            </w:tcBorders>
            <w:shd w:val="clear" w:color="auto" w:fill="auto"/>
            <w:hideMark/>
          </w:tcPr>
          <w:p w14:paraId="38BC31B2" w14:textId="61CC94F0" w:rsidR="00FC40CB" w:rsidRPr="008F4DF9" w:rsidRDefault="00FC40CB" w:rsidP="00D67522">
            <w:pPr>
              <w:ind w:left="0" w:firstLine="0"/>
              <w:jc w:val="right"/>
              <w:rPr>
                <w:rFonts w:asciiTheme="minorHAnsi" w:eastAsia="Times New Roman" w:hAnsiTheme="minorHAnsi"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hideMark/>
          </w:tcPr>
          <w:p w14:paraId="26CB57B3"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-20</w:t>
            </w:r>
          </w:p>
        </w:tc>
        <w:tc>
          <w:tcPr>
            <w:tcW w:w="3691" w:type="dxa"/>
            <w:tcBorders>
              <w:top w:val="nil"/>
              <w:left w:val="nil"/>
              <w:bottom w:val="single" w:sz="4" w:space="0" w:color="auto"/>
              <w:right w:val="single" w:sz="4" w:space="0" w:color="auto"/>
            </w:tcBorders>
            <w:shd w:val="clear" w:color="auto" w:fill="auto"/>
            <w:hideMark/>
          </w:tcPr>
          <w:p w14:paraId="61F0464B" w14:textId="1DFC940B" w:rsidR="00FC40CB" w:rsidRPr="008F4DF9" w:rsidRDefault="00FC40CB" w:rsidP="00E8596C">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Disminución de impuesto sobre la renta: 23 000 y aumento de otros gastos (como los gastos de intereses): 3 000.</w:t>
            </w:r>
          </w:p>
        </w:tc>
      </w:tr>
      <w:tr w:rsidR="00FC40CB" w:rsidRPr="008F4DF9" w14:paraId="5D8D451A" w14:textId="77777777" w:rsidTr="00C02579">
        <w:trPr>
          <w:trHeight w:val="345"/>
        </w:trPr>
        <w:tc>
          <w:tcPr>
            <w:tcW w:w="1554" w:type="dxa"/>
            <w:tcBorders>
              <w:top w:val="nil"/>
              <w:left w:val="single" w:sz="4" w:space="0" w:color="auto"/>
              <w:bottom w:val="single" w:sz="4" w:space="0" w:color="auto"/>
              <w:right w:val="single" w:sz="4" w:space="0" w:color="auto"/>
            </w:tcBorders>
            <w:shd w:val="clear" w:color="auto" w:fill="auto"/>
            <w:noWrap/>
            <w:hideMark/>
          </w:tcPr>
          <w:p w14:paraId="0967307A"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Redondeo</w:t>
            </w:r>
          </w:p>
        </w:tc>
        <w:tc>
          <w:tcPr>
            <w:tcW w:w="1418" w:type="dxa"/>
            <w:tcBorders>
              <w:top w:val="nil"/>
              <w:left w:val="nil"/>
              <w:bottom w:val="single" w:sz="4" w:space="0" w:color="auto"/>
              <w:right w:val="single" w:sz="4" w:space="0" w:color="auto"/>
            </w:tcBorders>
            <w:shd w:val="clear" w:color="auto" w:fill="auto"/>
            <w:hideMark/>
          </w:tcPr>
          <w:p w14:paraId="56BB7EAD"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1</w:t>
            </w:r>
          </w:p>
        </w:tc>
        <w:tc>
          <w:tcPr>
            <w:tcW w:w="1417" w:type="dxa"/>
            <w:tcBorders>
              <w:top w:val="nil"/>
              <w:left w:val="nil"/>
              <w:bottom w:val="single" w:sz="4" w:space="0" w:color="auto"/>
              <w:right w:val="single" w:sz="4" w:space="0" w:color="auto"/>
            </w:tcBorders>
            <w:shd w:val="clear" w:color="auto" w:fill="auto"/>
            <w:hideMark/>
          </w:tcPr>
          <w:p w14:paraId="71F7A230" w14:textId="3BAEDE48" w:rsidR="00FC40CB" w:rsidRPr="008F4DF9" w:rsidRDefault="00FC40CB" w:rsidP="00D67522">
            <w:pPr>
              <w:ind w:left="0" w:firstLine="0"/>
              <w:jc w:val="right"/>
              <w:rPr>
                <w:rFonts w:asciiTheme="minorHAnsi" w:eastAsia="Times New Roman" w:hAnsiTheme="minorHAnsi" w:cstheme="minorHAnsi"/>
                <w:color w:val="000000"/>
                <w:sz w:val="20"/>
                <w:szCs w:val="20"/>
                <w:lang w:eastAsia="en-GB"/>
              </w:rPr>
            </w:pPr>
          </w:p>
        </w:tc>
        <w:tc>
          <w:tcPr>
            <w:tcW w:w="1276" w:type="dxa"/>
            <w:tcBorders>
              <w:top w:val="nil"/>
              <w:left w:val="nil"/>
              <w:bottom w:val="single" w:sz="4" w:space="0" w:color="auto"/>
              <w:right w:val="single" w:sz="4" w:space="0" w:color="auto"/>
            </w:tcBorders>
            <w:shd w:val="clear" w:color="auto" w:fill="auto"/>
            <w:noWrap/>
            <w:hideMark/>
          </w:tcPr>
          <w:p w14:paraId="4416087E" w14:textId="77777777" w:rsidR="00FC40CB" w:rsidRPr="008F4DF9" w:rsidRDefault="00FC40CB" w:rsidP="00D67522">
            <w:pPr>
              <w:ind w:left="0" w:firstLine="0"/>
              <w:jc w:val="right"/>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1</w:t>
            </w:r>
          </w:p>
        </w:tc>
        <w:tc>
          <w:tcPr>
            <w:tcW w:w="3691" w:type="dxa"/>
            <w:tcBorders>
              <w:top w:val="nil"/>
              <w:left w:val="nil"/>
              <w:bottom w:val="single" w:sz="4" w:space="0" w:color="auto"/>
              <w:right w:val="single" w:sz="4" w:space="0" w:color="auto"/>
            </w:tcBorders>
            <w:shd w:val="clear" w:color="auto" w:fill="auto"/>
            <w:noWrap/>
            <w:hideMark/>
          </w:tcPr>
          <w:p w14:paraId="1C50A9C2" w14:textId="77777777" w:rsidR="00FC40CB" w:rsidRPr="008F4DF9" w:rsidRDefault="00FC40CB" w:rsidP="00D67522">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Redondeo</w:t>
            </w:r>
          </w:p>
        </w:tc>
      </w:tr>
      <w:tr w:rsidR="00FC40CB" w:rsidRPr="008F4DF9" w14:paraId="0D906FFC" w14:textId="77777777" w:rsidTr="00C02579">
        <w:trPr>
          <w:trHeight w:val="480"/>
        </w:trPr>
        <w:tc>
          <w:tcPr>
            <w:tcW w:w="1554" w:type="dxa"/>
            <w:tcBorders>
              <w:top w:val="nil"/>
              <w:left w:val="single" w:sz="4" w:space="0" w:color="auto"/>
              <w:bottom w:val="single" w:sz="4" w:space="0" w:color="auto"/>
              <w:right w:val="single" w:sz="4" w:space="0" w:color="auto"/>
            </w:tcBorders>
            <w:shd w:val="clear" w:color="000000" w:fill="DBE5F1"/>
            <w:noWrap/>
            <w:hideMark/>
          </w:tcPr>
          <w:p w14:paraId="0FA0D72E" w14:textId="77777777" w:rsidR="00FC40CB" w:rsidRPr="008F4DF9" w:rsidRDefault="00FC40CB" w:rsidP="00D67522">
            <w:pPr>
              <w:ind w:left="0" w:firstLine="0"/>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Saldo total del presupuesto básico para 2019</w:t>
            </w:r>
          </w:p>
        </w:tc>
        <w:tc>
          <w:tcPr>
            <w:tcW w:w="1418" w:type="dxa"/>
            <w:tcBorders>
              <w:top w:val="nil"/>
              <w:left w:val="nil"/>
              <w:bottom w:val="single" w:sz="4" w:space="0" w:color="auto"/>
              <w:right w:val="single" w:sz="4" w:space="0" w:color="auto"/>
            </w:tcBorders>
            <w:shd w:val="clear" w:color="000000" w:fill="DBE5F1"/>
            <w:noWrap/>
            <w:hideMark/>
          </w:tcPr>
          <w:p w14:paraId="286BC64C" w14:textId="77777777"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569</w:t>
            </w:r>
          </w:p>
        </w:tc>
        <w:tc>
          <w:tcPr>
            <w:tcW w:w="1417" w:type="dxa"/>
            <w:tcBorders>
              <w:top w:val="nil"/>
              <w:left w:val="nil"/>
              <w:bottom w:val="single" w:sz="4" w:space="0" w:color="auto"/>
              <w:right w:val="single" w:sz="4" w:space="0" w:color="auto"/>
            </w:tcBorders>
            <w:shd w:val="clear" w:color="000000" w:fill="DBE5F1"/>
            <w:noWrap/>
            <w:hideMark/>
          </w:tcPr>
          <w:p w14:paraId="49A30922" w14:textId="77777777"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919</w:t>
            </w:r>
          </w:p>
        </w:tc>
        <w:tc>
          <w:tcPr>
            <w:tcW w:w="1276" w:type="dxa"/>
            <w:tcBorders>
              <w:top w:val="nil"/>
              <w:left w:val="nil"/>
              <w:bottom w:val="single" w:sz="4" w:space="0" w:color="auto"/>
              <w:right w:val="single" w:sz="4" w:space="0" w:color="auto"/>
            </w:tcBorders>
            <w:shd w:val="clear" w:color="000000" w:fill="DBE5F1"/>
            <w:noWrap/>
            <w:hideMark/>
          </w:tcPr>
          <w:p w14:paraId="0EA227AF" w14:textId="1BB5232A" w:rsidR="00FC40CB" w:rsidRPr="008F4DF9" w:rsidRDefault="00FC40CB" w:rsidP="00D67522">
            <w:pPr>
              <w:ind w:left="0" w:firstLine="0"/>
              <w:jc w:val="right"/>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1 488</w:t>
            </w:r>
          </w:p>
        </w:tc>
        <w:tc>
          <w:tcPr>
            <w:tcW w:w="3691" w:type="dxa"/>
            <w:tcBorders>
              <w:top w:val="nil"/>
              <w:left w:val="nil"/>
              <w:bottom w:val="single" w:sz="4" w:space="0" w:color="auto"/>
              <w:right w:val="single" w:sz="4" w:space="0" w:color="auto"/>
            </w:tcBorders>
            <w:shd w:val="clear" w:color="000000" w:fill="DBE5F1"/>
            <w:noWrap/>
            <w:hideMark/>
          </w:tcPr>
          <w:p w14:paraId="7DD91F3D" w14:textId="4E2E2BCE" w:rsidR="00FC40CB" w:rsidRPr="008F4DF9" w:rsidRDefault="00FC40CB" w:rsidP="00D67522">
            <w:pPr>
              <w:ind w:left="0" w:firstLine="0"/>
              <w:rPr>
                <w:rFonts w:asciiTheme="minorHAnsi" w:eastAsia="Times New Roman" w:hAnsiTheme="minorHAnsi" w:cstheme="minorHAnsi"/>
                <w:color w:val="000000"/>
                <w:sz w:val="20"/>
                <w:szCs w:val="20"/>
                <w:lang w:eastAsia="en-GB"/>
              </w:rPr>
            </w:pPr>
          </w:p>
        </w:tc>
      </w:tr>
    </w:tbl>
    <w:p w14:paraId="49891DE7" w14:textId="77777777" w:rsidR="0068105F" w:rsidRPr="008F4DF9" w:rsidRDefault="0068105F" w:rsidP="00162710"/>
    <w:p w14:paraId="356E4F43" w14:textId="13088954" w:rsidR="004753C0" w:rsidRPr="008F4DF9" w:rsidRDefault="00FA0633" w:rsidP="00162710">
      <w:r w:rsidRPr="008F4DF9">
        <w:t>9.</w:t>
      </w:r>
      <w:r w:rsidRPr="008F4DF9">
        <w:tab/>
        <w:t>Se destacan los siguientes puntos para información del Comité Permanente:</w:t>
      </w:r>
    </w:p>
    <w:p w14:paraId="63E3886B" w14:textId="77777777" w:rsidR="00112F62" w:rsidRPr="008F4DF9" w:rsidRDefault="00112F62" w:rsidP="00162710">
      <w:pPr>
        <w:pStyle w:val="NoSpacing"/>
        <w:ind w:left="850"/>
      </w:pPr>
    </w:p>
    <w:p w14:paraId="2AF561DD" w14:textId="15C19C92" w:rsidR="004753C0" w:rsidRPr="008F4DF9" w:rsidRDefault="00112F62" w:rsidP="00162710">
      <w:pPr>
        <w:pStyle w:val="NoSpacing"/>
        <w:ind w:left="850"/>
      </w:pPr>
      <w:r w:rsidRPr="008F4DF9">
        <w:t>a.</w:t>
      </w:r>
      <w:r w:rsidRPr="008F4DF9">
        <w:tab/>
        <w:t>En términos generales, los ingresos cumplen las previsiones presupuestarias, salvo en el caso del impuesto sobre la renta, que está 23 000 francos suizos por debajo de lo previsto debido a las vacantes, mientras que los demás ingresos, incluidos los ingresos por concepto de intereses, arrojan un saldo de 3 000 francos suizos por encima de lo presupuestado.</w:t>
      </w:r>
    </w:p>
    <w:p w14:paraId="22B831D4" w14:textId="77777777" w:rsidR="00126808" w:rsidRPr="008F4DF9" w:rsidRDefault="00126808" w:rsidP="00162710">
      <w:pPr>
        <w:pStyle w:val="NoSpacing"/>
        <w:ind w:left="850"/>
      </w:pPr>
    </w:p>
    <w:p w14:paraId="0F5C63FE" w14:textId="7EF1F694" w:rsidR="004753C0" w:rsidRPr="008F4DF9" w:rsidRDefault="00112F62" w:rsidP="00162710">
      <w:pPr>
        <w:pStyle w:val="NoSpacing"/>
        <w:ind w:left="850"/>
      </w:pPr>
      <w:r w:rsidRPr="008F4DF9">
        <w:t>b.</w:t>
      </w:r>
      <w:r w:rsidRPr="008F4DF9">
        <w:tab/>
        <w:t>El importe total de los costos salariales es de 2 983 000 francos suizos, lo que supone un índice de ejecución del presupuesto del 84% y los gastos salariales representan el 66% de los gastos totales.</w:t>
      </w:r>
    </w:p>
    <w:p w14:paraId="6674AFCF" w14:textId="77777777" w:rsidR="00112F62" w:rsidRPr="008F4DF9" w:rsidRDefault="00112F62" w:rsidP="00162710">
      <w:pPr>
        <w:pStyle w:val="NoSpacing"/>
        <w:ind w:left="850"/>
      </w:pPr>
    </w:p>
    <w:p w14:paraId="25897C4E" w14:textId="4F5B87D8" w:rsidR="008D5BB1" w:rsidRPr="008F4DF9" w:rsidRDefault="00112F62" w:rsidP="00162710">
      <w:pPr>
        <w:pStyle w:val="NoSpacing"/>
        <w:ind w:left="850"/>
        <w:rPr>
          <w:highlight w:val="cyan"/>
        </w:rPr>
      </w:pPr>
      <w:r w:rsidRPr="008F4DF9">
        <w:t>c.</w:t>
      </w:r>
      <w:r w:rsidRPr="008F4DF9">
        <w:tab/>
        <w:t xml:space="preserve">No ha habido incrementos impuestos por la UICN por aumento del costo de la vida desde 2011. El sistema de incrementos salariales vinculados al desempeño establecido por la UICN en 2017 se aplicó a la Secretaría en 2019 en consonancia con las políticas y prácticas de la UICN. En 2019, la Secretaría también aplicó la política de promoción de la UICN de conformidad con las directrices de la UICN para la promoción de los recursos humanos a escala mundial de 2019. Los aumentos salariales resultantes ya habían sido incluidos en el presupuesto aprobado para el trienio (Resolución XIII.2, párrafo 14 y anexo 1). </w:t>
      </w:r>
    </w:p>
    <w:p w14:paraId="26728997" w14:textId="77777777" w:rsidR="00112F62" w:rsidRPr="008F4DF9" w:rsidRDefault="00112F62" w:rsidP="00162710">
      <w:pPr>
        <w:pStyle w:val="NoSpacing"/>
        <w:ind w:left="850"/>
      </w:pPr>
    </w:p>
    <w:p w14:paraId="35EAA4C6" w14:textId="7E16207D" w:rsidR="004F6BEB" w:rsidRPr="008F4DF9" w:rsidRDefault="00112F62" w:rsidP="00162710">
      <w:pPr>
        <w:pStyle w:val="NoSpacing"/>
        <w:ind w:left="850"/>
      </w:pPr>
      <w:r w:rsidRPr="008F4DF9">
        <w:t>d.</w:t>
      </w:r>
      <w:r w:rsidRPr="008F4DF9">
        <w:tab/>
        <w:t xml:space="preserve">Se presupuestaron y utilizaron correctamente las provisiones, en particular mediante la aplicación de la decisión SC57-47 del Comité Permanente de aumentar en 178 000 francos suizos la provisión para las contribuciones pendientes. Este aumento sustancial fue consecuencia de la solicitud de los auditores de modificar la metodología para el cálculo de la provisión para las contribuciones pendientes. </w:t>
      </w:r>
    </w:p>
    <w:p w14:paraId="4BE13ACC" w14:textId="77777777" w:rsidR="004F6BEB" w:rsidRPr="008F4DF9" w:rsidRDefault="004F6BEB" w:rsidP="00162710">
      <w:pPr>
        <w:pStyle w:val="NoSpacing"/>
        <w:ind w:left="850" w:firstLine="0"/>
      </w:pPr>
    </w:p>
    <w:p w14:paraId="4D569B2F" w14:textId="440E9D21" w:rsidR="0019536E" w:rsidRPr="008F4DF9" w:rsidRDefault="00FA0633" w:rsidP="00FA0633">
      <w:pPr>
        <w:pStyle w:val="NoSpacing"/>
        <w:ind w:left="851"/>
      </w:pPr>
      <w:r w:rsidRPr="008F4DF9">
        <w:t>e.</w:t>
      </w:r>
      <w:r w:rsidRPr="008F4DF9">
        <w:tab/>
        <w:t>Las provisiones presupuestadas para las contribuciones pendientes ascendieron a 228 000 francos suizos (50 000 francos suizos del presupuesto básico, más 57 000 francos suizos comprometidos en el presupuesto de 2018 y 121 000 francos suizos correspondientes a la utilización del excedente autorizada en la reunión SC57). Sin embargo, el aumento real de la provisión para las contribuciones pendientes fue de 233 000 francos suizos. La diferencia se compensó con la variación neta de las provisiones correspondientes al personal de 10 800 francos suizos, como resultado de un aumento de la provisión para la separación del personal de 6 800 francos suizos, una disminución de la provisión para repatriación del personal de 14 200 francos suizos y una disminución de la provisión para vacaciones del personal de 3 400 francos suizos.</w:t>
      </w:r>
    </w:p>
    <w:p w14:paraId="6A21A7E8" w14:textId="6599F574" w:rsidR="00383EED" w:rsidRPr="008F4DF9" w:rsidRDefault="00383EED" w:rsidP="00162710">
      <w:pPr>
        <w:pStyle w:val="NoSpacing"/>
        <w:ind w:left="0" w:firstLine="0"/>
      </w:pPr>
    </w:p>
    <w:p w14:paraId="131523C0" w14:textId="59F6C755" w:rsidR="004753C0" w:rsidRPr="008F4DF9" w:rsidRDefault="00FA0633" w:rsidP="00162710">
      <w:pPr>
        <w:pStyle w:val="NoSpacing"/>
        <w:ind w:left="850"/>
      </w:pPr>
      <w:r w:rsidRPr="008F4DF9">
        <w:t>f.</w:t>
      </w:r>
      <w:r w:rsidRPr="008F4DF9">
        <w:tab/>
        <w:t xml:space="preserve">La Secretaría considera que en el futuro sería más claro tener dos partidas presupuestarias separadas para las provisiones, una para las provisiones correspondientes al personal y otra para las provisiones correspondientes a las contribuciones pendientes. Esto permitiría una mejor gestión y transparencia en el uso de las provisiones. </w:t>
      </w:r>
    </w:p>
    <w:p w14:paraId="2D093193" w14:textId="77777777" w:rsidR="000F435C" w:rsidRPr="008F4DF9" w:rsidRDefault="000F435C" w:rsidP="00162710">
      <w:pPr>
        <w:pStyle w:val="NoSpacing"/>
        <w:ind w:left="850"/>
      </w:pPr>
    </w:p>
    <w:p w14:paraId="7DBBFE8A" w14:textId="68670EF6" w:rsidR="00BD1DFC" w:rsidRPr="008F4DF9" w:rsidRDefault="00FA0633" w:rsidP="00162710">
      <w:pPr>
        <w:pStyle w:val="NoSpacing"/>
      </w:pPr>
      <w:r w:rsidRPr="008F4DF9">
        <w:t>10.</w:t>
      </w:r>
      <w:r w:rsidRPr="008F4DF9">
        <w:tab/>
        <w:t xml:space="preserve">Como se menciona en el párrafo 8, los fondos previamente comprometidos y los saldos no comprometidos o no gastados se traspasarán a 2020. </w:t>
      </w:r>
    </w:p>
    <w:p w14:paraId="14318ACF" w14:textId="77777777" w:rsidR="00E02B6E" w:rsidRPr="008F4DF9" w:rsidRDefault="00E02B6E" w:rsidP="00162710">
      <w:pPr>
        <w:pStyle w:val="NoSpacing"/>
      </w:pPr>
    </w:p>
    <w:p w14:paraId="3ECE0B0A" w14:textId="7C4A4959" w:rsidR="009A176F" w:rsidRPr="008F4DF9" w:rsidRDefault="00FA0633" w:rsidP="00162710">
      <w:pPr>
        <w:pStyle w:val="NoSpacing"/>
      </w:pPr>
      <w:r w:rsidRPr="008F4DF9">
        <w:t>11.</w:t>
      </w:r>
      <w:r w:rsidRPr="008F4DF9">
        <w:tab/>
        <w:t>Los fondos que antes de 2017 se habían transferido a proyectos no financiados con cargo al presupuesto básico se mantienen en la categoría de financiación con el presupuesto no básico y se están utilizando para el fin específico aprobado por la Decisión SC54-26. En el informe sobre los fondos complementarios que figura en el anexo 3 se ofrece una visión general al respecto La práctica de estos traspasos se interrumpió en 2017.</w:t>
      </w:r>
    </w:p>
    <w:p w14:paraId="244D2A4A" w14:textId="77777777" w:rsidR="009A176F" w:rsidRPr="008F4DF9" w:rsidRDefault="009A176F" w:rsidP="00162710">
      <w:pPr>
        <w:pStyle w:val="NoSpacing"/>
        <w:ind w:firstLine="0"/>
      </w:pPr>
    </w:p>
    <w:p w14:paraId="4359CCAF" w14:textId="30854B20" w:rsidR="00D31409" w:rsidRPr="008F4DF9" w:rsidRDefault="00FA0633" w:rsidP="00FA0633">
      <w:pPr>
        <w:pStyle w:val="NoSpacing"/>
      </w:pPr>
      <w:r w:rsidRPr="008F4DF9">
        <w:t>12.</w:t>
      </w:r>
      <w:r w:rsidRPr="008F4DF9">
        <w:tab/>
        <w:t>En 2019 había que hacer algunas correcciones de los gastos que se habían contabilizado en los proyectos no financiados con cargo al presupuesto básico. La asignación de esos recursos había sido aprobada por el Comité Permanente, como se indica en el cuadro 2.</w:t>
      </w:r>
    </w:p>
    <w:p w14:paraId="77180C04" w14:textId="77777777" w:rsidR="00304F7C" w:rsidRPr="008F4DF9" w:rsidRDefault="00304F7C" w:rsidP="00162710">
      <w:pPr>
        <w:pStyle w:val="NoSpacing"/>
      </w:pPr>
    </w:p>
    <w:p w14:paraId="79EC6668" w14:textId="69103E1D" w:rsidR="005273D4" w:rsidRPr="008F4DF9" w:rsidRDefault="005273D4" w:rsidP="00FA0633">
      <w:pPr>
        <w:pStyle w:val="NoSpacing"/>
        <w:ind w:left="0" w:firstLine="0"/>
        <w:rPr>
          <w:i/>
        </w:rPr>
      </w:pPr>
      <w:r w:rsidRPr="008F4DF9">
        <w:rPr>
          <w:i/>
        </w:rPr>
        <w:t>Cuadro 2: Correcciones entre presupuesto básico y no básico en 2019 (en miles de francos suizos con posibles diferencias de redondeo)</w:t>
      </w:r>
    </w:p>
    <w:tbl>
      <w:tblPr>
        <w:tblStyle w:val="TableGrid"/>
        <w:tblW w:w="9214" w:type="dxa"/>
        <w:tblInd w:w="-5" w:type="dxa"/>
        <w:tblCellMar>
          <w:top w:w="28" w:type="dxa"/>
          <w:left w:w="57" w:type="dxa"/>
          <w:bottom w:w="28" w:type="dxa"/>
          <w:right w:w="57" w:type="dxa"/>
        </w:tblCellMar>
        <w:tblLook w:val="04A0" w:firstRow="1" w:lastRow="0" w:firstColumn="1" w:lastColumn="0" w:noHBand="0" w:noVBand="1"/>
      </w:tblPr>
      <w:tblGrid>
        <w:gridCol w:w="851"/>
        <w:gridCol w:w="6804"/>
        <w:gridCol w:w="1559"/>
      </w:tblGrid>
      <w:tr w:rsidR="005273D4" w:rsidRPr="008F4DF9" w14:paraId="20BF13BA" w14:textId="77777777" w:rsidTr="00941F90">
        <w:tc>
          <w:tcPr>
            <w:tcW w:w="851" w:type="dxa"/>
            <w:shd w:val="clear" w:color="auto" w:fill="DBE5F1" w:themeFill="accent1" w:themeFillTint="33"/>
          </w:tcPr>
          <w:p w14:paraId="3DD91BA6" w14:textId="14BEC3EA" w:rsidR="005273D4" w:rsidRPr="008F4DF9" w:rsidRDefault="005273D4" w:rsidP="00941F90">
            <w:pPr>
              <w:pStyle w:val="NoSpacing"/>
              <w:ind w:left="0" w:firstLine="0"/>
              <w:jc w:val="center"/>
              <w:rPr>
                <w:b/>
                <w:sz w:val="20"/>
                <w:szCs w:val="20"/>
              </w:rPr>
            </w:pPr>
            <w:r w:rsidRPr="008F4DF9">
              <w:rPr>
                <w:b/>
                <w:sz w:val="20"/>
                <w:szCs w:val="20"/>
              </w:rPr>
              <w:t>Partida</w:t>
            </w:r>
          </w:p>
        </w:tc>
        <w:tc>
          <w:tcPr>
            <w:tcW w:w="6804" w:type="dxa"/>
            <w:shd w:val="clear" w:color="auto" w:fill="DBE5F1" w:themeFill="accent1" w:themeFillTint="33"/>
          </w:tcPr>
          <w:p w14:paraId="4D0678A9" w14:textId="6914E65C" w:rsidR="005273D4" w:rsidRPr="008F4DF9" w:rsidRDefault="005273D4" w:rsidP="00941F90">
            <w:pPr>
              <w:pStyle w:val="NoSpacing"/>
              <w:ind w:left="0" w:firstLine="0"/>
              <w:jc w:val="center"/>
              <w:rPr>
                <w:b/>
                <w:sz w:val="20"/>
                <w:szCs w:val="20"/>
              </w:rPr>
            </w:pPr>
            <w:r w:rsidRPr="008F4DF9">
              <w:rPr>
                <w:b/>
                <w:sz w:val="20"/>
                <w:szCs w:val="20"/>
              </w:rPr>
              <w:t>Descripción</w:t>
            </w:r>
          </w:p>
        </w:tc>
        <w:tc>
          <w:tcPr>
            <w:tcW w:w="1559" w:type="dxa"/>
            <w:shd w:val="clear" w:color="auto" w:fill="DBE5F1" w:themeFill="accent1" w:themeFillTint="33"/>
          </w:tcPr>
          <w:p w14:paraId="0C4FBE92" w14:textId="2A3ACDB8" w:rsidR="005273D4" w:rsidRPr="008F4DF9" w:rsidRDefault="005273D4" w:rsidP="00941F90">
            <w:pPr>
              <w:pStyle w:val="NoSpacing"/>
              <w:ind w:left="0" w:firstLine="0"/>
              <w:jc w:val="center"/>
              <w:rPr>
                <w:b/>
                <w:sz w:val="20"/>
                <w:szCs w:val="20"/>
              </w:rPr>
            </w:pPr>
            <w:r w:rsidRPr="008F4DF9">
              <w:rPr>
                <w:b/>
                <w:sz w:val="20"/>
                <w:szCs w:val="20"/>
              </w:rPr>
              <w:t>Importe</w:t>
            </w:r>
          </w:p>
        </w:tc>
      </w:tr>
      <w:tr w:rsidR="005273D4" w:rsidRPr="008F4DF9" w14:paraId="59572CA9" w14:textId="77777777" w:rsidTr="00941F90">
        <w:tc>
          <w:tcPr>
            <w:tcW w:w="851" w:type="dxa"/>
          </w:tcPr>
          <w:p w14:paraId="5D6498D7" w14:textId="03B4BB8F" w:rsidR="005273D4" w:rsidRPr="008F4DF9" w:rsidRDefault="005273D4" w:rsidP="00753CDA">
            <w:pPr>
              <w:pStyle w:val="NoSpacing"/>
              <w:ind w:left="0" w:firstLine="0"/>
              <w:rPr>
                <w:sz w:val="20"/>
                <w:szCs w:val="20"/>
              </w:rPr>
            </w:pPr>
            <w:r w:rsidRPr="008F4DF9">
              <w:rPr>
                <w:sz w:val="20"/>
                <w:szCs w:val="20"/>
              </w:rPr>
              <w:t>1.</w:t>
            </w:r>
          </w:p>
        </w:tc>
        <w:tc>
          <w:tcPr>
            <w:tcW w:w="6804" w:type="dxa"/>
          </w:tcPr>
          <w:p w14:paraId="77485AE0" w14:textId="478C1B84" w:rsidR="005273D4" w:rsidRPr="008F4DF9" w:rsidRDefault="005273D4" w:rsidP="00753CDA">
            <w:pPr>
              <w:pStyle w:val="NoSpacing"/>
              <w:ind w:left="0" w:firstLine="0"/>
              <w:rPr>
                <w:sz w:val="20"/>
                <w:szCs w:val="20"/>
              </w:rPr>
            </w:pPr>
            <w:r w:rsidRPr="008F4DF9">
              <w:rPr>
                <w:sz w:val="20"/>
                <w:szCs w:val="20"/>
              </w:rPr>
              <w:t xml:space="preserve">Complemento para delegados patrocinados en la COP13 (SC57 Doc.7.1, párrafo 12)* </w:t>
            </w:r>
          </w:p>
        </w:tc>
        <w:tc>
          <w:tcPr>
            <w:tcW w:w="1559" w:type="dxa"/>
          </w:tcPr>
          <w:p w14:paraId="2DD33D5C" w14:textId="55531074" w:rsidR="005273D4" w:rsidRPr="008F4DF9" w:rsidRDefault="00626AAF" w:rsidP="00162710">
            <w:pPr>
              <w:pStyle w:val="NoSpacing"/>
              <w:ind w:left="0" w:firstLine="0"/>
              <w:jc w:val="right"/>
              <w:rPr>
                <w:sz w:val="20"/>
                <w:szCs w:val="20"/>
              </w:rPr>
            </w:pPr>
            <w:r w:rsidRPr="008F4DF9">
              <w:rPr>
                <w:sz w:val="20"/>
                <w:szCs w:val="20"/>
              </w:rPr>
              <w:t>75</w:t>
            </w:r>
          </w:p>
        </w:tc>
      </w:tr>
      <w:tr w:rsidR="005273D4" w:rsidRPr="008F4DF9" w14:paraId="1D513370" w14:textId="77777777" w:rsidTr="00941F90">
        <w:tc>
          <w:tcPr>
            <w:tcW w:w="851" w:type="dxa"/>
            <w:tcBorders>
              <w:bottom w:val="single" w:sz="4" w:space="0" w:color="auto"/>
            </w:tcBorders>
          </w:tcPr>
          <w:p w14:paraId="005932E7" w14:textId="65086421" w:rsidR="005273D4" w:rsidRPr="008F4DF9" w:rsidRDefault="005273D4" w:rsidP="00753CDA">
            <w:pPr>
              <w:pStyle w:val="NoSpacing"/>
              <w:ind w:left="0" w:firstLine="0"/>
              <w:rPr>
                <w:sz w:val="20"/>
                <w:szCs w:val="20"/>
              </w:rPr>
            </w:pPr>
            <w:r w:rsidRPr="008F4DF9">
              <w:rPr>
                <w:sz w:val="20"/>
                <w:szCs w:val="20"/>
              </w:rPr>
              <w:t>2.</w:t>
            </w:r>
          </w:p>
        </w:tc>
        <w:tc>
          <w:tcPr>
            <w:tcW w:w="6804" w:type="dxa"/>
            <w:tcBorders>
              <w:bottom w:val="single" w:sz="4" w:space="0" w:color="auto"/>
            </w:tcBorders>
          </w:tcPr>
          <w:p w14:paraId="790283C8" w14:textId="36B413BD" w:rsidR="005273D4" w:rsidRPr="008F4DF9" w:rsidRDefault="00626AAF" w:rsidP="00753CDA">
            <w:pPr>
              <w:pStyle w:val="NoSpacing"/>
              <w:ind w:left="0" w:firstLine="0"/>
              <w:rPr>
                <w:sz w:val="20"/>
                <w:szCs w:val="20"/>
              </w:rPr>
            </w:pPr>
            <w:r w:rsidRPr="008F4DF9">
              <w:rPr>
                <w:sz w:val="20"/>
                <w:szCs w:val="20"/>
              </w:rPr>
              <w:t xml:space="preserve">Corrección en relación con la IRR de la cuenca del Amazonas (SC57 Doc.7.1, párrafo 16)** </w:t>
            </w:r>
          </w:p>
        </w:tc>
        <w:tc>
          <w:tcPr>
            <w:tcW w:w="1559" w:type="dxa"/>
            <w:tcBorders>
              <w:bottom w:val="single" w:sz="4" w:space="0" w:color="auto"/>
            </w:tcBorders>
          </w:tcPr>
          <w:p w14:paraId="708694E1" w14:textId="0241D722" w:rsidR="005273D4" w:rsidRPr="008F4DF9" w:rsidRDefault="00626AAF" w:rsidP="00162710">
            <w:pPr>
              <w:pStyle w:val="NoSpacing"/>
              <w:ind w:left="0" w:firstLine="0"/>
              <w:jc w:val="right"/>
              <w:rPr>
                <w:sz w:val="20"/>
                <w:szCs w:val="20"/>
              </w:rPr>
            </w:pPr>
            <w:r w:rsidRPr="008F4DF9">
              <w:rPr>
                <w:sz w:val="20"/>
                <w:szCs w:val="20"/>
              </w:rPr>
              <w:t>7</w:t>
            </w:r>
          </w:p>
        </w:tc>
      </w:tr>
      <w:tr w:rsidR="005273D4" w:rsidRPr="008F4DF9" w14:paraId="7224154A" w14:textId="77777777" w:rsidTr="00941F90">
        <w:tc>
          <w:tcPr>
            <w:tcW w:w="851" w:type="dxa"/>
            <w:tcBorders>
              <w:bottom w:val="single" w:sz="8" w:space="0" w:color="auto"/>
            </w:tcBorders>
          </w:tcPr>
          <w:p w14:paraId="3ABB63AE" w14:textId="3566154C" w:rsidR="005273D4" w:rsidRPr="008F4DF9" w:rsidRDefault="005273D4" w:rsidP="00753CDA">
            <w:pPr>
              <w:pStyle w:val="NoSpacing"/>
              <w:ind w:left="0" w:firstLine="0"/>
              <w:rPr>
                <w:sz w:val="20"/>
                <w:szCs w:val="20"/>
              </w:rPr>
            </w:pPr>
            <w:r w:rsidRPr="008F4DF9">
              <w:rPr>
                <w:sz w:val="20"/>
                <w:szCs w:val="20"/>
              </w:rPr>
              <w:t>3.</w:t>
            </w:r>
          </w:p>
        </w:tc>
        <w:tc>
          <w:tcPr>
            <w:tcW w:w="6804" w:type="dxa"/>
            <w:tcBorders>
              <w:bottom w:val="single" w:sz="8" w:space="0" w:color="auto"/>
            </w:tcBorders>
          </w:tcPr>
          <w:p w14:paraId="41EBDAE9" w14:textId="027949C1" w:rsidR="005273D4" w:rsidRPr="008F4DF9" w:rsidRDefault="00626AAF" w:rsidP="00753CDA">
            <w:pPr>
              <w:pStyle w:val="NoSpacing"/>
              <w:ind w:left="0" w:firstLine="0"/>
              <w:rPr>
                <w:sz w:val="20"/>
                <w:szCs w:val="20"/>
              </w:rPr>
            </w:pPr>
            <w:r w:rsidRPr="008F4DF9">
              <w:rPr>
                <w:sz w:val="20"/>
                <w:szCs w:val="20"/>
              </w:rPr>
              <w:t xml:space="preserve">Reposición de las contribuciones voluntarias de África (SC57 Doc.7.3, párrafo 18) </w:t>
            </w:r>
          </w:p>
        </w:tc>
        <w:tc>
          <w:tcPr>
            <w:tcW w:w="1559" w:type="dxa"/>
            <w:tcBorders>
              <w:bottom w:val="single" w:sz="8" w:space="0" w:color="auto"/>
            </w:tcBorders>
          </w:tcPr>
          <w:p w14:paraId="1039E82D" w14:textId="665EAC43" w:rsidR="005273D4" w:rsidRPr="008F4DF9" w:rsidRDefault="00626AAF" w:rsidP="00162710">
            <w:pPr>
              <w:pStyle w:val="NoSpacing"/>
              <w:ind w:left="0" w:firstLine="0"/>
              <w:jc w:val="right"/>
              <w:rPr>
                <w:sz w:val="20"/>
                <w:szCs w:val="20"/>
              </w:rPr>
            </w:pPr>
            <w:r w:rsidRPr="008F4DF9">
              <w:rPr>
                <w:sz w:val="20"/>
                <w:szCs w:val="20"/>
              </w:rPr>
              <w:t>33</w:t>
            </w:r>
          </w:p>
        </w:tc>
      </w:tr>
      <w:tr w:rsidR="005273D4" w:rsidRPr="008F4DF9" w14:paraId="03087D37" w14:textId="77777777" w:rsidTr="00941F90">
        <w:tc>
          <w:tcPr>
            <w:tcW w:w="851" w:type="dxa"/>
            <w:tcBorders>
              <w:top w:val="single" w:sz="8" w:space="0" w:color="auto"/>
            </w:tcBorders>
            <w:shd w:val="clear" w:color="auto" w:fill="B8CCE4" w:themeFill="accent1" w:themeFillTint="66"/>
          </w:tcPr>
          <w:p w14:paraId="4F2F13B9" w14:textId="77777777" w:rsidR="005273D4" w:rsidRPr="008F4DF9" w:rsidRDefault="005273D4" w:rsidP="00162710">
            <w:pPr>
              <w:pStyle w:val="NoSpacing"/>
              <w:ind w:left="0" w:firstLine="0"/>
              <w:rPr>
                <w:b/>
                <w:sz w:val="20"/>
                <w:szCs w:val="20"/>
              </w:rPr>
            </w:pPr>
          </w:p>
        </w:tc>
        <w:tc>
          <w:tcPr>
            <w:tcW w:w="6804" w:type="dxa"/>
            <w:tcBorders>
              <w:top w:val="single" w:sz="8" w:space="0" w:color="auto"/>
            </w:tcBorders>
            <w:shd w:val="clear" w:color="auto" w:fill="B8CCE4" w:themeFill="accent1" w:themeFillTint="66"/>
          </w:tcPr>
          <w:p w14:paraId="5C147759" w14:textId="2E2DBC8B" w:rsidR="005273D4" w:rsidRPr="008F4DF9" w:rsidRDefault="009154DA" w:rsidP="00162710">
            <w:pPr>
              <w:pStyle w:val="NoSpacing"/>
              <w:ind w:left="0" w:firstLine="0"/>
              <w:rPr>
                <w:b/>
                <w:sz w:val="20"/>
                <w:szCs w:val="20"/>
              </w:rPr>
            </w:pPr>
            <w:r>
              <w:rPr>
                <w:b/>
                <w:sz w:val="20"/>
                <w:szCs w:val="20"/>
              </w:rPr>
              <w:t>Total,</w:t>
            </w:r>
            <w:r w:rsidR="005273D4" w:rsidRPr="008F4DF9">
              <w:rPr>
                <w:b/>
                <w:sz w:val="20"/>
                <w:szCs w:val="20"/>
              </w:rPr>
              <w:t xml:space="preserve"> </w:t>
            </w:r>
            <w:r w:rsidR="006D4727">
              <w:rPr>
                <w:b/>
                <w:sz w:val="20"/>
                <w:szCs w:val="20"/>
              </w:rPr>
              <w:t>C</w:t>
            </w:r>
            <w:r w:rsidR="005273D4" w:rsidRPr="008F4DF9">
              <w:rPr>
                <w:b/>
                <w:sz w:val="20"/>
                <w:szCs w:val="20"/>
              </w:rPr>
              <w:t xml:space="preserve">orrecciones entre presupuesto básico y no básico en 2019 </w:t>
            </w:r>
          </w:p>
        </w:tc>
        <w:tc>
          <w:tcPr>
            <w:tcW w:w="1559" w:type="dxa"/>
            <w:tcBorders>
              <w:top w:val="single" w:sz="8" w:space="0" w:color="auto"/>
            </w:tcBorders>
            <w:shd w:val="clear" w:color="auto" w:fill="B8CCE4" w:themeFill="accent1" w:themeFillTint="66"/>
          </w:tcPr>
          <w:p w14:paraId="183374B1" w14:textId="05564070" w:rsidR="005273D4" w:rsidRPr="008F4DF9" w:rsidRDefault="00626AAF" w:rsidP="00162710">
            <w:pPr>
              <w:pStyle w:val="NoSpacing"/>
              <w:ind w:left="0" w:firstLine="0"/>
              <w:jc w:val="right"/>
              <w:rPr>
                <w:b/>
                <w:sz w:val="20"/>
                <w:szCs w:val="20"/>
              </w:rPr>
            </w:pPr>
            <w:r w:rsidRPr="008F4DF9">
              <w:rPr>
                <w:b/>
                <w:sz w:val="20"/>
                <w:szCs w:val="20"/>
              </w:rPr>
              <w:t>115</w:t>
            </w:r>
          </w:p>
        </w:tc>
      </w:tr>
    </w:tbl>
    <w:p w14:paraId="54667EDB" w14:textId="36B8FFC5" w:rsidR="005273D4" w:rsidRPr="008F4DF9" w:rsidRDefault="00DB623C" w:rsidP="00941F90">
      <w:pPr>
        <w:pStyle w:val="NoSpacing"/>
        <w:ind w:left="0" w:firstLine="0"/>
        <w:rPr>
          <w:i/>
          <w:sz w:val="20"/>
          <w:szCs w:val="20"/>
        </w:rPr>
      </w:pPr>
      <w:r w:rsidRPr="008F4DF9">
        <w:rPr>
          <w:i/>
          <w:sz w:val="20"/>
          <w:szCs w:val="20"/>
        </w:rPr>
        <w:t>* se utiliza un total de 75 000 francos suizos en lugar de los 94 000 aprobados</w:t>
      </w:r>
    </w:p>
    <w:p w14:paraId="7238F91D" w14:textId="020F21F8" w:rsidR="004E30C5" w:rsidRPr="008F4DF9" w:rsidRDefault="004E30C5" w:rsidP="00941F90">
      <w:pPr>
        <w:pStyle w:val="NoSpacing"/>
        <w:ind w:left="0" w:firstLine="0"/>
        <w:rPr>
          <w:i/>
          <w:sz w:val="20"/>
          <w:szCs w:val="20"/>
        </w:rPr>
      </w:pPr>
      <w:r w:rsidRPr="008F4DF9">
        <w:rPr>
          <w:i/>
          <w:sz w:val="20"/>
          <w:szCs w:val="20"/>
        </w:rPr>
        <w:t>** incluido en los gastos de 2019</w:t>
      </w:r>
    </w:p>
    <w:p w14:paraId="242724E1" w14:textId="749967C3" w:rsidR="00304F7C" w:rsidRPr="008F4DF9" w:rsidRDefault="00304F7C" w:rsidP="00162710">
      <w:pPr>
        <w:pStyle w:val="NoSpacing"/>
        <w:ind w:left="0" w:firstLine="0"/>
      </w:pPr>
    </w:p>
    <w:p w14:paraId="3C2E9B0D" w14:textId="77777777" w:rsidR="00DA6FAA" w:rsidRPr="008F4DF9" w:rsidRDefault="00DA6FAA" w:rsidP="00162710">
      <w:pPr>
        <w:pStyle w:val="NoSpacing"/>
        <w:ind w:left="0" w:firstLine="0"/>
      </w:pPr>
    </w:p>
    <w:p w14:paraId="302A4460" w14:textId="3CAE3C06" w:rsidR="00241BD9" w:rsidRPr="008F4DF9" w:rsidRDefault="00FA0633" w:rsidP="00162710">
      <w:r w:rsidRPr="008F4DF9">
        <w:t>13.</w:t>
      </w:r>
      <w:r w:rsidRPr="008F4DF9">
        <w:tab/>
        <w:t>La cantidad final utilizada a fin de complementar las contribuciones voluntarias para apoyar la asistencia de delegados patrocinados a la COP13 fue de 75 000 francos suizos en lugar de los 94 000 francos suizos aprobados. La reducción se debe al reembolso de los fondos no utilizados asignados a las tarjetas de crédito de los delegados para los gastos diarios.</w:t>
      </w:r>
    </w:p>
    <w:p w14:paraId="12FAA4CC" w14:textId="77777777" w:rsidR="00241BD9" w:rsidRPr="008F4DF9" w:rsidRDefault="00241BD9" w:rsidP="00162710">
      <w:pPr>
        <w:pStyle w:val="NoSpacing"/>
      </w:pPr>
    </w:p>
    <w:p w14:paraId="07385D5D" w14:textId="439D5C09" w:rsidR="00F1054B" w:rsidRPr="008F4DF9" w:rsidRDefault="00F1054B" w:rsidP="00FA0633">
      <w:pPr>
        <w:ind w:left="0" w:firstLine="0"/>
        <w:rPr>
          <w:i/>
        </w:rPr>
      </w:pPr>
      <w:r w:rsidRPr="008F4DF9">
        <w:rPr>
          <w:i/>
        </w:rPr>
        <w:t>Ajustes al presupuesto básico de 2019</w:t>
      </w:r>
    </w:p>
    <w:p w14:paraId="18625D81" w14:textId="77777777" w:rsidR="00F1054B" w:rsidRPr="008F4DF9" w:rsidRDefault="00F1054B" w:rsidP="00162710"/>
    <w:p w14:paraId="10A9D17E" w14:textId="15F017BA" w:rsidR="00F1054B" w:rsidRPr="008F4DF9" w:rsidRDefault="00FA0633" w:rsidP="00162710">
      <w:r w:rsidRPr="008F4DF9">
        <w:t>14.</w:t>
      </w:r>
      <w:r w:rsidRPr="008F4DF9">
        <w:tab/>
        <w:t>En 2019 se hicieron los siguientes ajustes al presupuesto básico:</w:t>
      </w:r>
    </w:p>
    <w:p w14:paraId="5DD68804" w14:textId="77777777" w:rsidR="00F1054B" w:rsidRPr="008F4DF9" w:rsidRDefault="00F1054B" w:rsidP="00162710"/>
    <w:p w14:paraId="0A2CF8F8" w14:textId="7B437308" w:rsidR="00F1054B" w:rsidRPr="008F4DF9" w:rsidRDefault="00FA0633" w:rsidP="00FA0633">
      <w:pPr>
        <w:pStyle w:val="NoSpacing"/>
        <w:ind w:left="851"/>
      </w:pPr>
      <w:r w:rsidRPr="008F4DF9">
        <w:t>a.</w:t>
      </w:r>
      <w:r w:rsidRPr="008F4DF9">
        <w:tab/>
        <w:t xml:space="preserve">En 2019, la Secretaría reasignó 12 000 francos suizos del presupuesto de viajes del Departamento de Asesoramiento y Apoyo a los Servicios Científicos y Técnicos, a fin de responder a las necesidades de viajes de conformidad con el plan de trabajo aprobado. Este cambio se hizo en consonancia con el párrafo 28 de la Resolución XIII.2, que "autoriza al Secretario o la Secretaria General a transferir recursos entre partidas presupuestarias para viajes, asegurándose de que se informe al Subgrupo de Finanzas y de que se presente un informe al respecto al Comité Permanente en su siguiente reunión". </w:t>
      </w:r>
    </w:p>
    <w:p w14:paraId="7A57EAB4" w14:textId="77777777" w:rsidR="00F1054B" w:rsidRPr="008F4DF9" w:rsidRDefault="00F1054B" w:rsidP="00FA0633">
      <w:pPr>
        <w:pStyle w:val="NoSpacing"/>
        <w:ind w:left="851"/>
      </w:pPr>
    </w:p>
    <w:p w14:paraId="19D3E677" w14:textId="21123F8C" w:rsidR="00F1054B" w:rsidRPr="008F4DF9" w:rsidRDefault="00FA0633" w:rsidP="00FA0633">
      <w:pPr>
        <w:pStyle w:val="NoSpacing"/>
        <w:ind w:left="851"/>
      </w:pPr>
      <w:r w:rsidRPr="008F4DF9">
        <w:t>b.</w:t>
      </w:r>
      <w:r w:rsidRPr="008F4DF9">
        <w:tab/>
        <w:t>En la Decisión SC57-48 se aprobó la asignación de 100 000 francos suizos del presupuesto básico a las Iniciativas Regionales de Ramsar y se encargó a la Secretaría que se pusiera en contacto con la Iniciativa Regional de Ramsar para la Cuenca del Río Senegal (SenegalWet) en relación con el saldo no utilizado de años anteriores y que preguntara si era necesaria una asignación adicional de 25 000 francos suizos. SenegalWet informó que los fondos no eran necesarios. La Secretaría siguió entonces las instrucciones de la Decisión SC57-48 y distribuyó por igual los 100 000 francos suizos disponibles a la Iniciativa Regional para la Cuenca del Río Amazonas, la Iniciativa Regional de Asia Central y la Iniciativa Regional Indo-Birmana. Este ajuste ha sido reflejado en el presupuesto de 2019.</w:t>
      </w:r>
    </w:p>
    <w:p w14:paraId="206DD118" w14:textId="323E93C4" w:rsidR="001968D7" w:rsidRPr="008F4DF9" w:rsidRDefault="001968D7" w:rsidP="001B3288">
      <w:pPr>
        <w:ind w:left="0" w:firstLine="0"/>
      </w:pPr>
    </w:p>
    <w:p w14:paraId="0FAD30C8" w14:textId="41E4C32C" w:rsidR="00E32440" w:rsidRPr="008F4DF9" w:rsidRDefault="00E32440" w:rsidP="00162710">
      <w:pPr>
        <w:pStyle w:val="NoSpacing"/>
        <w:keepNext/>
        <w:ind w:left="0" w:firstLine="0"/>
        <w:rPr>
          <w:b/>
        </w:rPr>
      </w:pPr>
      <w:r w:rsidRPr="008F4DF9">
        <w:rPr>
          <w:b/>
        </w:rPr>
        <w:t>Saldo transferido a 2019</w:t>
      </w:r>
    </w:p>
    <w:p w14:paraId="4EC14AA2" w14:textId="642F6BE8" w:rsidR="008F4DA8" w:rsidRPr="008F4DF9" w:rsidRDefault="008F4DA8" w:rsidP="00162710">
      <w:pPr>
        <w:keepNext/>
      </w:pPr>
    </w:p>
    <w:p w14:paraId="0A4B8178" w14:textId="4A309DEF" w:rsidR="008F4DA8" w:rsidRPr="008F4DF9" w:rsidRDefault="00AD0650" w:rsidP="00162710">
      <w:r w:rsidRPr="008F4DF9">
        <w:t>15.</w:t>
      </w:r>
      <w:r w:rsidRPr="008F4DF9">
        <w:tab/>
        <w:t>El estado de ingresos y gastos para 2019 en los estados financieros auditados (véase el cuadro II del anexo 1) muestra que el saldo del presupuesto básico al final del año era de 2 648 000 francos suizos. Esto incluye el saldo de los fondos básicos de 2018 (a principios de 2019) de 2 196 000 francos suizos y los ingresos netos con respecto a los gastos en 2019 de 452 000 francos suizos según los estados financieros auditados y los resultados del presupuesto básico de 2019 para el período comprendido entre el 1 de enero y el 31 de diciembre de 2019 (anexo 2).</w:t>
      </w:r>
    </w:p>
    <w:p w14:paraId="1D8AC35B" w14:textId="63B6219E" w:rsidR="00AE5291" w:rsidRPr="008F4DF9" w:rsidRDefault="00AE5291" w:rsidP="00162710"/>
    <w:p w14:paraId="550BBAB1" w14:textId="0324F03D" w:rsidR="00155710" w:rsidRPr="008F4DF9" w:rsidRDefault="00AD0650" w:rsidP="00162710">
      <w:r w:rsidRPr="008F4DF9">
        <w:t>16.</w:t>
      </w:r>
      <w:r w:rsidRPr="008F4DF9">
        <w:tab/>
        <w:t xml:space="preserve">El saldo del presupuesto básico de 2019 antes mencionado incluye el fondo de reserva de 762 000 francos suizos. Esto corresponde al 15% del presupuesto básico anual, que es el nivel máximo aprobado por la COP13 en el párrafo 33 de la Resolución XIII.2. Por lo tanto, no hay necesidad de reasignar recursos para este propósito. </w:t>
      </w:r>
    </w:p>
    <w:p w14:paraId="3510C178" w14:textId="77777777" w:rsidR="00155710" w:rsidRPr="008F4DF9" w:rsidRDefault="00155710" w:rsidP="00162710"/>
    <w:p w14:paraId="1E5D1501" w14:textId="387011C2" w:rsidR="00155710" w:rsidRPr="008F4DF9" w:rsidRDefault="00AD0650" w:rsidP="00AD0650">
      <w:r w:rsidRPr="008F4DF9">
        <w:t>17.</w:t>
      </w:r>
      <w:r w:rsidRPr="008F4DF9">
        <w:tab/>
        <w:t>El saldo del presupuesto básico también incluye el uso aprobado para el trienio 2019-2021 del excedente en 2018 de 228 000 francos suizos (párrafo 15 de la resolución XIII.2), a fin de cubrir el déficit creado en el presupuesto básico de la Secretaría para sufragar el costo de un nuevo puesto de auxiliar contable y financiero (se hicieron recortes en las partidas presupuestarias de comunicaciones, viajes, GECT y planificación y creación de la capacidad que se colmaron con este excedente). Los fondos a utilizar en 2020 y 2021 ascienden a 152 000 francos suizos.</w:t>
      </w:r>
    </w:p>
    <w:p w14:paraId="334F59CD" w14:textId="1874C176" w:rsidR="008E00BF" w:rsidRPr="008F4DF9" w:rsidRDefault="008E00BF" w:rsidP="00162710"/>
    <w:p w14:paraId="73FB9789" w14:textId="3B0A2263" w:rsidR="00155710" w:rsidRPr="008F4DF9" w:rsidRDefault="00463CEC" w:rsidP="00162710">
      <w:r w:rsidRPr="008F4DF9">
        <w:t>18.</w:t>
      </w:r>
      <w:r w:rsidRPr="008F4DF9">
        <w:tab/>
        <w:t>Además, de conformidad con la Decisión SC57-47 del Comité Permanente, se han añadido 228 000 francos suizos adicionales a una reserva operacional para cubrir este déficit en el próximo trienio. De lo contrario, este déficit se mantendría a menos que las Partes Contratantes aumenten el presupuesto total y, por lo tanto, sus contribuciones.</w:t>
      </w:r>
    </w:p>
    <w:p w14:paraId="49F6ADE5" w14:textId="3A699440" w:rsidR="0049688C" w:rsidRPr="008F4DF9" w:rsidRDefault="0049688C" w:rsidP="00162710">
      <w:pPr>
        <w:ind w:left="0" w:firstLine="0"/>
      </w:pPr>
    </w:p>
    <w:p w14:paraId="73FD656F" w14:textId="7F694100" w:rsidR="00772619" w:rsidRPr="008F4DF9" w:rsidRDefault="00463CEC" w:rsidP="00463CEC">
      <w:r w:rsidRPr="008F4DF9">
        <w:t>19.</w:t>
      </w:r>
      <w:r w:rsidRPr="008F4DF9">
        <w:tab/>
        <w:t>Además, los saldos no gastados y previamente comprometidos de 588 000 francos suizos, incluida la utilización autorizada del excedente de 2018 (Decisión SC57-47), como se detalla en el cuadro 1 y en el párrafo 7, se gastarán en 2020 y, por lo tanto, se han incluido en el presupuesto de 2020.</w:t>
      </w:r>
    </w:p>
    <w:p w14:paraId="38DAA067" w14:textId="145F4A9D" w:rsidR="00AC5BA6" w:rsidRPr="008F4DF9" w:rsidRDefault="00AC5BA6" w:rsidP="00162710">
      <w:pPr>
        <w:ind w:firstLine="0"/>
      </w:pPr>
    </w:p>
    <w:p w14:paraId="177A095A" w14:textId="28D464B1" w:rsidR="0049688C" w:rsidRPr="008F4DF9" w:rsidRDefault="00DA6FAA" w:rsidP="00DA6FAA">
      <w:r w:rsidRPr="008F4DF9">
        <w:lastRenderedPageBreak/>
        <w:t>20.</w:t>
      </w:r>
      <w:r w:rsidRPr="008F4DF9">
        <w:tab/>
        <w:t xml:space="preserve">Por último, hay saldos no gastados y no comprometidos que ascienden a 919 000 francos suizos, como se detalla en el cuadro 1. Según lo establecido en la Decisión SC57-50 del Comité Permanente, "De acuerdo con las responsabilidades definidas en la Resolución 5.2, </w:t>
      </w:r>
      <w:r w:rsidRPr="008F4DF9">
        <w:rPr>
          <w:i/>
          <w:iCs/>
        </w:rPr>
        <w:t>Asuntos financieros y presupuestarios</w:t>
      </w:r>
      <w:r w:rsidRPr="008F4DF9">
        <w:t xml:space="preserve">, anexo 3, párrafo 8, el Comité Permanente acordó que los saldos no comprometidos o no gastados de las partidas presupuestarias se podrían transferir al año siguiente dentro del trienio y presentar a la siguiente reunión del Subgrupo de Finanzas". Así pues, la Secretaría presenta los saldos no comprometidos o no gastados de 2019 como saldos transferidos a 2020. </w:t>
      </w:r>
    </w:p>
    <w:p w14:paraId="67D22B17" w14:textId="4B3038F7" w:rsidR="003F3307" w:rsidRPr="008F4DF9" w:rsidRDefault="003F3307" w:rsidP="00162710">
      <w:pPr>
        <w:ind w:left="0" w:firstLine="0"/>
      </w:pPr>
      <w:r w:rsidRPr="008F4DF9">
        <w:t xml:space="preserve"> </w:t>
      </w:r>
    </w:p>
    <w:p w14:paraId="10BCD7EB" w14:textId="10F55179" w:rsidR="00FF0082" w:rsidRPr="008F4DF9" w:rsidRDefault="00FF0082" w:rsidP="00162710">
      <w:pPr>
        <w:pStyle w:val="NoSpacing"/>
        <w:keepNext/>
        <w:rPr>
          <w:b/>
        </w:rPr>
      </w:pPr>
      <w:r w:rsidRPr="008F4DF9">
        <w:rPr>
          <w:b/>
        </w:rPr>
        <w:t xml:space="preserve">Resultados de 2019: presupuesto no básico y contribuciones voluntarias </w:t>
      </w:r>
    </w:p>
    <w:p w14:paraId="37B40F4A" w14:textId="77777777" w:rsidR="00C73471" w:rsidRPr="008F4DF9" w:rsidRDefault="00C73471" w:rsidP="00162710">
      <w:pPr>
        <w:pStyle w:val="NoSpacing"/>
        <w:keepNext/>
        <w:rPr>
          <w:b/>
        </w:rPr>
      </w:pPr>
    </w:p>
    <w:p w14:paraId="11BB5736" w14:textId="3551BEA3" w:rsidR="002A1D70" w:rsidRPr="008F4DF9" w:rsidRDefault="00DA6FAA" w:rsidP="00464D2B">
      <w:r w:rsidRPr="008F4DF9">
        <w:t>21.</w:t>
      </w:r>
      <w:r w:rsidRPr="008F4DF9">
        <w:tab/>
        <w:t>Como se indica en la sección II del anexo 1, en 2019 se recibieron ingresos para proyectos por un valor de 379 000 francos suizos y contribuciones</w:t>
      </w:r>
      <w:r w:rsidR="00301DF1" w:rsidRPr="008F4DF9">
        <w:rPr>
          <w:rStyle w:val="FootnoteReference"/>
        </w:rPr>
        <w:footnoteReference w:id="2"/>
      </w:r>
      <w:r w:rsidRPr="008F4DF9">
        <w:t xml:space="preserve"> voluntarias africanas por un valor de 2 000 francos suizos, lo que arroja un total de ingresos por contribuciones voluntarias complementarias de 381 000 francos suizos. Los detalles de la financiación complementaria al 31 de diciembre de 2019 figuran en el anexo 3.</w:t>
      </w:r>
    </w:p>
    <w:p w14:paraId="5B0D777A" w14:textId="77777777" w:rsidR="00112F62" w:rsidRPr="008F4DF9" w:rsidRDefault="00112F62" w:rsidP="00162710"/>
    <w:p w14:paraId="2EAD5A63" w14:textId="7AD84DA6" w:rsidR="0075376A" w:rsidRPr="008F4DF9" w:rsidRDefault="00DA6FAA" w:rsidP="00162710">
      <w:r w:rsidRPr="008F4DF9">
        <w:t>22.</w:t>
      </w:r>
      <w:r w:rsidRPr="008F4DF9">
        <w:tab/>
        <w:t>Las contribuciones voluntarias recibidas en 2019 están indicadas en el cuadro 3 que figura a continuación. De acuerdo con las instrucciones del Comité Permanente mediante la Decisión SC53-32, el cuadro ofrece un panorama general de las contribuciones recibidas y su utilización prevista. Se hace referencia a las prioridades para la recaudación de fondos determinadas por las Partes Contratantes que figuran en el anexo 3 de la Resolución XIII.2.</w:t>
      </w:r>
    </w:p>
    <w:p w14:paraId="1F8DBFDE" w14:textId="77777777" w:rsidR="00C02579" w:rsidRDefault="00C02579" w:rsidP="009D2CC9">
      <w:pPr>
        <w:pStyle w:val="NoSpacing"/>
        <w:keepNext/>
        <w:ind w:left="0" w:firstLine="0"/>
        <w:rPr>
          <w:i/>
          <w:iCs/>
        </w:rPr>
      </w:pPr>
    </w:p>
    <w:p w14:paraId="7AD3FD17" w14:textId="05D38B25" w:rsidR="00DA6FAA" w:rsidRPr="008F4DF9" w:rsidRDefault="00DA6FAA" w:rsidP="009D2CC9">
      <w:pPr>
        <w:pStyle w:val="NoSpacing"/>
        <w:keepNext/>
        <w:ind w:left="0" w:firstLine="0"/>
        <w:rPr>
          <w:i/>
        </w:rPr>
      </w:pPr>
      <w:r w:rsidRPr="008F4DF9">
        <w:rPr>
          <w:i/>
          <w:iCs/>
        </w:rPr>
        <w:t xml:space="preserve">Cuadro 3: </w:t>
      </w:r>
      <w:r w:rsidRPr="008F4DF9">
        <w:rPr>
          <w:i/>
        </w:rPr>
        <w:t>Ingresos para proyecto por contribuciones voluntarias complementarias recibidas en 2019 (en miles de francos suizos con posibles diferencias de redondeo)</w:t>
      </w:r>
    </w:p>
    <w:tbl>
      <w:tblPr>
        <w:tblW w:w="9214" w:type="dxa"/>
        <w:tblInd w:w="-10" w:type="dxa"/>
        <w:tblCellMar>
          <w:top w:w="28" w:type="dxa"/>
          <w:left w:w="57" w:type="dxa"/>
          <w:bottom w:w="28" w:type="dxa"/>
          <w:right w:w="57" w:type="dxa"/>
        </w:tblCellMar>
        <w:tblLook w:val="04A0" w:firstRow="1" w:lastRow="0" w:firstColumn="1" w:lastColumn="0" w:noHBand="0" w:noVBand="1"/>
      </w:tblPr>
      <w:tblGrid>
        <w:gridCol w:w="3544"/>
        <w:gridCol w:w="1559"/>
        <w:gridCol w:w="4111"/>
      </w:tblGrid>
      <w:tr w:rsidR="001F0844" w:rsidRPr="008F4DF9" w14:paraId="70C72200" w14:textId="77777777" w:rsidTr="001F0844">
        <w:trPr>
          <w:trHeight w:val="244"/>
        </w:trPr>
        <w:tc>
          <w:tcPr>
            <w:tcW w:w="354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55125EF8" w14:textId="44876279" w:rsidR="001F0844" w:rsidRPr="008F4DF9" w:rsidRDefault="001F0844" w:rsidP="009D2CC9">
            <w:pPr>
              <w:keepNext/>
              <w:ind w:left="0" w:firstLine="0"/>
              <w:jc w:val="center"/>
              <w:rPr>
                <w:rFonts w:eastAsia="Times New Roman" w:cs="Calibri"/>
                <w:b/>
                <w:bCs/>
                <w:color w:val="000000"/>
                <w:sz w:val="20"/>
                <w:szCs w:val="20"/>
              </w:rPr>
            </w:pPr>
            <w:r w:rsidRPr="008F4DF9">
              <w:rPr>
                <w:b/>
                <w:bCs/>
                <w:color w:val="000000"/>
                <w:sz w:val="20"/>
                <w:szCs w:val="20"/>
              </w:rPr>
              <w:t>Nombre del donante</w:t>
            </w:r>
          </w:p>
        </w:tc>
        <w:tc>
          <w:tcPr>
            <w:tcW w:w="155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3CD2395E" w14:textId="18D987CA" w:rsidR="001F0844" w:rsidRPr="008F4DF9" w:rsidRDefault="001F0844" w:rsidP="009D2CC9">
            <w:pPr>
              <w:keepNext/>
              <w:ind w:left="0" w:firstLine="0"/>
              <w:jc w:val="center"/>
              <w:rPr>
                <w:rFonts w:eastAsia="Times New Roman" w:cs="Calibri"/>
                <w:b/>
                <w:bCs/>
                <w:color w:val="000000"/>
                <w:sz w:val="20"/>
                <w:szCs w:val="20"/>
              </w:rPr>
            </w:pPr>
            <w:r w:rsidRPr="008F4DF9">
              <w:rPr>
                <w:b/>
                <w:bCs/>
                <w:color w:val="000000"/>
                <w:sz w:val="20"/>
                <w:szCs w:val="20"/>
              </w:rPr>
              <w:t>Monto del ingreso</w:t>
            </w:r>
          </w:p>
        </w:tc>
        <w:tc>
          <w:tcPr>
            <w:tcW w:w="411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67EFACDA" w14:textId="6C3AFCF6" w:rsidR="001F0844" w:rsidRPr="008F4DF9" w:rsidRDefault="001F0844" w:rsidP="009D2CC9">
            <w:pPr>
              <w:keepNext/>
              <w:ind w:left="0" w:firstLine="0"/>
              <w:jc w:val="center"/>
              <w:rPr>
                <w:rFonts w:eastAsia="Times New Roman" w:cs="Calibri"/>
                <w:b/>
                <w:bCs/>
                <w:color w:val="000000"/>
                <w:sz w:val="20"/>
                <w:szCs w:val="20"/>
              </w:rPr>
            </w:pPr>
            <w:r w:rsidRPr="008F4DF9">
              <w:rPr>
                <w:b/>
                <w:bCs/>
                <w:color w:val="000000"/>
                <w:sz w:val="20"/>
                <w:szCs w:val="20"/>
              </w:rPr>
              <w:t>Descripción</w:t>
            </w:r>
          </w:p>
        </w:tc>
      </w:tr>
      <w:tr w:rsidR="00032E44" w:rsidRPr="008F4DF9" w14:paraId="36B7C22F"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53684B49" w14:textId="4931047E" w:rsidR="00032E44" w:rsidRPr="008F4DF9" w:rsidRDefault="009D2CC9" w:rsidP="009D2CC9">
            <w:pPr>
              <w:keepNext/>
              <w:ind w:left="0" w:firstLine="0"/>
              <w:rPr>
                <w:rFonts w:eastAsia="Times New Roman" w:cs="Calibri"/>
                <w:color w:val="000000"/>
                <w:sz w:val="20"/>
                <w:szCs w:val="20"/>
              </w:rPr>
            </w:pPr>
            <w:r w:rsidRPr="008F4DF9">
              <w:rPr>
                <w:color w:val="000000"/>
                <w:sz w:val="20"/>
                <w:szCs w:val="20"/>
              </w:rPr>
              <w:t>Japón</w:t>
            </w:r>
          </w:p>
        </w:tc>
        <w:tc>
          <w:tcPr>
            <w:tcW w:w="1559" w:type="dxa"/>
            <w:tcBorders>
              <w:top w:val="nil"/>
              <w:left w:val="nil"/>
              <w:bottom w:val="single" w:sz="8" w:space="0" w:color="auto"/>
              <w:right w:val="single" w:sz="8" w:space="0" w:color="auto"/>
            </w:tcBorders>
            <w:shd w:val="clear" w:color="auto" w:fill="auto"/>
            <w:vAlign w:val="center"/>
            <w:hideMark/>
          </w:tcPr>
          <w:p w14:paraId="631D20D0"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90</w:t>
            </w:r>
          </w:p>
        </w:tc>
        <w:tc>
          <w:tcPr>
            <w:tcW w:w="4111" w:type="dxa"/>
            <w:tcBorders>
              <w:top w:val="nil"/>
              <w:left w:val="nil"/>
              <w:bottom w:val="single" w:sz="8" w:space="0" w:color="auto"/>
              <w:right w:val="single" w:sz="8" w:space="0" w:color="auto"/>
            </w:tcBorders>
            <w:shd w:val="clear" w:color="auto" w:fill="auto"/>
            <w:vAlign w:val="center"/>
            <w:hideMark/>
          </w:tcPr>
          <w:p w14:paraId="6F80AE9D"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Fondo Nagao para los Humedales</w:t>
            </w:r>
          </w:p>
        </w:tc>
      </w:tr>
      <w:tr w:rsidR="00032E44" w:rsidRPr="008F4DF9" w14:paraId="705D2F0D"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42A1565F"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Danone</w:t>
            </w:r>
          </w:p>
        </w:tc>
        <w:tc>
          <w:tcPr>
            <w:tcW w:w="1559" w:type="dxa"/>
            <w:tcBorders>
              <w:top w:val="nil"/>
              <w:left w:val="nil"/>
              <w:bottom w:val="single" w:sz="8" w:space="0" w:color="auto"/>
              <w:right w:val="single" w:sz="8" w:space="0" w:color="auto"/>
            </w:tcBorders>
            <w:shd w:val="clear" w:color="auto" w:fill="auto"/>
            <w:vAlign w:val="center"/>
            <w:hideMark/>
          </w:tcPr>
          <w:p w14:paraId="427B576C"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125</w:t>
            </w:r>
          </w:p>
        </w:tc>
        <w:tc>
          <w:tcPr>
            <w:tcW w:w="4111" w:type="dxa"/>
            <w:tcBorders>
              <w:top w:val="nil"/>
              <w:left w:val="nil"/>
              <w:bottom w:val="single" w:sz="8" w:space="0" w:color="auto"/>
              <w:right w:val="single" w:sz="8" w:space="0" w:color="auto"/>
            </w:tcBorders>
            <w:shd w:val="clear" w:color="auto" w:fill="auto"/>
            <w:vAlign w:val="center"/>
            <w:hideMark/>
          </w:tcPr>
          <w:p w14:paraId="10D5AD11"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Contribución para las actividades del proyecto Danone en 2019</w:t>
            </w:r>
          </w:p>
        </w:tc>
      </w:tr>
      <w:tr w:rsidR="00032E44" w:rsidRPr="008F4DF9" w14:paraId="0DC29543"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41E309AC"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Finlandia</w:t>
            </w:r>
          </w:p>
        </w:tc>
        <w:tc>
          <w:tcPr>
            <w:tcW w:w="1559" w:type="dxa"/>
            <w:tcBorders>
              <w:top w:val="nil"/>
              <w:left w:val="nil"/>
              <w:bottom w:val="single" w:sz="8" w:space="0" w:color="auto"/>
              <w:right w:val="single" w:sz="8" w:space="0" w:color="auto"/>
            </w:tcBorders>
            <w:shd w:val="clear" w:color="auto" w:fill="auto"/>
            <w:vAlign w:val="center"/>
            <w:hideMark/>
          </w:tcPr>
          <w:p w14:paraId="3DF6E061"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12</w:t>
            </w:r>
          </w:p>
        </w:tc>
        <w:tc>
          <w:tcPr>
            <w:tcW w:w="4111" w:type="dxa"/>
            <w:tcBorders>
              <w:top w:val="nil"/>
              <w:left w:val="nil"/>
              <w:bottom w:val="single" w:sz="8" w:space="0" w:color="auto"/>
              <w:right w:val="single" w:sz="8" w:space="0" w:color="auto"/>
            </w:tcBorders>
            <w:shd w:val="clear" w:color="auto" w:fill="auto"/>
            <w:vAlign w:val="center"/>
            <w:hideMark/>
          </w:tcPr>
          <w:p w14:paraId="430ABB5C"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Labor en cuestiones de género</w:t>
            </w:r>
          </w:p>
        </w:tc>
      </w:tr>
      <w:tr w:rsidR="00032E44" w:rsidRPr="008F4DF9" w14:paraId="600B331A"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7CE4E0D6"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Noruega</w:t>
            </w:r>
          </w:p>
        </w:tc>
        <w:tc>
          <w:tcPr>
            <w:tcW w:w="1559" w:type="dxa"/>
            <w:tcBorders>
              <w:top w:val="nil"/>
              <w:left w:val="nil"/>
              <w:bottom w:val="single" w:sz="8" w:space="0" w:color="auto"/>
              <w:right w:val="single" w:sz="8" w:space="0" w:color="auto"/>
            </w:tcBorders>
            <w:shd w:val="clear" w:color="auto" w:fill="auto"/>
            <w:vAlign w:val="center"/>
            <w:hideMark/>
          </w:tcPr>
          <w:p w14:paraId="7392661A"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43</w:t>
            </w:r>
          </w:p>
        </w:tc>
        <w:tc>
          <w:tcPr>
            <w:tcW w:w="4111" w:type="dxa"/>
            <w:tcBorders>
              <w:top w:val="nil"/>
              <w:left w:val="nil"/>
              <w:bottom w:val="single" w:sz="8" w:space="0" w:color="auto"/>
              <w:right w:val="single" w:sz="8" w:space="0" w:color="auto"/>
            </w:tcBorders>
            <w:shd w:val="clear" w:color="auto" w:fill="auto"/>
            <w:vAlign w:val="center"/>
            <w:hideMark/>
          </w:tcPr>
          <w:p w14:paraId="5263F718"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Labor en cuestiones de género</w:t>
            </w:r>
          </w:p>
        </w:tc>
      </w:tr>
      <w:tr w:rsidR="00032E44" w:rsidRPr="008F4DF9" w14:paraId="54A74AC0"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28B44F0D"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Noruega</w:t>
            </w:r>
          </w:p>
        </w:tc>
        <w:tc>
          <w:tcPr>
            <w:tcW w:w="1559" w:type="dxa"/>
            <w:tcBorders>
              <w:top w:val="nil"/>
              <w:left w:val="nil"/>
              <w:bottom w:val="single" w:sz="8" w:space="0" w:color="auto"/>
              <w:right w:val="single" w:sz="8" w:space="0" w:color="auto"/>
            </w:tcBorders>
            <w:shd w:val="clear" w:color="auto" w:fill="auto"/>
            <w:vAlign w:val="center"/>
            <w:hideMark/>
          </w:tcPr>
          <w:p w14:paraId="28498110"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43</w:t>
            </w:r>
          </w:p>
        </w:tc>
        <w:tc>
          <w:tcPr>
            <w:tcW w:w="4111" w:type="dxa"/>
            <w:tcBorders>
              <w:top w:val="nil"/>
              <w:left w:val="nil"/>
              <w:bottom w:val="single" w:sz="8" w:space="0" w:color="auto"/>
              <w:right w:val="single" w:sz="8" w:space="0" w:color="auto"/>
            </w:tcBorders>
            <w:shd w:val="clear" w:color="auto" w:fill="auto"/>
            <w:vAlign w:val="center"/>
            <w:hideMark/>
          </w:tcPr>
          <w:p w14:paraId="26E90666" w14:textId="73896D88" w:rsidR="00032E44" w:rsidRPr="008F4DF9" w:rsidRDefault="00032E44" w:rsidP="00D414B1">
            <w:pPr>
              <w:keepNext/>
              <w:ind w:left="0" w:firstLine="0"/>
              <w:rPr>
                <w:rFonts w:eastAsia="Times New Roman" w:cs="Calibri"/>
                <w:color w:val="000000"/>
                <w:sz w:val="20"/>
                <w:szCs w:val="20"/>
              </w:rPr>
            </w:pPr>
            <w:r w:rsidRPr="008F4DF9">
              <w:rPr>
                <w:color w:val="000000"/>
                <w:sz w:val="20"/>
                <w:szCs w:val="20"/>
              </w:rPr>
              <w:t>Labor del GECT relacionada con el cambio climático</w:t>
            </w:r>
          </w:p>
        </w:tc>
      </w:tr>
      <w:tr w:rsidR="00032E44" w:rsidRPr="008F4DF9" w14:paraId="76148065"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30EB7D78" w14:textId="77777777"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Noruega</w:t>
            </w:r>
          </w:p>
        </w:tc>
        <w:tc>
          <w:tcPr>
            <w:tcW w:w="1559" w:type="dxa"/>
            <w:tcBorders>
              <w:top w:val="nil"/>
              <w:left w:val="nil"/>
              <w:bottom w:val="single" w:sz="8" w:space="0" w:color="auto"/>
              <w:right w:val="single" w:sz="8" w:space="0" w:color="auto"/>
            </w:tcBorders>
            <w:shd w:val="clear" w:color="auto" w:fill="auto"/>
            <w:vAlign w:val="center"/>
            <w:hideMark/>
          </w:tcPr>
          <w:p w14:paraId="553936A4" w14:textId="77777777" w:rsidR="00032E44" w:rsidRPr="008F4DF9" w:rsidRDefault="00032E44" w:rsidP="009D2CC9">
            <w:pPr>
              <w:keepNext/>
              <w:ind w:left="0" w:firstLine="0"/>
              <w:jc w:val="right"/>
              <w:rPr>
                <w:rFonts w:eastAsia="Times New Roman" w:cs="Calibri"/>
                <w:color w:val="000000"/>
                <w:sz w:val="20"/>
                <w:szCs w:val="20"/>
              </w:rPr>
            </w:pPr>
            <w:r w:rsidRPr="008F4DF9">
              <w:rPr>
                <w:color w:val="000000"/>
                <w:sz w:val="20"/>
                <w:szCs w:val="20"/>
              </w:rPr>
              <w:t>65</w:t>
            </w:r>
          </w:p>
        </w:tc>
        <w:tc>
          <w:tcPr>
            <w:tcW w:w="4111" w:type="dxa"/>
            <w:tcBorders>
              <w:top w:val="nil"/>
              <w:left w:val="nil"/>
              <w:bottom w:val="single" w:sz="8" w:space="0" w:color="auto"/>
              <w:right w:val="single" w:sz="8" w:space="0" w:color="auto"/>
            </w:tcBorders>
            <w:shd w:val="clear" w:color="auto" w:fill="auto"/>
            <w:vAlign w:val="center"/>
            <w:hideMark/>
          </w:tcPr>
          <w:p w14:paraId="0EF20773" w14:textId="54D37464" w:rsidR="00032E44" w:rsidRPr="008F4DF9" w:rsidRDefault="00032E44" w:rsidP="009D2CC9">
            <w:pPr>
              <w:keepNext/>
              <w:ind w:left="0" w:firstLine="0"/>
              <w:rPr>
                <w:rFonts w:eastAsia="Times New Roman" w:cs="Calibri"/>
                <w:color w:val="000000"/>
                <w:sz w:val="20"/>
                <w:szCs w:val="20"/>
              </w:rPr>
            </w:pPr>
            <w:r w:rsidRPr="008F4DF9">
              <w:rPr>
                <w:color w:val="000000"/>
                <w:sz w:val="20"/>
                <w:szCs w:val="20"/>
              </w:rPr>
              <w:t>Labor del GECT relacionada con las turberas tropicales</w:t>
            </w:r>
          </w:p>
        </w:tc>
      </w:tr>
      <w:tr w:rsidR="00AD6EB6" w:rsidRPr="008F4DF9" w14:paraId="254869CA" w14:textId="77777777" w:rsidTr="00941F90">
        <w:tc>
          <w:tcPr>
            <w:tcW w:w="354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A874DBA" w14:textId="341A1CFF" w:rsidR="00AD6EB6" w:rsidRPr="008F4DF9" w:rsidRDefault="00990677" w:rsidP="006B595B">
            <w:pPr>
              <w:ind w:left="0" w:firstLine="0"/>
              <w:rPr>
                <w:rFonts w:eastAsia="Times New Roman" w:cs="Calibri"/>
                <w:b/>
                <w:sz w:val="20"/>
                <w:szCs w:val="20"/>
              </w:rPr>
            </w:pPr>
            <w:r w:rsidRPr="008F4DF9">
              <w:rPr>
                <w:b/>
                <w:sz w:val="20"/>
                <w:szCs w:val="20"/>
              </w:rPr>
              <w:t>Ingresos totales para proyectos</w:t>
            </w:r>
          </w:p>
        </w:tc>
        <w:tc>
          <w:tcPr>
            <w:tcW w:w="1559"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13BDB842" w14:textId="5C7268D2" w:rsidR="00AD6EB6" w:rsidRPr="008F4DF9" w:rsidRDefault="00AD6EB6" w:rsidP="00162710">
            <w:pPr>
              <w:ind w:left="0" w:firstLine="0"/>
              <w:jc w:val="right"/>
              <w:rPr>
                <w:rFonts w:eastAsia="Times New Roman" w:cs="Calibri"/>
                <w:b/>
                <w:sz w:val="20"/>
                <w:szCs w:val="20"/>
              </w:rPr>
            </w:pPr>
            <w:r w:rsidRPr="008F4DF9">
              <w:rPr>
                <w:b/>
                <w:sz w:val="20"/>
                <w:szCs w:val="20"/>
              </w:rPr>
              <w:t>379</w:t>
            </w:r>
          </w:p>
        </w:tc>
        <w:tc>
          <w:tcPr>
            <w:tcW w:w="4111"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70526DBA" w14:textId="67D1E81C" w:rsidR="00AD6EB6" w:rsidRPr="008F4DF9" w:rsidRDefault="00AD6EB6" w:rsidP="00162710">
            <w:pPr>
              <w:ind w:left="0" w:firstLine="0"/>
              <w:rPr>
                <w:rFonts w:eastAsia="Times New Roman" w:cs="Calibri"/>
                <w:color w:val="000000"/>
                <w:sz w:val="20"/>
                <w:szCs w:val="20"/>
                <w:lang w:eastAsia="en-GB"/>
              </w:rPr>
            </w:pPr>
          </w:p>
        </w:tc>
      </w:tr>
    </w:tbl>
    <w:p w14:paraId="061E91E0" w14:textId="21365482" w:rsidR="00D76E4A" w:rsidRPr="008F4DF9" w:rsidRDefault="00D76E4A" w:rsidP="00162710"/>
    <w:p w14:paraId="3C54D133" w14:textId="77777777" w:rsidR="00DA6FAA" w:rsidRPr="008F4DF9" w:rsidRDefault="00DA6FAA" w:rsidP="00162710"/>
    <w:p w14:paraId="466FD5C8" w14:textId="181559BE" w:rsidR="00CA08CF" w:rsidRPr="008F4DF9" w:rsidRDefault="00DA6FAA" w:rsidP="00162710">
      <w:r w:rsidRPr="008F4DF9">
        <w:t>23.</w:t>
      </w:r>
      <w:r w:rsidRPr="008F4DF9">
        <w:tab/>
        <w:t>En 2019 se recibieron 125 000 francos (115 000 euros) de Danone. La Secretaría está contactando con posibles donantes a fin de buscar recursos alternativos para el Día Mundial de los Humedales en caso de que Danone deje de financiar esta iniciativa en el futuro. Se seguirán realizando esfuerzos para asegurar la financiación futura de esta importante esfera de trabajo y para los Premios Ramsar.</w:t>
      </w:r>
    </w:p>
    <w:p w14:paraId="4B694507" w14:textId="77777777" w:rsidR="00B10EA9" w:rsidRPr="008F4DF9" w:rsidRDefault="00B10EA9" w:rsidP="00162710"/>
    <w:p w14:paraId="208A028C" w14:textId="251DCE97" w:rsidR="008B157F" w:rsidRPr="008F4DF9" w:rsidRDefault="00DA6FAA" w:rsidP="00162710">
      <w:r w:rsidRPr="008F4DF9">
        <w:t>24.</w:t>
      </w:r>
      <w:r w:rsidRPr="008F4DF9">
        <w:tab/>
        <w:t xml:space="preserve">Se ha contactado con las Partes Contratantes y otros posibles donantes en relación con la financiación de otras partidas presupuestarias prioritarias no básicas identificadas en el anexo 3 de la Resolución XIII.2. En este sentido, una de las principales prioridades que las Partes deben </w:t>
      </w:r>
      <w:r w:rsidRPr="008F4DF9">
        <w:lastRenderedPageBreak/>
        <w:t>tener en cuenta en 2020 es la financiación de la 14</w:t>
      </w:r>
      <w:r w:rsidRPr="008F4DF9">
        <w:rPr>
          <w:vertAlign w:val="superscript"/>
        </w:rPr>
        <w:t>a</w:t>
      </w:r>
      <w:r w:rsidRPr="008F4DF9">
        <w:t xml:space="preserve"> Conferencia de las Partes, especialmente para los delegados patrocinados. La Secretaría agradecería que las Partes le dieran orientación sobre posibles donantes para garantizar la participación de todas las Partes Contratantes en la COP14.</w:t>
      </w:r>
    </w:p>
    <w:p w14:paraId="69908900" w14:textId="66B9CAFC" w:rsidR="00B10EA9" w:rsidRPr="008F4DF9" w:rsidRDefault="00B10EA9" w:rsidP="00162710">
      <w:pPr>
        <w:ind w:left="0" w:firstLine="0"/>
      </w:pPr>
    </w:p>
    <w:p w14:paraId="49AC15B8" w14:textId="5513DA51" w:rsidR="007768A1" w:rsidRPr="008F4DF9" w:rsidRDefault="00DA6FAA" w:rsidP="00162710">
      <w:r w:rsidRPr="008F4DF9">
        <w:t>25.</w:t>
      </w:r>
      <w:r w:rsidRPr="008F4DF9">
        <w:tab/>
        <w:t>La Secretaría quiere agradecer a las Partes Contratantes y a los donantes por sus contribuciones voluntarias a las actividades no financiadas por el presupuesto básico de la Convención.</w:t>
      </w:r>
    </w:p>
    <w:p w14:paraId="2C01C7D5" w14:textId="0A350482" w:rsidR="007768A1" w:rsidRPr="008F4DF9" w:rsidRDefault="007768A1" w:rsidP="00464D2B">
      <w:pPr>
        <w:pStyle w:val="NoSpacing"/>
        <w:rPr>
          <w:b/>
        </w:rPr>
      </w:pPr>
    </w:p>
    <w:p w14:paraId="5C5D0DAF" w14:textId="77777777" w:rsidR="0075376A" w:rsidRPr="008F4DF9" w:rsidRDefault="0075376A" w:rsidP="00162710">
      <w:pPr>
        <w:pStyle w:val="NoSpacing"/>
        <w:rPr>
          <w:i/>
        </w:rPr>
      </w:pPr>
      <w:r w:rsidRPr="008F4DF9">
        <w:rPr>
          <w:i/>
        </w:rPr>
        <w:t>Contribuciones voluntarias de países africanos</w:t>
      </w:r>
    </w:p>
    <w:p w14:paraId="78E2E3CA" w14:textId="77777777" w:rsidR="00A42238" w:rsidRPr="008F4DF9" w:rsidRDefault="00A42238" w:rsidP="00464D2B">
      <w:pPr>
        <w:pStyle w:val="NoSpacing"/>
        <w:rPr>
          <w:b/>
        </w:rPr>
      </w:pPr>
    </w:p>
    <w:p w14:paraId="0ADA0EFC" w14:textId="672FCBB2" w:rsidR="00D87A0A" w:rsidRPr="008F4DF9" w:rsidRDefault="00DA6FAA" w:rsidP="00162710">
      <w:r w:rsidRPr="008F4DF9">
        <w:t>26.</w:t>
      </w:r>
      <w:r w:rsidRPr="008F4DF9">
        <w:tab/>
        <w:t xml:space="preserve">En 2019, se recibió una contribución voluntaria neta de 2 000 francos suizos de las Partes Contratantes de la región de África. </w:t>
      </w:r>
    </w:p>
    <w:p w14:paraId="25738155" w14:textId="77777777" w:rsidR="00D87A0A" w:rsidRPr="008F4DF9" w:rsidRDefault="00D87A0A" w:rsidP="00162710"/>
    <w:p w14:paraId="168AFAFB" w14:textId="0171C8E0" w:rsidR="00ED64C2" w:rsidRPr="008F4DF9" w:rsidRDefault="00DA6FAA" w:rsidP="00DA6FAA">
      <w:r w:rsidRPr="008F4DF9">
        <w:t>27.</w:t>
      </w:r>
      <w:r w:rsidRPr="008F4DF9">
        <w:tab/>
        <w:t>Como se menciona en el párrafo 24 del documento SC58 Doc.8.3, de conformidad con el párrafo 24 de la Resolución XIII.2, la Secretaría ha recibido solicitudes de las Iniciativas Regionales de Ramsar en África y las ha transmitido a los representantes regionales de África ante el Comité Permanente para que tomen una decisión sobre la asignación de los fondos disponibles al 31 de diciembre de 2019 por un valor de 91 000 francos suizos. Estos representantes informarán a la Secretaría sobre su decisión.</w:t>
      </w:r>
    </w:p>
    <w:p w14:paraId="3608533D" w14:textId="77777777" w:rsidR="00ED64C2" w:rsidRPr="008F4DF9" w:rsidRDefault="00ED64C2" w:rsidP="00162710">
      <w:pPr>
        <w:ind w:left="0" w:firstLine="0"/>
      </w:pPr>
    </w:p>
    <w:p w14:paraId="78F4631F" w14:textId="35962959" w:rsidR="0075376A" w:rsidRPr="008F4DF9" w:rsidRDefault="0075376A" w:rsidP="00162710">
      <w:pPr>
        <w:ind w:left="0" w:firstLine="0"/>
      </w:pPr>
      <w:r w:rsidRPr="008F4DF9">
        <w:rPr>
          <w:b/>
        </w:rPr>
        <w:t xml:space="preserve">Examen de los saldos del presupuesto no básico (Anexo 3) </w:t>
      </w:r>
    </w:p>
    <w:p w14:paraId="528DE113" w14:textId="77777777" w:rsidR="0075376A" w:rsidRPr="008F4DF9" w:rsidRDefault="0075376A" w:rsidP="00162710">
      <w:pPr>
        <w:pStyle w:val="NoSpacing"/>
      </w:pPr>
    </w:p>
    <w:p w14:paraId="2C671FDE" w14:textId="6F3727E0" w:rsidR="00AE2D1A" w:rsidRPr="008F4DF9" w:rsidRDefault="00DA6FAA" w:rsidP="00162710">
      <w:pPr>
        <w:pStyle w:val="NoSpacing"/>
      </w:pPr>
      <w:r w:rsidRPr="008F4DF9">
        <w:t>28.</w:t>
      </w:r>
      <w:r w:rsidRPr="008F4DF9">
        <w:tab/>
        <w:t>La Secretaria General ha continuado el proceso iniciado en 2016 para establecer un enfoque más estructurado y transparente con respecto a la utilización del presupuesto no básico y sus saldos. Durante 2019, se ha continuó con el examen interno de los antiguos proyectos no financiados con cargo al presupuesto básico y se han cerrado otros 25 proyectos en el sistema financiero, como resultado de los ajustes realizados y los saldos gastados, reembolsados o transferidos a proyectos activos tras las aprobaciones de los donantes. También se están introduciendo continuamente mejoras en los procesos y procedimientos, así como en el sistema, en estrecha cooperación con la UICN.</w:t>
      </w:r>
    </w:p>
    <w:p w14:paraId="4BE457BD" w14:textId="1206C81A" w:rsidR="009244AD" w:rsidRPr="008F4DF9" w:rsidRDefault="009244AD" w:rsidP="00162710">
      <w:pPr>
        <w:pStyle w:val="NoSpacing"/>
      </w:pPr>
    </w:p>
    <w:p w14:paraId="4923FF80" w14:textId="75C695B3" w:rsidR="009244AD" w:rsidRPr="008F4DF9" w:rsidRDefault="00DA6FAA" w:rsidP="00DA6FAA">
      <w:pPr>
        <w:rPr>
          <w:highlight w:val="yellow"/>
        </w:rPr>
      </w:pPr>
      <w:r w:rsidRPr="008F4DF9">
        <w:t>29.</w:t>
      </w:r>
      <w:r w:rsidRPr="008F4DF9">
        <w:tab/>
        <w:t>Como resultado de un nuevo examen de los saldos disponibles en los proyectos, la Secretaría identificó los saldos de dos proyectos resultantes de la antigua práctica seguida en 2013 de asignar fondos básicos a proyectos no financiados con cargo al presupuesto básico. Los saldos se mantienen en proyectos para actividades que ya no existen en la Secretaría: a) Proyecto de Examen Científico: 33 000 francos suizos y b) Plan Estratégico para 2016: 18 000 francos suizos. La Secretaría está examinando los posibles usos de estos recursos y presentará cualquier sugerencia al Comité Permanente para que la examine a su debido tiempo.</w:t>
      </w:r>
    </w:p>
    <w:p w14:paraId="0B3E48FD" w14:textId="77777777" w:rsidR="00AE2D1A" w:rsidRPr="008F4DF9" w:rsidRDefault="00AE2D1A" w:rsidP="00162710">
      <w:pPr>
        <w:pStyle w:val="NoSpacing"/>
      </w:pPr>
    </w:p>
    <w:p w14:paraId="3C2D35E8" w14:textId="3D1E9C83" w:rsidR="00502524" w:rsidRPr="008F4DF9" w:rsidRDefault="00DA6FAA" w:rsidP="00162710">
      <w:pPr>
        <w:pStyle w:val="NoSpacing"/>
      </w:pPr>
      <w:r w:rsidRPr="008F4DF9">
        <w:t>30.</w:t>
      </w:r>
      <w:r w:rsidRPr="008F4DF9">
        <w:tab/>
        <w:t>El saldo no gastado de los fondos proporcionados por los Emiratos Árabes Unidos para la organización de la COP13 en Dubái en 2018 ascendió a 206 000 francos suizos y se reembolsó al país anfitrión en julio de 2019.</w:t>
      </w:r>
    </w:p>
    <w:p w14:paraId="14EC010D" w14:textId="7B016DBA" w:rsidR="00301BD4" w:rsidRPr="008F4DF9" w:rsidRDefault="00301BD4" w:rsidP="00162710">
      <w:pPr>
        <w:ind w:left="0" w:firstLine="0"/>
      </w:pPr>
    </w:p>
    <w:p w14:paraId="20592C01" w14:textId="0DD48148" w:rsidR="006E414B" w:rsidRPr="008F4DF9" w:rsidRDefault="00DA6FAA" w:rsidP="00162710">
      <w:r w:rsidRPr="008F4DF9">
        <w:t>31.</w:t>
      </w:r>
      <w:r w:rsidRPr="008F4DF9">
        <w:tab/>
        <w:t>Conforme a lo dispuesto en la Decisión SC57-51, la Secretaría ha adoptado medidas para eliminar gradualmente el programa del Fondo de Pequeñas Subvenciones asignando un primer tramo de financiación a los cuatro proyectos aprobados en esta decisión. La Secretaría debe recibir los informes de ejecución a mitad de proyecto nueve meses después de que los proyectos beneficiarios reciban la financiación. Además, los saldos se están gestionando en el marco de un proyecto (véase la partida R100163-FPS-2009-2020 en el anexo 3).</w:t>
      </w:r>
      <w:r w:rsidRPr="008F4DF9">
        <w:rPr>
          <w:color w:val="000000"/>
          <w:sz w:val="20"/>
          <w:szCs w:val="20"/>
        </w:rPr>
        <w:t xml:space="preserve"> </w:t>
      </w:r>
      <w:r w:rsidRPr="008F4DF9">
        <w:t xml:space="preserve">En el cuadro 4, se muestran los desembolsos del primer tramo que representan el 60% del presupuesto total del Fondo de Pequeñas Subvenciones. El segundo y último tramo, que representa el 40% </w:t>
      </w:r>
      <w:r w:rsidRPr="008F4DF9">
        <w:lastRenderedPageBreak/>
        <w:t>restante, se desembolsará una vez recibidos y examinados satisfactoriamente los informes finales de los proyectos, en 2021.</w:t>
      </w:r>
    </w:p>
    <w:p w14:paraId="6ED3671C" w14:textId="3DB3BDD0" w:rsidR="00B55BCE" w:rsidRPr="008F4DF9" w:rsidRDefault="00B55BCE" w:rsidP="00162710"/>
    <w:p w14:paraId="1290D9CD" w14:textId="4F6DAC11" w:rsidR="003562A0" w:rsidRPr="008F4DF9" w:rsidRDefault="0099769F" w:rsidP="00DA6FAA">
      <w:pPr>
        <w:ind w:left="0" w:firstLine="0"/>
        <w:rPr>
          <w:i/>
        </w:rPr>
      </w:pPr>
      <w:r w:rsidRPr="008F4DF9">
        <w:rPr>
          <w:i/>
        </w:rPr>
        <w:t>Cuadro 4: Desembolsos del programa del Fondo de Pequeñas Donaciones en 2019 (en miles de francos suizos, incluye posibles diferencias de redondeo)</w:t>
      </w:r>
    </w:p>
    <w:tbl>
      <w:tblPr>
        <w:tblStyle w:val="TableGrid"/>
        <w:tblW w:w="9214" w:type="dxa"/>
        <w:tblInd w:w="-5" w:type="dxa"/>
        <w:tblBorders>
          <w:insideH w:val="none" w:sz="0" w:space="0" w:color="auto"/>
          <w:insideV w:val="none" w:sz="0" w:space="0" w:color="auto"/>
        </w:tblBorders>
        <w:tblLook w:val="04A0" w:firstRow="1" w:lastRow="0" w:firstColumn="1" w:lastColumn="0" w:noHBand="0" w:noVBand="1"/>
      </w:tblPr>
      <w:tblGrid>
        <w:gridCol w:w="882"/>
        <w:gridCol w:w="6524"/>
        <w:gridCol w:w="1808"/>
      </w:tblGrid>
      <w:tr w:rsidR="001068D9" w:rsidRPr="008F4DF9" w14:paraId="0CDA90EB" w14:textId="77777777" w:rsidTr="00DA6FAA">
        <w:tc>
          <w:tcPr>
            <w:tcW w:w="882" w:type="dxa"/>
            <w:tcBorders>
              <w:top w:val="single" w:sz="4" w:space="0" w:color="auto"/>
              <w:bottom w:val="single" w:sz="4" w:space="0" w:color="auto"/>
              <w:right w:val="single" w:sz="4" w:space="0" w:color="auto"/>
            </w:tcBorders>
            <w:shd w:val="clear" w:color="auto" w:fill="DBE5F1" w:themeFill="accent1" w:themeFillTint="33"/>
          </w:tcPr>
          <w:p w14:paraId="60460551" w14:textId="5487652E" w:rsidR="001068D9" w:rsidRPr="008F4DF9" w:rsidRDefault="00513871" w:rsidP="00162710">
            <w:pPr>
              <w:ind w:left="0" w:firstLine="0"/>
              <w:rPr>
                <w:b/>
              </w:rPr>
            </w:pPr>
            <w:r w:rsidRPr="008F4DF9">
              <w:rPr>
                <w:b/>
              </w:rPr>
              <w:t>Partida</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46E2A4" w14:textId="46174A5F" w:rsidR="001068D9" w:rsidRPr="008F4DF9" w:rsidRDefault="00E42115" w:rsidP="00162710">
            <w:pPr>
              <w:ind w:left="0" w:firstLine="0"/>
              <w:rPr>
                <w:b/>
              </w:rPr>
            </w:pPr>
            <w:r w:rsidRPr="008F4DF9">
              <w:rPr>
                <w:b/>
              </w:rPr>
              <w:t>Descripción</w:t>
            </w:r>
          </w:p>
        </w:tc>
        <w:tc>
          <w:tcPr>
            <w:tcW w:w="1808" w:type="dxa"/>
            <w:tcBorders>
              <w:top w:val="single" w:sz="4" w:space="0" w:color="auto"/>
              <w:left w:val="single" w:sz="4" w:space="0" w:color="auto"/>
              <w:bottom w:val="single" w:sz="4" w:space="0" w:color="auto"/>
            </w:tcBorders>
            <w:shd w:val="clear" w:color="auto" w:fill="DBE5F1" w:themeFill="accent1" w:themeFillTint="33"/>
          </w:tcPr>
          <w:p w14:paraId="2F71B533" w14:textId="5F5EFB9B" w:rsidR="001068D9" w:rsidRPr="008F4DF9" w:rsidRDefault="002657EF" w:rsidP="00162710">
            <w:pPr>
              <w:ind w:left="0" w:firstLine="0"/>
              <w:jc w:val="center"/>
              <w:rPr>
                <w:b/>
              </w:rPr>
            </w:pPr>
            <w:r w:rsidRPr="008F4DF9">
              <w:rPr>
                <w:b/>
              </w:rPr>
              <w:t>Importe</w:t>
            </w:r>
          </w:p>
        </w:tc>
      </w:tr>
      <w:tr w:rsidR="001068D9" w:rsidRPr="008F4DF9" w14:paraId="70647DE1" w14:textId="77777777" w:rsidTr="00DA6FAA">
        <w:tc>
          <w:tcPr>
            <w:tcW w:w="882" w:type="dxa"/>
            <w:tcBorders>
              <w:top w:val="single" w:sz="4" w:space="0" w:color="auto"/>
              <w:bottom w:val="single" w:sz="4" w:space="0" w:color="auto"/>
              <w:right w:val="single" w:sz="4" w:space="0" w:color="auto"/>
            </w:tcBorders>
          </w:tcPr>
          <w:p w14:paraId="37F645A3" w14:textId="565B96F5" w:rsidR="001068D9" w:rsidRPr="008F4DF9" w:rsidRDefault="00FE3C89" w:rsidP="00162710">
            <w:pPr>
              <w:ind w:left="0" w:firstLine="0"/>
            </w:pPr>
            <w:r w:rsidRPr="008F4DF9">
              <w:t>(I)</w:t>
            </w:r>
          </w:p>
        </w:tc>
        <w:tc>
          <w:tcPr>
            <w:tcW w:w="6524" w:type="dxa"/>
            <w:tcBorders>
              <w:top w:val="single" w:sz="4" w:space="0" w:color="auto"/>
              <w:left w:val="single" w:sz="4" w:space="0" w:color="auto"/>
              <w:bottom w:val="single" w:sz="4" w:space="0" w:color="auto"/>
              <w:right w:val="single" w:sz="4" w:space="0" w:color="auto"/>
            </w:tcBorders>
          </w:tcPr>
          <w:p w14:paraId="7DDA55E1" w14:textId="246835A0" w:rsidR="001068D9" w:rsidRPr="008F4DF9" w:rsidRDefault="001068D9" w:rsidP="00162710">
            <w:pPr>
              <w:ind w:left="0" w:firstLine="0"/>
            </w:pPr>
            <w:r w:rsidRPr="008F4DF9">
              <w:t>Saldo inicial al 1 de enero de 2019</w:t>
            </w:r>
          </w:p>
        </w:tc>
        <w:tc>
          <w:tcPr>
            <w:tcW w:w="1808" w:type="dxa"/>
            <w:tcBorders>
              <w:top w:val="single" w:sz="4" w:space="0" w:color="auto"/>
              <w:left w:val="single" w:sz="4" w:space="0" w:color="auto"/>
              <w:bottom w:val="single" w:sz="4" w:space="0" w:color="auto"/>
            </w:tcBorders>
          </w:tcPr>
          <w:p w14:paraId="3C1D8682" w14:textId="7CC594F5" w:rsidR="001068D9" w:rsidRPr="008F4DF9" w:rsidRDefault="001068D9" w:rsidP="00162710">
            <w:pPr>
              <w:ind w:left="0" w:firstLine="0"/>
              <w:jc w:val="right"/>
            </w:pPr>
            <w:r w:rsidRPr="008F4DF9">
              <w:t>138</w:t>
            </w:r>
          </w:p>
        </w:tc>
      </w:tr>
      <w:tr w:rsidR="001068D9" w:rsidRPr="008F4DF9" w14:paraId="18CEB90D" w14:textId="77777777" w:rsidTr="00DA6FAA">
        <w:tc>
          <w:tcPr>
            <w:tcW w:w="882" w:type="dxa"/>
            <w:tcBorders>
              <w:top w:val="single" w:sz="4" w:space="0" w:color="auto"/>
              <w:bottom w:val="nil"/>
              <w:right w:val="single" w:sz="4" w:space="0" w:color="auto"/>
            </w:tcBorders>
          </w:tcPr>
          <w:p w14:paraId="5A3E1480" w14:textId="3233CDE5" w:rsidR="001068D9" w:rsidRPr="008F4DF9" w:rsidRDefault="00FE3C89" w:rsidP="00162710">
            <w:pPr>
              <w:ind w:left="0" w:firstLine="0"/>
            </w:pPr>
            <w:r w:rsidRPr="008F4DF9">
              <w:t>(II)</w:t>
            </w:r>
          </w:p>
        </w:tc>
        <w:tc>
          <w:tcPr>
            <w:tcW w:w="6524" w:type="dxa"/>
            <w:tcBorders>
              <w:top w:val="single" w:sz="4" w:space="0" w:color="auto"/>
              <w:left w:val="single" w:sz="4" w:space="0" w:color="auto"/>
              <w:bottom w:val="nil"/>
              <w:right w:val="single" w:sz="4" w:space="0" w:color="auto"/>
            </w:tcBorders>
          </w:tcPr>
          <w:p w14:paraId="1AA564C5" w14:textId="03F42B83" w:rsidR="001068D9" w:rsidRPr="008F4DF9" w:rsidRDefault="00513871" w:rsidP="00CC3282">
            <w:pPr>
              <w:ind w:left="432" w:hanging="432"/>
            </w:pPr>
            <w:r w:rsidRPr="008F4DF9">
              <w:t>Pagos del tramo 1 desembolsados en 2019 (destinatarios y fechas):</w:t>
            </w:r>
          </w:p>
        </w:tc>
        <w:tc>
          <w:tcPr>
            <w:tcW w:w="1808" w:type="dxa"/>
            <w:tcBorders>
              <w:top w:val="single" w:sz="4" w:space="0" w:color="auto"/>
              <w:left w:val="single" w:sz="4" w:space="0" w:color="auto"/>
              <w:bottom w:val="nil"/>
            </w:tcBorders>
          </w:tcPr>
          <w:p w14:paraId="56178D1E" w14:textId="297F67D5" w:rsidR="001068D9" w:rsidRPr="008F4DF9" w:rsidRDefault="001068D9" w:rsidP="00162710">
            <w:pPr>
              <w:ind w:left="0" w:firstLine="0"/>
              <w:jc w:val="right"/>
            </w:pPr>
            <w:r w:rsidRPr="008F4DF9">
              <w:t>82</w:t>
            </w:r>
          </w:p>
        </w:tc>
      </w:tr>
      <w:tr w:rsidR="001068D9" w:rsidRPr="008F4DF9" w14:paraId="61B8BDD7" w14:textId="77777777" w:rsidTr="00DA6FAA">
        <w:tc>
          <w:tcPr>
            <w:tcW w:w="882" w:type="dxa"/>
            <w:tcBorders>
              <w:top w:val="nil"/>
              <w:bottom w:val="nil"/>
              <w:right w:val="single" w:sz="4" w:space="0" w:color="auto"/>
            </w:tcBorders>
          </w:tcPr>
          <w:p w14:paraId="1D8FBB62" w14:textId="77777777" w:rsidR="001068D9" w:rsidRPr="008F4DF9" w:rsidRDefault="001068D9" w:rsidP="00162710">
            <w:pPr>
              <w:ind w:left="0" w:firstLine="0"/>
            </w:pPr>
          </w:p>
        </w:tc>
        <w:tc>
          <w:tcPr>
            <w:tcW w:w="6524" w:type="dxa"/>
            <w:tcBorders>
              <w:top w:val="nil"/>
              <w:left w:val="single" w:sz="4" w:space="0" w:color="auto"/>
              <w:bottom w:val="nil"/>
              <w:right w:val="single" w:sz="4" w:space="0" w:color="auto"/>
            </w:tcBorders>
          </w:tcPr>
          <w:p w14:paraId="2E146B41" w14:textId="0215FC43" w:rsidR="001068D9" w:rsidRPr="008F4DF9" w:rsidRDefault="001068D9" w:rsidP="00CC3282">
            <w:pPr>
              <w:pStyle w:val="ListParagraph"/>
              <w:numPr>
                <w:ilvl w:val="0"/>
                <w:numId w:val="6"/>
              </w:numPr>
              <w:ind w:left="432" w:hanging="432"/>
            </w:pPr>
            <w:r w:rsidRPr="008F4DF9">
              <w:t>Universidad de Agricultura Sokoine, Tanzania, el 2 de septiembre de 2019</w:t>
            </w:r>
          </w:p>
        </w:tc>
        <w:tc>
          <w:tcPr>
            <w:tcW w:w="1808" w:type="dxa"/>
            <w:tcBorders>
              <w:top w:val="nil"/>
              <w:left w:val="single" w:sz="4" w:space="0" w:color="auto"/>
              <w:bottom w:val="nil"/>
            </w:tcBorders>
          </w:tcPr>
          <w:p w14:paraId="60636F7B" w14:textId="77777777" w:rsidR="001068D9" w:rsidRPr="008F4DF9" w:rsidRDefault="001068D9" w:rsidP="00162710">
            <w:pPr>
              <w:ind w:left="0" w:firstLine="0"/>
              <w:jc w:val="right"/>
            </w:pPr>
          </w:p>
        </w:tc>
      </w:tr>
      <w:tr w:rsidR="000518FC" w:rsidRPr="008F4DF9" w14:paraId="1886A757" w14:textId="77777777" w:rsidTr="00DA6FAA">
        <w:tc>
          <w:tcPr>
            <w:tcW w:w="882" w:type="dxa"/>
            <w:tcBorders>
              <w:top w:val="nil"/>
              <w:bottom w:val="nil"/>
              <w:right w:val="single" w:sz="4" w:space="0" w:color="auto"/>
            </w:tcBorders>
          </w:tcPr>
          <w:p w14:paraId="617AE2A1" w14:textId="77777777" w:rsidR="000518FC" w:rsidRPr="008F4DF9" w:rsidRDefault="000518FC" w:rsidP="00162710">
            <w:pPr>
              <w:ind w:left="0" w:firstLine="0"/>
            </w:pPr>
          </w:p>
        </w:tc>
        <w:tc>
          <w:tcPr>
            <w:tcW w:w="6524" w:type="dxa"/>
            <w:tcBorders>
              <w:top w:val="nil"/>
              <w:left w:val="single" w:sz="4" w:space="0" w:color="auto"/>
              <w:bottom w:val="nil"/>
              <w:right w:val="single" w:sz="4" w:space="0" w:color="auto"/>
            </w:tcBorders>
          </w:tcPr>
          <w:p w14:paraId="425529E8" w14:textId="18C958E8" w:rsidR="000518FC" w:rsidRPr="008F4DF9" w:rsidRDefault="000518FC" w:rsidP="00CC3282">
            <w:pPr>
              <w:pStyle w:val="ListParagraph"/>
              <w:numPr>
                <w:ilvl w:val="0"/>
                <w:numId w:val="6"/>
              </w:numPr>
              <w:ind w:left="432" w:hanging="432"/>
            </w:pPr>
            <w:r w:rsidRPr="008F4DF9">
              <w:t>Programa para Camboya de BirdLife International, Camboya, el 12 de septiembre de 2019</w:t>
            </w:r>
          </w:p>
        </w:tc>
        <w:tc>
          <w:tcPr>
            <w:tcW w:w="1808" w:type="dxa"/>
            <w:tcBorders>
              <w:top w:val="nil"/>
              <w:left w:val="single" w:sz="4" w:space="0" w:color="auto"/>
              <w:bottom w:val="nil"/>
            </w:tcBorders>
          </w:tcPr>
          <w:p w14:paraId="583586F1" w14:textId="77777777" w:rsidR="000518FC" w:rsidRPr="008F4DF9" w:rsidRDefault="000518FC" w:rsidP="00162710">
            <w:pPr>
              <w:ind w:left="0" w:firstLine="0"/>
              <w:jc w:val="right"/>
            </w:pPr>
          </w:p>
        </w:tc>
      </w:tr>
      <w:tr w:rsidR="000518FC" w:rsidRPr="008F4DF9" w14:paraId="10842A13" w14:textId="77777777" w:rsidTr="00DA6FAA">
        <w:tc>
          <w:tcPr>
            <w:tcW w:w="882" w:type="dxa"/>
            <w:tcBorders>
              <w:top w:val="nil"/>
              <w:bottom w:val="nil"/>
              <w:right w:val="single" w:sz="4" w:space="0" w:color="auto"/>
            </w:tcBorders>
          </w:tcPr>
          <w:p w14:paraId="04BB43E7" w14:textId="77777777" w:rsidR="000518FC" w:rsidRPr="008F4DF9" w:rsidRDefault="000518FC" w:rsidP="00162710">
            <w:pPr>
              <w:ind w:left="0" w:firstLine="0"/>
            </w:pPr>
          </w:p>
        </w:tc>
        <w:tc>
          <w:tcPr>
            <w:tcW w:w="6524" w:type="dxa"/>
            <w:tcBorders>
              <w:top w:val="nil"/>
              <w:left w:val="single" w:sz="4" w:space="0" w:color="auto"/>
              <w:bottom w:val="nil"/>
              <w:right w:val="single" w:sz="4" w:space="0" w:color="auto"/>
            </w:tcBorders>
          </w:tcPr>
          <w:p w14:paraId="1F28B6DB" w14:textId="7BA7026B" w:rsidR="000518FC" w:rsidRPr="008F4DF9" w:rsidRDefault="000518FC" w:rsidP="00CC3282">
            <w:pPr>
              <w:pStyle w:val="ListParagraph"/>
              <w:numPr>
                <w:ilvl w:val="0"/>
                <w:numId w:val="6"/>
              </w:numPr>
              <w:ind w:left="432" w:hanging="432"/>
            </w:pPr>
            <w:r w:rsidRPr="008F4DF9">
              <w:t>FONNOR A.C., México, el 4 de octubre de 2019</w:t>
            </w:r>
          </w:p>
        </w:tc>
        <w:tc>
          <w:tcPr>
            <w:tcW w:w="1808" w:type="dxa"/>
            <w:tcBorders>
              <w:top w:val="nil"/>
              <w:left w:val="single" w:sz="4" w:space="0" w:color="auto"/>
              <w:bottom w:val="nil"/>
            </w:tcBorders>
          </w:tcPr>
          <w:p w14:paraId="77FBC366" w14:textId="77777777" w:rsidR="000518FC" w:rsidRPr="008F4DF9" w:rsidRDefault="000518FC" w:rsidP="00162710">
            <w:pPr>
              <w:ind w:left="0" w:firstLine="0"/>
              <w:jc w:val="right"/>
            </w:pPr>
          </w:p>
        </w:tc>
      </w:tr>
      <w:tr w:rsidR="000518FC" w:rsidRPr="008F4DF9" w14:paraId="32BCA87E" w14:textId="77777777" w:rsidTr="00DA6FAA">
        <w:tc>
          <w:tcPr>
            <w:tcW w:w="882" w:type="dxa"/>
            <w:tcBorders>
              <w:top w:val="nil"/>
              <w:bottom w:val="single" w:sz="4" w:space="0" w:color="auto"/>
              <w:right w:val="single" w:sz="4" w:space="0" w:color="auto"/>
            </w:tcBorders>
          </w:tcPr>
          <w:p w14:paraId="5D8AEDD2" w14:textId="77777777" w:rsidR="000518FC" w:rsidRPr="008F4DF9" w:rsidRDefault="000518FC" w:rsidP="00162710">
            <w:pPr>
              <w:ind w:left="0" w:firstLine="0"/>
            </w:pPr>
          </w:p>
        </w:tc>
        <w:tc>
          <w:tcPr>
            <w:tcW w:w="6524" w:type="dxa"/>
            <w:tcBorders>
              <w:top w:val="nil"/>
              <w:left w:val="single" w:sz="4" w:space="0" w:color="auto"/>
              <w:bottom w:val="single" w:sz="4" w:space="0" w:color="auto"/>
              <w:right w:val="single" w:sz="4" w:space="0" w:color="auto"/>
            </w:tcBorders>
          </w:tcPr>
          <w:p w14:paraId="35D2764B" w14:textId="534A9452" w:rsidR="000518FC" w:rsidRPr="008F4DF9" w:rsidRDefault="000518FC" w:rsidP="00CC3282">
            <w:pPr>
              <w:pStyle w:val="ListParagraph"/>
              <w:numPr>
                <w:ilvl w:val="0"/>
                <w:numId w:val="6"/>
              </w:numPr>
              <w:ind w:left="432" w:hanging="432"/>
            </w:pPr>
            <w:r w:rsidRPr="008F4DF9">
              <w:t>Guyra (Paraguay), el 7 de noviembre de 2019</w:t>
            </w:r>
          </w:p>
        </w:tc>
        <w:tc>
          <w:tcPr>
            <w:tcW w:w="1808" w:type="dxa"/>
            <w:tcBorders>
              <w:top w:val="nil"/>
              <w:left w:val="single" w:sz="4" w:space="0" w:color="auto"/>
              <w:bottom w:val="single" w:sz="4" w:space="0" w:color="auto"/>
            </w:tcBorders>
          </w:tcPr>
          <w:p w14:paraId="6610EF63" w14:textId="77777777" w:rsidR="000518FC" w:rsidRPr="008F4DF9" w:rsidRDefault="000518FC" w:rsidP="00162710">
            <w:pPr>
              <w:ind w:left="0" w:firstLine="0"/>
              <w:jc w:val="right"/>
            </w:pPr>
          </w:p>
        </w:tc>
      </w:tr>
      <w:tr w:rsidR="001068D9" w:rsidRPr="008F4DF9" w14:paraId="080CE843" w14:textId="77777777" w:rsidTr="00DA6FAA">
        <w:tc>
          <w:tcPr>
            <w:tcW w:w="882" w:type="dxa"/>
            <w:tcBorders>
              <w:top w:val="single" w:sz="4" w:space="0" w:color="auto"/>
              <w:bottom w:val="single" w:sz="4" w:space="0" w:color="auto"/>
              <w:right w:val="single" w:sz="4" w:space="0" w:color="auto"/>
            </w:tcBorders>
            <w:shd w:val="clear" w:color="auto" w:fill="DBE5F1" w:themeFill="accent1" w:themeFillTint="33"/>
          </w:tcPr>
          <w:p w14:paraId="4D9DDF18" w14:textId="3ED16F07" w:rsidR="001068D9" w:rsidRPr="008F4DF9" w:rsidRDefault="00FE3C89" w:rsidP="00162710">
            <w:pPr>
              <w:ind w:left="0" w:firstLine="0"/>
            </w:pPr>
            <w:r w:rsidRPr="008F4DF9">
              <w:t>(III=I-II)</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47E7A" w14:textId="388EB55C" w:rsidR="001068D9" w:rsidRPr="008F4DF9" w:rsidRDefault="00513871" w:rsidP="00162710">
            <w:pPr>
              <w:ind w:left="0" w:firstLine="0"/>
              <w:rPr>
                <w:b/>
              </w:rPr>
            </w:pPr>
            <w:r w:rsidRPr="008F4DF9">
              <w:rPr>
                <w:b/>
              </w:rPr>
              <w:t>Saldos comprometidos del FPS a desembolsar en 2021</w:t>
            </w:r>
          </w:p>
        </w:tc>
        <w:tc>
          <w:tcPr>
            <w:tcW w:w="1808" w:type="dxa"/>
            <w:tcBorders>
              <w:top w:val="single" w:sz="4" w:space="0" w:color="auto"/>
              <w:left w:val="single" w:sz="4" w:space="0" w:color="auto"/>
              <w:bottom w:val="single" w:sz="4" w:space="0" w:color="auto"/>
            </w:tcBorders>
            <w:shd w:val="clear" w:color="auto" w:fill="DBE5F1" w:themeFill="accent1" w:themeFillTint="33"/>
          </w:tcPr>
          <w:p w14:paraId="41F4D13B" w14:textId="77CBDEB8" w:rsidR="001068D9" w:rsidRPr="008F4DF9" w:rsidRDefault="001068D9" w:rsidP="00162710">
            <w:pPr>
              <w:ind w:left="0" w:firstLine="0"/>
              <w:jc w:val="right"/>
            </w:pPr>
            <w:r w:rsidRPr="008F4DF9">
              <w:t>56</w:t>
            </w:r>
          </w:p>
        </w:tc>
      </w:tr>
    </w:tbl>
    <w:p w14:paraId="2D8528C6" w14:textId="65BBAB0D" w:rsidR="00713E0D" w:rsidRPr="008F4DF9" w:rsidRDefault="00713E0D" w:rsidP="00162710">
      <w:pPr>
        <w:ind w:left="0" w:firstLine="0"/>
      </w:pPr>
    </w:p>
    <w:p w14:paraId="0404D325" w14:textId="27058319" w:rsidR="00321AAD" w:rsidRPr="008F4DF9" w:rsidRDefault="00321AAD" w:rsidP="00162710">
      <w:pPr>
        <w:ind w:left="0" w:firstLine="0"/>
      </w:pPr>
    </w:p>
    <w:p w14:paraId="7BF95380" w14:textId="3F6AFE99" w:rsidR="00B6236E" w:rsidRPr="008F4DF9" w:rsidRDefault="00B6236E" w:rsidP="00162710">
      <w:pPr>
        <w:pStyle w:val="NoSpacing"/>
      </w:pPr>
      <w:r w:rsidRPr="008F4DF9">
        <w:rPr>
          <w:b/>
        </w:rPr>
        <w:t>Presupuesto básico para 2020 (anexo 4)</w:t>
      </w:r>
    </w:p>
    <w:p w14:paraId="270546CB" w14:textId="77777777" w:rsidR="00B6236E" w:rsidRPr="008F4DF9" w:rsidRDefault="00B6236E" w:rsidP="00162710">
      <w:pPr>
        <w:pStyle w:val="NoSpacing"/>
        <w:ind w:left="360" w:firstLine="0"/>
      </w:pPr>
    </w:p>
    <w:p w14:paraId="701BDA68" w14:textId="51551FEC" w:rsidR="00B6236E" w:rsidRPr="008F4DF9" w:rsidRDefault="00DA6FAA" w:rsidP="00162710">
      <w:r w:rsidRPr="008F4DF9">
        <w:t>32.</w:t>
      </w:r>
      <w:r w:rsidRPr="008F4DF9">
        <w:tab/>
        <w:t>En el anexo 4 se presenta un panorama general del presupuesto para 2020 que incluye el presupuesto aprobado por la COP13 de 5 081 000 francos suizos; el uso autorizado del excedente de 2018 (Resolución XIII.2, párrafo 15) de 76 000 francos suizos; los fondos previamente comprometidos del presupuesto de 2019 a gastar en 2020 de 588 000 francos suizos; y los saldos no comprometidos de 919 000 francos suizos que se transfieren al año siguiente. En el párrafo 20 se explican con más detalle los fondos transferidos de 2019 a 2020. El presupuesto básico total propuesto para 2020 es, por lo tanto, de 6 664 000 francos suizos.</w:t>
      </w:r>
    </w:p>
    <w:p w14:paraId="25776686" w14:textId="77777777" w:rsidR="00776FB3" w:rsidRPr="008F4DF9" w:rsidRDefault="00776FB3" w:rsidP="00162710">
      <w:pPr>
        <w:ind w:firstLine="0"/>
        <w:rPr>
          <w:highlight w:val="green"/>
        </w:rPr>
      </w:pPr>
    </w:p>
    <w:p w14:paraId="0DA5C8AC" w14:textId="5860B615" w:rsidR="00776FB3" w:rsidRPr="008F4DF9" w:rsidRDefault="00790C01" w:rsidP="00790C01">
      <w:r w:rsidRPr="008F4DF9">
        <w:t>33.</w:t>
      </w:r>
      <w:r w:rsidRPr="008F4DF9">
        <w:tab/>
        <w:t>La Secretaría prevé algunos ajustes en el presupuesto de 2020 y la utilización de los saldos transferidos de 2019.</w:t>
      </w:r>
    </w:p>
    <w:p w14:paraId="1136384C" w14:textId="59556EEA" w:rsidR="005C353C" w:rsidRPr="008F4DF9" w:rsidRDefault="005C353C" w:rsidP="00790C01"/>
    <w:p w14:paraId="2BFDF3A0" w14:textId="1AB982FE" w:rsidR="007D02A0" w:rsidRPr="008F4DF9" w:rsidRDefault="006B42D7" w:rsidP="007D02A0">
      <w:r w:rsidRPr="008F4DF9">
        <w:t>34.</w:t>
      </w:r>
      <w:r w:rsidRPr="008F4DF9">
        <w:tab/>
        <w:t xml:space="preserve">Como se menciona en el párrafo 16 del documento SC58 </w:t>
      </w:r>
      <w:r w:rsidR="008F4DF9" w:rsidRPr="008F4DF9">
        <w:t>Doc.</w:t>
      </w:r>
      <w:r w:rsidRPr="008F4DF9">
        <w:t xml:space="preserve"> 22.2 </w:t>
      </w:r>
      <w:r w:rsidRPr="008F4DF9">
        <w:rPr>
          <w:i/>
          <w:iCs/>
        </w:rPr>
        <w:t>Informe de la Secretaría sobre las Iniciativas Regionales de Ramsar</w:t>
      </w:r>
      <w:r w:rsidRPr="008F4DF9">
        <w:t>, la Secretaría invita al Comité Permanente a que examine y apruebe en la reunión SC58 la asignación de fondos a las IRR propuestas en el presupuesto básico de Ramsar para 2020. La Secretaría propone en dicho documento una asignación de 25 000 francos suizos para cada una de las cuatro IRR que reúnen los requisitos, para sus actividades en 2020.</w:t>
      </w:r>
    </w:p>
    <w:p w14:paraId="2C1037D7" w14:textId="77777777" w:rsidR="00776FB3" w:rsidRPr="008F4DF9" w:rsidRDefault="00776FB3" w:rsidP="00162710">
      <w:pPr>
        <w:ind w:firstLine="0"/>
        <w:rPr>
          <w:highlight w:val="green"/>
        </w:rPr>
      </w:pPr>
    </w:p>
    <w:p w14:paraId="053B0648" w14:textId="5D7FEC68" w:rsidR="00776FB3" w:rsidRPr="008F4DF9" w:rsidRDefault="006B42D7" w:rsidP="00162710">
      <w:r w:rsidRPr="008F4DF9">
        <w:t>35.</w:t>
      </w:r>
      <w:r w:rsidRPr="008F4DF9">
        <w:tab/>
        <w:t xml:space="preserve">Como se menciona en el párrafo 37 del documento SC58 Doc.13, </w:t>
      </w:r>
      <w:r w:rsidRPr="008F4DF9">
        <w:rPr>
          <w:i/>
          <w:iCs/>
        </w:rPr>
        <w:t>Examen de todas las resoluciones y decisiones anteriores</w:t>
      </w:r>
      <w:r w:rsidRPr="008F4DF9">
        <w:t>, la Secretaría calculó una necesidad de recursos por un monto de 30 000 francos suizos para emprender los próximos pasos de esta tarea. La Secretaría propone que estos recursos se asignen a partir del saldo transferido de 2019 correspondientes a servicios jurídicos, y solicita la aprobación de la reunión SC58 para esta medida.</w:t>
      </w:r>
    </w:p>
    <w:p w14:paraId="5D6D6991" w14:textId="77777777" w:rsidR="00A10F42" w:rsidRPr="008F4DF9" w:rsidRDefault="00A10F42" w:rsidP="00162710">
      <w:pPr>
        <w:ind w:left="0" w:firstLine="0"/>
      </w:pPr>
    </w:p>
    <w:p w14:paraId="47ED97F4" w14:textId="0F9D27E1" w:rsidR="00A10F42" w:rsidRPr="008F4DF9" w:rsidRDefault="006B42D7" w:rsidP="00790C01">
      <w:r w:rsidRPr="008F4DF9">
        <w:t>36.</w:t>
      </w:r>
      <w:r w:rsidRPr="008F4DF9">
        <w:tab/>
        <w:t xml:space="preserve">La Secretaría prevé que será necesario hacer ajustes en el presupuesto en lo que respecta a la provisión para las contribuciones pendientes, que podría ser necesario aumentar en 2020. La Secretaría preparará las estimaciones para esta provisión, así como cualquier opción adicional para reasignar fondos del presupuesto de 2020 y comunicará su análisis en una fecha más próxima a la reunión del Comité Permanente para su examen por parte del Subgrupo de Finanzas. El cálculo del aumento estimado para 2020 de las provisiones para contribuciones pendientes se basará en los saldos pendientes que no se hayan pagado durante más de cuatro </w:t>
      </w:r>
      <w:r w:rsidRPr="008F4DF9">
        <w:lastRenderedPageBreak/>
        <w:t>años, a los que habrá que aplicar la provisión total del 100%. Para 2021, se necesitará un enfoque similar.</w:t>
      </w:r>
    </w:p>
    <w:p w14:paraId="00EB4363" w14:textId="77777777" w:rsidR="00A10F42" w:rsidRPr="008F4DF9" w:rsidRDefault="00A10F42" w:rsidP="00162710">
      <w:pPr>
        <w:ind w:left="0" w:firstLine="0"/>
      </w:pPr>
    </w:p>
    <w:p w14:paraId="6D0BFD4E" w14:textId="1B0F8AE7" w:rsidR="00A10F42" w:rsidRPr="008F4DF9" w:rsidRDefault="006B42D7" w:rsidP="00162710">
      <w:r w:rsidRPr="008F4DF9">
        <w:t>37.</w:t>
      </w:r>
      <w:r w:rsidRPr="008F4DF9">
        <w:tab/>
        <w:t>Además, teniendo en cuenta las incertidumbres con relación a la ejecución del presupuesto a las que nos enfrentamos en 2020 debido a la pandemia de COVID-19, la Secretaría prevé que pueden producirse otros ajustes, por ejemplo, la anulación o el aplazamiento de las reuniones de los órganos rectores y subsidiarios, o la disminución de los viajes. La Secretaría presentará un análisis y una propuesta en una fecha más cercana a la reunión.</w:t>
      </w:r>
    </w:p>
    <w:p w14:paraId="5450CD3F" w14:textId="0520609C" w:rsidR="006631A2" w:rsidRPr="008F4DF9" w:rsidRDefault="006631A2" w:rsidP="00162710">
      <w:pPr>
        <w:pStyle w:val="NoSpacing"/>
        <w:rPr>
          <w:b/>
        </w:rPr>
      </w:pPr>
    </w:p>
    <w:p w14:paraId="00695CC2" w14:textId="77777777" w:rsidR="00264303" w:rsidRPr="008F4DF9" w:rsidRDefault="00264303" w:rsidP="00464D2B">
      <w:pPr>
        <w:pStyle w:val="NoSpacing"/>
        <w:keepNext/>
        <w:rPr>
          <w:b/>
        </w:rPr>
      </w:pPr>
      <w:r w:rsidRPr="008F4DF9">
        <w:rPr>
          <w:b/>
        </w:rPr>
        <w:t>Otras cuestiones a considerar</w:t>
      </w:r>
    </w:p>
    <w:p w14:paraId="65182D3B" w14:textId="77777777" w:rsidR="00264303" w:rsidRPr="008F4DF9" w:rsidRDefault="00264303" w:rsidP="00464D2B">
      <w:pPr>
        <w:pStyle w:val="NoSpacing"/>
        <w:keepNext/>
        <w:rPr>
          <w:b/>
        </w:rPr>
      </w:pPr>
    </w:p>
    <w:p w14:paraId="6B8C1776" w14:textId="77777777" w:rsidR="00264303" w:rsidRPr="008F4DF9" w:rsidRDefault="00264303" w:rsidP="00464D2B">
      <w:pPr>
        <w:keepNext/>
        <w:ind w:left="0" w:firstLine="0"/>
      </w:pPr>
      <w:r w:rsidRPr="008F4DF9">
        <w:rPr>
          <w:rFonts w:asciiTheme="minorHAnsi" w:hAnsiTheme="minorHAnsi"/>
          <w:i/>
        </w:rPr>
        <w:t>Examen de la gestión de los fondos complementarios</w:t>
      </w:r>
      <w:r w:rsidRPr="008F4DF9">
        <w:t xml:space="preserve"> </w:t>
      </w:r>
    </w:p>
    <w:p w14:paraId="786CE8B9" w14:textId="77777777" w:rsidR="00264303" w:rsidRPr="008F4DF9" w:rsidRDefault="00264303" w:rsidP="00464D2B">
      <w:pPr>
        <w:keepNext/>
        <w:ind w:left="0" w:firstLine="0"/>
      </w:pPr>
    </w:p>
    <w:p w14:paraId="6738B471" w14:textId="3E50812E" w:rsidR="008B2B9E" w:rsidRPr="008F4DF9" w:rsidRDefault="006B42D7" w:rsidP="00162710">
      <w:r w:rsidRPr="008F4DF9">
        <w:t>38.</w:t>
      </w:r>
      <w:r w:rsidRPr="008F4DF9">
        <w:tab/>
        <w:t xml:space="preserve">Como seguimiento del examen interno realizado por la Secretaria General, en la Decisión SC53-33 se pidió a la Secretaría que adoptara medidas para realizar un examen externo de los proyectos no financiados con cargo al presupuesto básico. La Secretaria General pidió a la Unidad de Supervisión de la UICN que realizara este examen administrativo y financiero. Los auditores externos acogieron favorablemente esta iniciativa. Los resultados preliminares del examen se presentaron en la reunión SC54 y los resultados finales del examen se presentaron en la reunión SC55 como documento SC55 Doc.8.2 sobre </w:t>
      </w:r>
      <w:r w:rsidRPr="008F4DF9">
        <w:rPr>
          <w:i/>
          <w:iCs/>
        </w:rPr>
        <w:t>Examen de la Gestión Financiera de los Fondos Complementarios (de uso restringido)</w:t>
      </w:r>
      <w:r w:rsidR="00E43E6D" w:rsidRPr="008F4DF9">
        <w:rPr>
          <w:rStyle w:val="FootnoteReference"/>
        </w:rPr>
        <w:footnoteReference w:id="3"/>
      </w:r>
      <w:r w:rsidRPr="008F4DF9">
        <w:t>.</w:t>
      </w:r>
    </w:p>
    <w:p w14:paraId="742AB0C1" w14:textId="77777777" w:rsidR="008B2B9E" w:rsidRPr="008F4DF9" w:rsidRDefault="008B2B9E" w:rsidP="00162710"/>
    <w:p w14:paraId="547B98B6" w14:textId="3178A392" w:rsidR="00AF539B" w:rsidRPr="008F4DF9" w:rsidRDefault="006B42D7" w:rsidP="00162710">
      <w:r w:rsidRPr="008F4DF9">
        <w:t>39.</w:t>
      </w:r>
      <w:r w:rsidRPr="008F4DF9">
        <w:tab/>
        <w:t xml:space="preserve">En el transcurso de 2019, la Secretaría continuó aplicando las recomendaciones del examen de la UICN. El estado actualizado de la respuesta de la Administración y de las medidas de la Secretaría es que ocho de las diez recomendaciones han sido cerradas y se ha informado a la Unidad de Supervisión de la UICN que estas recomendaciones habían sido aplicadas plenamente y se habían dado por concluidas. </w:t>
      </w:r>
    </w:p>
    <w:p w14:paraId="6881B09B" w14:textId="77777777" w:rsidR="00AF539B" w:rsidRPr="008F4DF9" w:rsidRDefault="00AF539B" w:rsidP="00162710"/>
    <w:p w14:paraId="0EBB313F" w14:textId="7C27D40E" w:rsidR="00264303" w:rsidRPr="008F4DF9" w:rsidRDefault="006B42D7" w:rsidP="009B5C76">
      <w:r w:rsidRPr="008F4DF9">
        <w:t>40.</w:t>
      </w:r>
      <w:r w:rsidRPr="008F4DF9">
        <w:tab/>
        <w:t>Se ha avanzado y se seguirá avanzando en 2020 en la aplicación de la recomendación 5 del Examen sobre el proceso de autoevaluación de los controles internos. La Secretaría ha estado en contacto con la UICN en relación con la metodología de autoevaluación. Actualmente, la UICN está desarrollando y probando herramientas en línea. La Secretaría está siguiendo este proceso y presentará un informe una vez que se haya finalizado la elaboración de estos instrumentos, confirmando si sería útil contar con controles internos similares en el contexto de la Convención.</w:t>
      </w:r>
    </w:p>
    <w:p w14:paraId="3E5CFC74" w14:textId="77777777" w:rsidR="00264303" w:rsidRPr="008F4DF9" w:rsidRDefault="00264303" w:rsidP="00162710"/>
    <w:p w14:paraId="5D16912F" w14:textId="1EFF09E2" w:rsidR="00D7462E" w:rsidRPr="008F4DF9" w:rsidRDefault="006B42D7" w:rsidP="009B5C76">
      <w:r w:rsidRPr="008F4DF9">
        <w:t>41.</w:t>
      </w:r>
      <w:r w:rsidRPr="008F4DF9">
        <w:tab/>
        <w:t xml:space="preserve">Se ha aplicado parcialmente la recomendación 8 del Examen sobre los procesos para cobrar honorarios de gestión en proyectos no financiados con cargo al presupuesto básico. Ya se ha establecido, y se ha reforzado en 2019, un proceso para el cobro anual de honorarios de gestión en proyectos no financiados con cargo al presupuesto básico. </w:t>
      </w:r>
    </w:p>
    <w:p w14:paraId="5910D5AB" w14:textId="77777777" w:rsidR="00D7462E" w:rsidRPr="008F4DF9" w:rsidRDefault="00D7462E" w:rsidP="00162710">
      <w:pPr>
        <w:ind w:firstLine="0"/>
      </w:pPr>
    </w:p>
    <w:p w14:paraId="73365AB5" w14:textId="392AF30D" w:rsidR="00CD1D81" w:rsidRPr="008F4DF9" w:rsidRDefault="006B42D7" w:rsidP="009B5C76">
      <w:r w:rsidRPr="008F4DF9">
        <w:t>42.</w:t>
      </w:r>
      <w:r w:rsidRPr="008F4DF9">
        <w:tab/>
        <w:t xml:space="preserve">Como se informó anteriormente, los honorarios de gestión se consignan en una partida del presupuesto no básico específica ("Admin") para garantizar la transparencia. El saldo a finales de 2019 de esta partida presupuestaria era de 368 000 francos suizos. De conformidad con la Decisión SC54-26 por la que se aprueba el informe del Subgrupo de Finanzas y, más específicamente, el punto 2 del anexo 5 del informe a la reunión SC54, la Secretaría debe aplicar las políticas y directrices de la UICN para la utilización de honorarios de gestión. </w:t>
      </w:r>
    </w:p>
    <w:p w14:paraId="303BB90F" w14:textId="77777777" w:rsidR="00CD1D81" w:rsidRPr="008F4DF9" w:rsidRDefault="00CD1D81" w:rsidP="00162710">
      <w:pPr>
        <w:ind w:firstLine="0"/>
      </w:pPr>
    </w:p>
    <w:p w14:paraId="284C32E2" w14:textId="3FBB0C4B" w:rsidR="00DC6804" w:rsidRPr="008F4DF9" w:rsidRDefault="006B42D7" w:rsidP="009B5C76">
      <w:r w:rsidRPr="008F4DF9">
        <w:lastRenderedPageBreak/>
        <w:t>43.</w:t>
      </w:r>
      <w:r w:rsidRPr="008F4DF9">
        <w:tab/>
        <w:t xml:space="preserve">La Secretaría ha examinado el enfoque de la UICN para la utilización de honorarios de gestión y observa que la UICN aplica la recuperación de costos para funciones institucionales y operativas. En la Secretaría, las funciones operativas se cubren con fondos básicos, por lo que la Secretaría propone que, de manera similar a las Directrices de la UICN para la elaboración de presupuestos de proyectos de 2014, "los honorarios de gestión se utilicen para el apoyo a los programas y las comunicaciones". Las funciones institucionales que podrían abarcarse en esta orientación incluyen el apoyo a los programas, las comunicaciones, la gestión, las finanzas, la tecnología de la información, los recursos humanos y los servicios de oficina. El Marco de la UICN para el cálculo de costos de proyectos de 2020 indica además que los costos indirectos pueden abarcar el apoyo a los programas, las comunicaciones, la administración, la recaudación de fondos, la gestión y el liderazgo, el asesoramiento jurídico y la supervisión. En consecuencia, la Secretaría propone que se utilicen los honorarios de gestión para el apoyo a los programas y las comunicaciones, y más específicamente para el apoyo a los programas, la recaudación de fondos, las comunicaciones, la evaluación, el asesoramiento jurídico y las finanzas y administración, según sea necesario. </w:t>
      </w:r>
    </w:p>
    <w:p w14:paraId="648E428F" w14:textId="77777777" w:rsidR="00DC6804" w:rsidRPr="008F4DF9" w:rsidRDefault="00DC6804" w:rsidP="00162710">
      <w:pPr>
        <w:ind w:firstLine="0"/>
      </w:pPr>
    </w:p>
    <w:p w14:paraId="091AA2D3" w14:textId="05D37988" w:rsidR="00D4539F" w:rsidRPr="008F4DF9" w:rsidRDefault="006B42D7" w:rsidP="00FB03BD">
      <w:r w:rsidRPr="008F4DF9">
        <w:t>44.</w:t>
      </w:r>
      <w:r w:rsidRPr="008F4DF9">
        <w:tab/>
        <w:t xml:space="preserve">La Secretaría invita al Comité Permanente a examinar y aprobar en la reunión SC58 esta propuesta. </w:t>
      </w:r>
    </w:p>
    <w:p w14:paraId="6015D0B5" w14:textId="77777777" w:rsidR="006C7F1C" w:rsidRPr="008F4DF9" w:rsidRDefault="006C7F1C" w:rsidP="00162710">
      <w:pPr>
        <w:ind w:left="0" w:firstLine="0"/>
      </w:pPr>
    </w:p>
    <w:p w14:paraId="566E493C" w14:textId="77777777" w:rsidR="00264303" w:rsidRPr="008F4DF9" w:rsidRDefault="00264303" w:rsidP="00162710">
      <w:pPr>
        <w:ind w:left="0" w:firstLine="0"/>
        <w:rPr>
          <w:i/>
        </w:rPr>
      </w:pPr>
      <w:r w:rsidRPr="008F4DF9">
        <w:rPr>
          <w:i/>
        </w:rPr>
        <w:t>Provisión para las contribuciones pendientes de las Partes Contratantes y medidas para fomentar el pago de las contribuciones pendientes.</w:t>
      </w:r>
    </w:p>
    <w:p w14:paraId="5FFC6241" w14:textId="77777777" w:rsidR="00264303" w:rsidRPr="008F4DF9" w:rsidRDefault="00264303" w:rsidP="00162710">
      <w:pPr>
        <w:ind w:left="0" w:firstLine="0"/>
      </w:pPr>
    </w:p>
    <w:p w14:paraId="7052412F" w14:textId="1CEA198B" w:rsidR="00264303" w:rsidRPr="008F4DF9" w:rsidRDefault="006B42D7" w:rsidP="00162710">
      <w:r w:rsidRPr="008F4DF9">
        <w:t>45.</w:t>
      </w:r>
      <w:r w:rsidRPr="008F4DF9">
        <w:tab/>
        <w:t xml:space="preserve">Como consecuencia de la solicitado por el auditor externo y de la Decisión SC57-39 del Comité Permanente, se ha aplicado la nueva metodología en el cálculo de la provisión para las contribuciones pendientes de las Partes Contratantes en 2019. </w:t>
      </w:r>
    </w:p>
    <w:p w14:paraId="1E9BA5A8" w14:textId="77777777" w:rsidR="00264303" w:rsidRPr="008F4DF9" w:rsidRDefault="00264303" w:rsidP="00162710"/>
    <w:p w14:paraId="542EE1FE" w14:textId="5BE2B9BE" w:rsidR="00264303" w:rsidRPr="008F4DF9" w:rsidRDefault="006B42D7" w:rsidP="00414B55">
      <w:r w:rsidRPr="008F4DF9">
        <w:t>46.</w:t>
      </w:r>
      <w:r w:rsidRPr="008F4DF9">
        <w:tab/>
        <w:t>La Secretaría se ha esforzado en aplicar las Decisiones SC57-44 y SC57-45 a fin de propiciar el pago puntual de las contribuciones anuales. En noviembre de 2019 se envió un recordatorio a las Partes Contratantes con saldos impagados de contribuciones anuales, junto con una copia de su factura de 2019 y una situación actualizada de las contribuciones asignadas (Nota diplomática 2019/8). También se envió un mensaje por correo electrónico a todas las Partes Contratantes para su información únicamente a través de la lista de correo de Ramsar Exchange, incluidas las Partes que ya habían pagado todos sus atrasos.</w:t>
      </w:r>
    </w:p>
    <w:p w14:paraId="25A09D73" w14:textId="77777777" w:rsidR="00264303" w:rsidRPr="008F4DF9" w:rsidRDefault="00264303" w:rsidP="00162710">
      <w:pPr>
        <w:ind w:left="0" w:firstLine="0"/>
      </w:pPr>
    </w:p>
    <w:p w14:paraId="1DC505E4" w14:textId="23FC9C78" w:rsidR="00264303" w:rsidRPr="008F4DF9" w:rsidRDefault="006B42D7" w:rsidP="00414B55">
      <w:r w:rsidRPr="008F4DF9">
        <w:t>47.</w:t>
      </w:r>
      <w:r w:rsidRPr="008F4DF9">
        <w:tab/>
        <w:t xml:space="preserve">En los párrafos 15, 17 y 18 del documento SC58 Doc.8.3, </w:t>
      </w:r>
      <w:r w:rsidRPr="008F4DF9">
        <w:rPr>
          <w:i/>
          <w:iCs/>
        </w:rPr>
        <w:t>Situación de las contribuciones anuales</w:t>
      </w:r>
      <w:r w:rsidRPr="008F4DF9">
        <w:t>, se proporcionan más detalles.</w:t>
      </w:r>
    </w:p>
    <w:p w14:paraId="2A7FCFC0" w14:textId="77777777" w:rsidR="00264303" w:rsidRPr="008F4DF9" w:rsidRDefault="00264303" w:rsidP="00162710">
      <w:pPr>
        <w:ind w:left="0" w:firstLine="0"/>
        <w:rPr>
          <w:rFonts w:asciiTheme="minorHAnsi" w:hAnsiTheme="minorHAnsi" w:cs="Arial"/>
          <w:i/>
        </w:rPr>
      </w:pPr>
    </w:p>
    <w:p w14:paraId="4ECCE1C6" w14:textId="77777777" w:rsidR="00264303" w:rsidRPr="008F4DF9" w:rsidRDefault="00264303" w:rsidP="00162710">
      <w:pPr>
        <w:ind w:left="0" w:firstLine="0"/>
      </w:pPr>
      <w:r w:rsidRPr="008F4DF9">
        <w:rPr>
          <w:rFonts w:asciiTheme="minorHAnsi" w:hAnsiTheme="minorHAnsi"/>
          <w:i/>
        </w:rPr>
        <w:t xml:space="preserve">El auditor externo solicitó la modificación de su enfoque de auditoría para las confirmaciones de los saldos pendientes de las Partes Contratantes y la aprobación de un enfoque de grupo </w:t>
      </w:r>
    </w:p>
    <w:p w14:paraId="24FE3FEC" w14:textId="77777777" w:rsidR="00264303" w:rsidRPr="008F4DF9" w:rsidRDefault="00264303" w:rsidP="00162710">
      <w:pPr>
        <w:ind w:left="0" w:firstLine="0"/>
      </w:pPr>
    </w:p>
    <w:p w14:paraId="15D07236" w14:textId="2D0B7765" w:rsidR="00D4539F" w:rsidRPr="008F4DF9" w:rsidRDefault="006B42D7" w:rsidP="00162710">
      <w:r w:rsidRPr="008F4DF9">
        <w:t>48.</w:t>
      </w:r>
      <w:r w:rsidRPr="008F4DF9">
        <w:tab/>
        <w:t xml:space="preserve">La solicitud del auditor externo de enviar cartas de confirmación a una selección de Partes Contratantes con saldos de contribuciones pendientes, como parte de los procedimientos normales de auditoría, fue presentada al Comité Permanente durante la reunión SC57. Tras el debate, se adoptó la Decisión </w:t>
      </w:r>
    </w:p>
    <w:p w14:paraId="48E71627" w14:textId="0D535F53" w:rsidR="00264303" w:rsidRPr="008F4DF9" w:rsidRDefault="00264303" w:rsidP="00162710">
      <w:pPr>
        <w:ind w:firstLine="0"/>
      </w:pPr>
      <w:r w:rsidRPr="008F4DF9">
        <w:t xml:space="preserve">SC57-40, en la que el Comité Permanente encargó a la Secretaría que estudiara la viabilidad de un enfoque de grupo u otras soluciones creativas para la confirmación de los saldos pendientes de las Partes Contratantes para la auditoría de 2019. </w:t>
      </w:r>
    </w:p>
    <w:p w14:paraId="6449B2B4" w14:textId="77777777" w:rsidR="00264303" w:rsidRPr="008F4DF9" w:rsidRDefault="00264303" w:rsidP="00162710"/>
    <w:p w14:paraId="7A5989BD" w14:textId="2BF02254" w:rsidR="00264303" w:rsidRPr="008F4DF9" w:rsidRDefault="006B42D7" w:rsidP="00162710">
      <w:r w:rsidRPr="008F4DF9">
        <w:t>49.</w:t>
      </w:r>
      <w:r w:rsidRPr="008F4DF9">
        <w:tab/>
        <w:t>La Secretaría examinó la cuestión con el auditor externo y se propone la siguiente recomendación para que la reunión SC58 la examine y adopte una decisión al respecto.</w:t>
      </w:r>
    </w:p>
    <w:p w14:paraId="58061C82" w14:textId="77777777" w:rsidR="00264303" w:rsidRPr="008F4DF9" w:rsidRDefault="00264303" w:rsidP="00162710"/>
    <w:p w14:paraId="483B95C6" w14:textId="3661B2AE" w:rsidR="008B2B9E" w:rsidRPr="008F4DF9" w:rsidRDefault="006B42D7" w:rsidP="008B2B9E">
      <w:pPr>
        <w:rPr>
          <w:strike/>
          <w:color w:val="FF0000"/>
        </w:rPr>
      </w:pPr>
      <w:r w:rsidRPr="008F4DF9">
        <w:lastRenderedPageBreak/>
        <w:t>50.</w:t>
      </w:r>
      <w:r w:rsidRPr="008F4DF9">
        <w:tab/>
        <w:t>De acuerdo con la sugerencia del auditor externo, el Comité Permanente constataría la situación de las contribuciones anuales entre períodos de sesiones. La solicitud para la constatación entre períodos de sesiones sería proporcionada por la Secretaría al Comité Permanente, en nombre del auditor externo, en el período posterior al cierre de las cuentas y antes de la firma de los estados financieros por los auditores.</w:t>
      </w:r>
    </w:p>
    <w:p w14:paraId="100E08AE" w14:textId="77777777" w:rsidR="008B2B9E" w:rsidRPr="008F4DF9" w:rsidRDefault="008B2B9E" w:rsidP="008B2B9E">
      <w:pPr>
        <w:rPr>
          <w:strike/>
          <w:color w:val="FF0000"/>
        </w:rPr>
      </w:pPr>
    </w:p>
    <w:p w14:paraId="412FE358" w14:textId="5D107F99" w:rsidR="002A1371" w:rsidRPr="008F4DF9" w:rsidRDefault="006B42D7" w:rsidP="008B2B9E">
      <w:pPr>
        <w:rPr>
          <w:strike/>
          <w:color w:val="FF0000"/>
        </w:rPr>
      </w:pPr>
      <w:r w:rsidRPr="008F4DF9">
        <w:t>51.</w:t>
      </w:r>
      <w:r w:rsidRPr="008F4DF9">
        <w:tab/>
        <w:t xml:space="preserve">La Secretaría invita al Comité Permanente a que apruebe la recomendación anterior de que se constate entre períodos de sesiones la situación de las contribuciones anuales. </w:t>
      </w:r>
    </w:p>
    <w:p w14:paraId="3EE28DC8" w14:textId="77777777" w:rsidR="00C13B23" w:rsidRPr="008F4DF9" w:rsidRDefault="00C13B23" w:rsidP="00162710">
      <w:pPr>
        <w:ind w:left="0" w:firstLine="0"/>
        <w:rPr>
          <w:rFonts w:asciiTheme="minorHAnsi" w:hAnsiTheme="minorHAnsi" w:cs="Arial"/>
          <w:i/>
        </w:rPr>
      </w:pPr>
    </w:p>
    <w:p w14:paraId="7119DEBD" w14:textId="470DB5DB" w:rsidR="00C13B23" w:rsidRPr="008F4DF9" w:rsidRDefault="00C13B23" w:rsidP="007F0A14">
      <w:pPr>
        <w:keepNext/>
        <w:ind w:left="0" w:firstLine="0"/>
        <w:rPr>
          <w:rFonts w:asciiTheme="minorHAnsi" w:hAnsiTheme="minorHAnsi" w:cs="Arial"/>
          <w:i/>
        </w:rPr>
      </w:pPr>
      <w:r w:rsidRPr="008F4DF9">
        <w:rPr>
          <w:rFonts w:asciiTheme="minorHAnsi" w:hAnsiTheme="minorHAnsi"/>
          <w:i/>
        </w:rPr>
        <w:t>Otras cuestiones</w:t>
      </w:r>
    </w:p>
    <w:p w14:paraId="22C31158" w14:textId="40D9F4E3" w:rsidR="00C13B23" w:rsidRPr="008F4DF9" w:rsidRDefault="00C13B23" w:rsidP="007F0A14">
      <w:pPr>
        <w:keepNext/>
        <w:ind w:left="0" w:firstLine="0"/>
      </w:pPr>
    </w:p>
    <w:p w14:paraId="307D3323" w14:textId="5CFBE7DF" w:rsidR="00C13B23" w:rsidRPr="008F4DF9" w:rsidRDefault="006B42D7" w:rsidP="00162710">
      <w:r w:rsidRPr="008F4DF9">
        <w:t xml:space="preserve">52. </w:t>
      </w:r>
      <w:r w:rsidRPr="008F4DF9">
        <w:tab/>
        <w:t>Mediante la Decisión SC57-41, el Comité Permanente encargó a la Secretaría que incluyera una nota relativa a la existencia o no de otras posibles provisiones importantes, tales como obligaciones futuras por pensiones. La Secretaría ha comprobado y desea confirmar que no hay ninguna responsabilidad pendiente en relación con futuras obligaciones en materia de pensiones, ya que esta responsabilidad corresponde a caja de pensiones suiza. Por consiguiente, no se ha incluido ninguna nota de ese tipo en los estados financieros.</w:t>
      </w:r>
    </w:p>
    <w:p w14:paraId="4E1F9B35" w14:textId="77777777" w:rsidR="00C13B23" w:rsidRPr="008F4DF9" w:rsidRDefault="00C13B23" w:rsidP="00162710"/>
    <w:p w14:paraId="2EE23D38" w14:textId="46FB474E" w:rsidR="004E1C7E" w:rsidRPr="008F4DF9" w:rsidRDefault="006B42D7" w:rsidP="00162710">
      <w:r w:rsidRPr="008F4DF9">
        <w:t>53.</w:t>
      </w:r>
      <w:r w:rsidRPr="008F4DF9">
        <w:tab/>
        <w:t>Mediante la Decisión SC57-42, el Comité Permanente pidió a la Secretaría que comunicara sus observaciones a la UICN e invitara a las Partes a trabajar con sus homólogos responsables de la UICN para realizar comentarios sobre cualquier análisis de la UICN de las opciones para futuros contratos de auditoría. En 2019, el Consejo de la UICN decidió hacer una recomendación al Congreso de la UICN para designar a PwC para las auditorías para 2021 y 2022 y sacar a licitación la auditoría para 2023 en adelante.</w:t>
      </w:r>
    </w:p>
    <w:p w14:paraId="7306439B" w14:textId="77777777" w:rsidR="004E1C7E" w:rsidRPr="008F4DF9" w:rsidRDefault="004E1C7E">
      <w:r w:rsidRPr="008F4DF9">
        <w:br w:type="page"/>
      </w:r>
    </w:p>
    <w:p w14:paraId="16FA2C6F" w14:textId="55262708" w:rsidR="001458BE" w:rsidRPr="008F4DF9" w:rsidRDefault="001458BE" w:rsidP="00162710">
      <w:pPr>
        <w:pStyle w:val="NoSpacing"/>
        <w:ind w:left="0" w:firstLine="0"/>
        <w:rPr>
          <w:b/>
          <w:sz w:val="24"/>
          <w:szCs w:val="24"/>
        </w:rPr>
      </w:pPr>
      <w:r w:rsidRPr="008F4DF9">
        <w:rPr>
          <w:b/>
          <w:sz w:val="24"/>
          <w:szCs w:val="24"/>
        </w:rPr>
        <w:lastRenderedPageBreak/>
        <w:t>Anexo 1</w:t>
      </w:r>
    </w:p>
    <w:p w14:paraId="16876955" w14:textId="48B159C0" w:rsidR="00C54D5B" w:rsidRPr="008F4DF9" w:rsidRDefault="00271D3D" w:rsidP="00162710">
      <w:pPr>
        <w:pStyle w:val="NoSpacing"/>
        <w:ind w:left="0" w:firstLine="0"/>
        <w:rPr>
          <w:b/>
          <w:sz w:val="24"/>
          <w:szCs w:val="24"/>
        </w:rPr>
      </w:pPr>
      <w:r w:rsidRPr="008F4DF9">
        <w:rPr>
          <w:b/>
          <w:sz w:val="24"/>
          <w:szCs w:val="24"/>
        </w:rPr>
        <w:t>Estados financieros auditados al 31 de diciembre de 2019 (preparados según el formato de presentación de estados financieros aplicable en Suiza)</w:t>
      </w:r>
    </w:p>
    <w:p w14:paraId="029E0D77" w14:textId="77777777" w:rsidR="003F135F" w:rsidRPr="008F4DF9" w:rsidRDefault="003F135F" w:rsidP="00633DD5">
      <w:pPr>
        <w:pStyle w:val="NoSpacing"/>
        <w:rPr>
          <w:b/>
        </w:rPr>
      </w:pPr>
    </w:p>
    <w:p w14:paraId="38C90180" w14:textId="1B50B78B" w:rsidR="004C03D9" w:rsidRPr="008F4DF9" w:rsidRDefault="003D733E" w:rsidP="00633DD5">
      <w:pPr>
        <w:pStyle w:val="NoSpacing"/>
        <w:rPr>
          <w:b/>
        </w:rPr>
      </w:pPr>
      <w:r w:rsidRPr="008F4DF9">
        <w:rPr>
          <w:b/>
        </w:rPr>
        <w:t>I.</w:t>
      </w:r>
      <w:r w:rsidRPr="008F4DF9">
        <w:rPr>
          <w:b/>
        </w:rPr>
        <w:tab/>
        <w:t>Balance al 31 de diciembre</w:t>
      </w:r>
      <w:r w:rsidR="006A24F1" w:rsidRPr="008F4DF9">
        <w:rPr>
          <w:rStyle w:val="FootnoteReference"/>
        </w:rPr>
        <w:footnoteReference w:id="4"/>
      </w:r>
    </w:p>
    <w:p w14:paraId="3E22D7C5" w14:textId="02358777" w:rsidR="003F135F" w:rsidRPr="008F4DF9" w:rsidRDefault="003F135F" w:rsidP="00633DD5">
      <w:pPr>
        <w:pStyle w:val="NoSpacing"/>
        <w:rPr>
          <w:b/>
        </w:rPr>
      </w:pPr>
    </w:p>
    <w:tbl>
      <w:tblPr>
        <w:tblW w:w="8899" w:type="dxa"/>
        <w:tblCellMar>
          <w:left w:w="57" w:type="dxa"/>
          <w:right w:w="57" w:type="dxa"/>
        </w:tblCellMar>
        <w:tblLook w:val="04A0" w:firstRow="1" w:lastRow="0" w:firstColumn="1" w:lastColumn="0" w:noHBand="0" w:noVBand="1"/>
      </w:tblPr>
      <w:tblGrid>
        <w:gridCol w:w="4962"/>
        <w:gridCol w:w="890"/>
        <w:gridCol w:w="1215"/>
        <w:gridCol w:w="164"/>
        <w:gridCol w:w="216"/>
        <w:gridCol w:w="1288"/>
        <w:gridCol w:w="164"/>
      </w:tblGrid>
      <w:tr w:rsidR="003F135F" w:rsidRPr="008F4DF9" w14:paraId="56312645" w14:textId="77777777" w:rsidTr="00E84205">
        <w:trPr>
          <w:trHeight w:val="588"/>
        </w:trPr>
        <w:tc>
          <w:tcPr>
            <w:tcW w:w="4962" w:type="dxa"/>
            <w:tcBorders>
              <w:top w:val="nil"/>
              <w:left w:val="nil"/>
              <w:bottom w:val="single" w:sz="8" w:space="0" w:color="auto"/>
              <w:right w:val="nil"/>
            </w:tcBorders>
            <w:shd w:val="clear" w:color="000000" w:fill="FFFFFF"/>
            <w:noWrap/>
            <w:vAlign w:val="bottom"/>
            <w:hideMark/>
          </w:tcPr>
          <w:p w14:paraId="227A0CE2" w14:textId="77777777" w:rsidR="003F135F" w:rsidRPr="008F4DF9" w:rsidRDefault="003F135F" w:rsidP="003F135F">
            <w:pPr>
              <w:ind w:left="0" w:firstLine="0"/>
              <w:rPr>
                <w:rFonts w:eastAsia="Times New Roman" w:cs="Calibri"/>
                <w:i/>
                <w:iCs/>
                <w:sz w:val="20"/>
                <w:szCs w:val="20"/>
              </w:rPr>
            </w:pPr>
            <w:r w:rsidRPr="008F4DF9">
              <w:rPr>
                <w:i/>
                <w:iCs/>
                <w:sz w:val="20"/>
                <w:szCs w:val="20"/>
              </w:rPr>
              <w:t>en miles de francos suizos</w:t>
            </w:r>
          </w:p>
        </w:tc>
        <w:tc>
          <w:tcPr>
            <w:tcW w:w="890" w:type="dxa"/>
            <w:tcBorders>
              <w:top w:val="nil"/>
              <w:left w:val="nil"/>
              <w:bottom w:val="single" w:sz="8" w:space="0" w:color="auto"/>
              <w:right w:val="nil"/>
            </w:tcBorders>
            <w:shd w:val="clear" w:color="000000" w:fill="FFFFFF"/>
            <w:noWrap/>
            <w:vAlign w:val="center"/>
            <w:hideMark/>
          </w:tcPr>
          <w:p w14:paraId="3F4CF572" w14:textId="77777777" w:rsidR="003F135F" w:rsidRPr="008F4DF9" w:rsidRDefault="003F135F" w:rsidP="003F135F">
            <w:pPr>
              <w:ind w:left="0" w:firstLine="0"/>
              <w:jc w:val="center"/>
              <w:rPr>
                <w:rFonts w:eastAsia="Times New Roman" w:cs="Calibri"/>
                <w:b/>
                <w:bCs/>
              </w:rPr>
            </w:pPr>
            <w:r w:rsidRPr="008F4DF9">
              <w:rPr>
                <w:b/>
                <w:bCs/>
              </w:rPr>
              <w:t xml:space="preserve"> Notas </w:t>
            </w:r>
          </w:p>
        </w:tc>
        <w:tc>
          <w:tcPr>
            <w:tcW w:w="1379" w:type="dxa"/>
            <w:gridSpan w:val="2"/>
            <w:tcBorders>
              <w:top w:val="nil"/>
              <w:left w:val="nil"/>
              <w:bottom w:val="single" w:sz="8" w:space="0" w:color="auto"/>
              <w:right w:val="nil"/>
            </w:tcBorders>
            <w:shd w:val="clear" w:color="000000" w:fill="8DB4E2"/>
            <w:vAlign w:val="center"/>
            <w:hideMark/>
          </w:tcPr>
          <w:p w14:paraId="0670EADD" w14:textId="77777777" w:rsidR="003F135F" w:rsidRPr="008F4DF9" w:rsidRDefault="003F135F" w:rsidP="003F135F">
            <w:pPr>
              <w:ind w:left="0" w:firstLine="0"/>
              <w:jc w:val="center"/>
              <w:rPr>
                <w:rFonts w:eastAsia="Times New Roman" w:cs="Calibri"/>
                <w:b/>
                <w:bCs/>
              </w:rPr>
            </w:pPr>
            <w:r w:rsidRPr="008F4DF9">
              <w:rPr>
                <w:b/>
                <w:bCs/>
              </w:rPr>
              <w:t xml:space="preserve"> 2019 </w:t>
            </w:r>
          </w:p>
        </w:tc>
        <w:tc>
          <w:tcPr>
            <w:tcW w:w="216" w:type="dxa"/>
            <w:tcBorders>
              <w:top w:val="nil"/>
              <w:left w:val="nil"/>
              <w:bottom w:val="single" w:sz="8" w:space="0" w:color="auto"/>
              <w:right w:val="nil"/>
            </w:tcBorders>
            <w:shd w:val="clear" w:color="000000" w:fill="D9D9D9"/>
            <w:noWrap/>
            <w:vAlign w:val="center"/>
            <w:hideMark/>
          </w:tcPr>
          <w:p w14:paraId="34EEC899" w14:textId="77777777" w:rsidR="003F135F" w:rsidRPr="008F4DF9" w:rsidRDefault="003F135F" w:rsidP="003F135F">
            <w:pPr>
              <w:ind w:left="0" w:firstLine="0"/>
              <w:rPr>
                <w:rFonts w:eastAsia="Times New Roman" w:cs="Calibri"/>
              </w:rPr>
            </w:pPr>
            <w:r w:rsidRPr="008F4DF9">
              <w:t> </w:t>
            </w:r>
          </w:p>
        </w:tc>
        <w:tc>
          <w:tcPr>
            <w:tcW w:w="1452" w:type="dxa"/>
            <w:gridSpan w:val="2"/>
            <w:tcBorders>
              <w:top w:val="nil"/>
              <w:left w:val="nil"/>
              <w:bottom w:val="single" w:sz="8" w:space="0" w:color="auto"/>
              <w:right w:val="nil"/>
            </w:tcBorders>
            <w:shd w:val="clear" w:color="000000" w:fill="D8E4BC"/>
            <w:noWrap/>
            <w:vAlign w:val="center"/>
            <w:hideMark/>
          </w:tcPr>
          <w:p w14:paraId="479264C8" w14:textId="77777777" w:rsidR="003F135F" w:rsidRPr="008F4DF9" w:rsidRDefault="003F135F" w:rsidP="003F135F">
            <w:pPr>
              <w:ind w:left="0" w:firstLine="0"/>
              <w:jc w:val="center"/>
              <w:rPr>
                <w:rFonts w:eastAsia="Times New Roman" w:cs="Calibri"/>
                <w:b/>
                <w:bCs/>
              </w:rPr>
            </w:pPr>
            <w:r w:rsidRPr="008F4DF9">
              <w:rPr>
                <w:b/>
                <w:bCs/>
              </w:rPr>
              <w:t xml:space="preserve"> 2018 </w:t>
            </w:r>
          </w:p>
        </w:tc>
      </w:tr>
      <w:tr w:rsidR="003F135F" w:rsidRPr="008F4DF9" w14:paraId="157F70E8" w14:textId="77777777" w:rsidTr="00E84205">
        <w:trPr>
          <w:trHeight w:val="330"/>
        </w:trPr>
        <w:tc>
          <w:tcPr>
            <w:tcW w:w="4962" w:type="dxa"/>
            <w:tcBorders>
              <w:top w:val="nil"/>
              <w:left w:val="nil"/>
              <w:bottom w:val="nil"/>
              <w:right w:val="nil"/>
            </w:tcBorders>
            <w:shd w:val="clear" w:color="000000" w:fill="FFFFFF"/>
            <w:vAlign w:val="bottom"/>
            <w:hideMark/>
          </w:tcPr>
          <w:p w14:paraId="36960833" w14:textId="77777777" w:rsidR="003F135F" w:rsidRPr="008F4DF9" w:rsidRDefault="003F135F" w:rsidP="003F135F">
            <w:pPr>
              <w:ind w:left="0" w:firstLine="0"/>
              <w:rPr>
                <w:rFonts w:eastAsia="Times New Roman" w:cs="Calibri"/>
                <w:b/>
                <w:bCs/>
              </w:rPr>
            </w:pPr>
            <w:r w:rsidRPr="008F4DF9">
              <w:rPr>
                <w:b/>
                <w:bCs/>
              </w:rPr>
              <w:t>ACTIVO</w:t>
            </w:r>
          </w:p>
        </w:tc>
        <w:tc>
          <w:tcPr>
            <w:tcW w:w="890" w:type="dxa"/>
            <w:tcBorders>
              <w:top w:val="nil"/>
              <w:left w:val="nil"/>
              <w:bottom w:val="nil"/>
              <w:right w:val="nil"/>
            </w:tcBorders>
            <w:shd w:val="clear" w:color="000000" w:fill="FFFFFF"/>
            <w:noWrap/>
            <w:vAlign w:val="bottom"/>
            <w:hideMark/>
          </w:tcPr>
          <w:p w14:paraId="34C54BEB"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0FFE437A"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286F4F47"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14113DC"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48A3BA2F"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C2A800E" w14:textId="77777777" w:rsidR="003F135F" w:rsidRPr="008F4DF9" w:rsidRDefault="003F135F" w:rsidP="003F135F">
            <w:pPr>
              <w:ind w:left="0" w:firstLine="0"/>
              <w:rPr>
                <w:rFonts w:eastAsia="Times New Roman" w:cs="Calibri"/>
              </w:rPr>
            </w:pPr>
            <w:r w:rsidRPr="008F4DF9">
              <w:t> </w:t>
            </w:r>
          </w:p>
        </w:tc>
      </w:tr>
      <w:tr w:rsidR="003F135F" w:rsidRPr="008F4DF9" w14:paraId="11C2C6F0" w14:textId="77777777" w:rsidTr="00E84205">
        <w:trPr>
          <w:trHeight w:val="330"/>
        </w:trPr>
        <w:tc>
          <w:tcPr>
            <w:tcW w:w="4962" w:type="dxa"/>
            <w:tcBorders>
              <w:top w:val="nil"/>
              <w:left w:val="nil"/>
              <w:bottom w:val="nil"/>
              <w:right w:val="nil"/>
            </w:tcBorders>
            <w:shd w:val="clear" w:color="000000" w:fill="FFFFFF"/>
            <w:vAlign w:val="bottom"/>
            <w:hideMark/>
          </w:tcPr>
          <w:p w14:paraId="551B2343" w14:textId="77777777" w:rsidR="003F135F" w:rsidRPr="008F4DF9" w:rsidRDefault="003F135F" w:rsidP="003F135F">
            <w:pPr>
              <w:ind w:left="0" w:firstLine="0"/>
              <w:rPr>
                <w:rFonts w:eastAsia="Times New Roman" w:cs="Calibri"/>
                <w:b/>
                <w:bCs/>
              </w:rPr>
            </w:pPr>
            <w:r w:rsidRPr="008F4DF9">
              <w:rPr>
                <w:b/>
                <w:bCs/>
              </w:rPr>
              <w:t>Activo corriente</w:t>
            </w:r>
          </w:p>
        </w:tc>
        <w:tc>
          <w:tcPr>
            <w:tcW w:w="890" w:type="dxa"/>
            <w:tcBorders>
              <w:top w:val="nil"/>
              <w:left w:val="nil"/>
              <w:bottom w:val="nil"/>
              <w:right w:val="nil"/>
            </w:tcBorders>
            <w:shd w:val="clear" w:color="000000" w:fill="FFFFFF"/>
            <w:noWrap/>
            <w:vAlign w:val="bottom"/>
            <w:hideMark/>
          </w:tcPr>
          <w:p w14:paraId="0D2496E9"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4FBE2CC1"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DC7C639"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040C57F2"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68968D38"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72B480EC" w14:textId="77777777" w:rsidR="003F135F" w:rsidRPr="008F4DF9" w:rsidRDefault="003F135F" w:rsidP="003F135F">
            <w:pPr>
              <w:ind w:left="0" w:firstLine="0"/>
              <w:rPr>
                <w:rFonts w:eastAsia="Times New Roman" w:cs="Calibri"/>
              </w:rPr>
            </w:pPr>
            <w:r w:rsidRPr="008F4DF9">
              <w:t> </w:t>
            </w:r>
          </w:p>
        </w:tc>
      </w:tr>
      <w:tr w:rsidR="003F135F" w:rsidRPr="008F4DF9" w14:paraId="16AFCA3E" w14:textId="77777777" w:rsidTr="00E84205">
        <w:trPr>
          <w:trHeight w:val="330"/>
        </w:trPr>
        <w:tc>
          <w:tcPr>
            <w:tcW w:w="4962" w:type="dxa"/>
            <w:tcBorders>
              <w:top w:val="nil"/>
              <w:left w:val="nil"/>
              <w:bottom w:val="nil"/>
              <w:right w:val="nil"/>
            </w:tcBorders>
            <w:shd w:val="clear" w:color="000000" w:fill="FFFFFF"/>
            <w:vAlign w:val="bottom"/>
            <w:hideMark/>
          </w:tcPr>
          <w:p w14:paraId="7856998F" w14:textId="1F2DD08D" w:rsidR="003F135F" w:rsidRPr="008F4DF9" w:rsidRDefault="003F135F" w:rsidP="003F135F">
            <w:pPr>
              <w:ind w:left="0" w:firstLine="0"/>
              <w:rPr>
                <w:rFonts w:eastAsia="Times New Roman" w:cs="Calibri"/>
              </w:rPr>
            </w:pPr>
            <w:r w:rsidRPr="008F4DF9">
              <w:t>Efectivo y depósitos bancarios a corto plazo</w:t>
            </w:r>
          </w:p>
        </w:tc>
        <w:tc>
          <w:tcPr>
            <w:tcW w:w="890" w:type="dxa"/>
            <w:tcBorders>
              <w:top w:val="nil"/>
              <w:left w:val="nil"/>
              <w:bottom w:val="nil"/>
              <w:right w:val="nil"/>
            </w:tcBorders>
            <w:shd w:val="clear" w:color="000000" w:fill="FFFFFF"/>
            <w:noWrap/>
            <w:vAlign w:val="bottom"/>
            <w:hideMark/>
          </w:tcPr>
          <w:p w14:paraId="2D4E01E1"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24AAE331" w14:textId="58A68004" w:rsidR="003F135F" w:rsidRPr="008F4DF9" w:rsidRDefault="003F135F" w:rsidP="003F135F">
            <w:pPr>
              <w:ind w:left="0" w:firstLine="0"/>
              <w:jc w:val="right"/>
              <w:rPr>
                <w:rFonts w:eastAsia="Times New Roman" w:cs="Calibri"/>
              </w:rPr>
            </w:pPr>
            <w:r w:rsidRPr="008F4DF9">
              <w:t>3</w:t>
            </w:r>
            <w:r w:rsidR="00652E0C" w:rsidRPr="008F4DF9">
              <w:t> </w:t>
            </w:r>
            <w:r w:rsidRPr="008F4DF9">
              <w:t>827</w:t>
            </w:r>
          </w:p>
        </w:tc>
        <w:tc>
          <w:tcPr>
            <w:tcW w:w="164" w:type="dxa"/>
            <w:tcBorders>
              <w:top w:val="nil"/>
              <w:left w:val="nil"/>
              <w:bottom w:val="nil"/>
              <w:right w:val="nil"/>
            </w:tcBorders>
            <w:shd w:val="clear" w:color="000000" w:fill="FFFFFF"/>
            <w:noWrap/>
            <w:vAlign w:val="bottom"/>
            <w:hideMark/>
          </w:tcPr>
          <w:p w14:paraId="4ADA8918"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3CCA43B2"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3693E5AC" w14:textId="779D3B04" w:rsidR="003F135F" w:rsidRPr="008F4DF9" w:rsidRDefault="003F135F" w:rsidP="003F135F">
            <w:pPr>
              <w:ind w:left="0" w:firstLine="0"/>
              <w:jc w:val="right"/>
              <w:rPr>
                <w:rFonts w:eastAsia="Times New Roman" w:cs="Calibri"/>
              </w:rPr>
            </w:pPr>
            <w:r w:rsidRPr="008F4DF9">
              <w:t>5</w:t>
            </w:r>
            <w:r w:rsidR="00652E0C" w:rsidRPr="008F4DF9">
              <w:t> </w:t>
            </w:r>
            <w:r w:rsidRPr="008F4DF9">
              <w:t>196</w:t>
            </w:r>
          </w:p>
        </w:tc>
        <w:tc>
          <w:tcPr>
            <w:tcW w:w="164" w:type="dxa"/>
            <w:tcBorders>
              <w:top w:val="nil"/>
              <w:left w:val="nil"/>
              <w:bottom w:val="nil"/>
              <w:right w:val="nil"/>
            </w:tcBorders>
            <w:shd w:val="clear" w:color="000000" w:fill="FFFFFF"/>
            <w:noWrap/>
            <w:vAlign w:val="bottom"/>
            <w:hideMark/>
          </w:tcPr>
          <w:p w14:paraId="62DEC170" w14:textId="77777777" w:rsidR="003F135F" w:rsidRPr="008F4DF9" w:rsidRDefault="003F135F" w:rsidP="003F135F">
            <w:pPr>
              <w:ind w:left="0" w:firstLine="0"/>
              <w:rPr>
                <w:rFonts w:eastAsia="Times New Roman" w:cs="Calibri"/>
              </w:rPr>
            </w:pPr>
            <w:r w:rsidRPr="008F4DF9">
              <w:t> </w:t>
            </w:r>
          </w:p>
        </w:tc>
      </w:tr>
      <w:tr w:rsidR="003F135F" w:rsidRPr="008F4DF9" w14:paraId="7545E74E" w14:textId="77777777" w:rsidTr="00E84205">
        <w:trPr>
          <w:trHeight w:val="339"/>
        </w:trPr>
        <w:tc>
          <w:tcPr>
            <w:tcW w:w="4962" w:type="dxa"/>
            <w:tcBorders>
              <w:top w:val="nil"/>
              <w:left w:val="nil"/>
              <w:bottom w:val="nil"/>
              <w:right w:val="nil"/>
            </w:tcBorders>
            <w:shd w:val="clear" w:color="000000" w:fill="FFFFFF"/>
            <w:vAlign w:val="bottom"/>
            <w:hideMark/>
          </w:tcPr>
          <w:p w14:paraId="70EE7D38" w14:textId="3BA67F60" w:rsidR="003F135F" w:rsidRPr="008F4DF9" w:rsidRDefault="003F135F" w:rsidP="003F135F">
            <w:pPr>
              <w:ind w:left="0" w:firstLine="0"/>
              <w:rPr>
                <w:rFonts w:eastAsia="Times New Roman" w:cs="Calibri"/>
              </w:rPr>
            </w:pPr>
            <w:r w:rsidRPr="008F4DF9">
              <w:t>Activos exigibles a las Partes Contratantes (netos)</w:t>
            </w:r>
          </w:p>
        </w:tc>
        <w:tc>
          <w:tcPr>
            <w:tcW w:w="890" w:type="dxa"/>
            <w:tcBorders>
              <w:top w:val="nil"/>
              <w:left w:val="nil"/>
              <w:bottom w:val="nil"/>
              <w:right w:val="nil"/>
            </w:tcBorders>
            <w:shd w:val="clear" w:color="000000" w:fill="FFFFFF"/>
            <w:noWrap/>
            <w:vAlign w:val="bottom"/>
            <w:hideMark/>
          </w:tcPr>
          <w:p w14:paraId="0846BF3D" w14:textId="77777777" w:rsidR="003F135F" w:rsidRPr="008F4DF9" w:rsidRDefault="003F135F" w:rsidP="003F135F">
            <w:pPr>
              <w:ind w:left="0" w:firstLine="0"/>
              <w:jc w:val="center"/>
              <w:rPr>
                <w:rFonts w:eastAsia="Times New Roman" w:cs="Calibri"/>
              </w:rPr>
            </w:pPr>
            <w:r w:rsidRPr="008F4DF9">
              <w:t>6</w:t>
            </w:r>
          </w:p>
        </w:tc>
        <w:tc>
          <w:tcPr>
            <w:tcW w:w="1215" w:type="dxa"/>
            <w:tcBorders>
              <w:top w:val="nil"/>
              <w:left w:val="nil"/>
              <w:bottom w:val="nil"/>
              <w:right w:val="nil"/>
            </w:tcBorders>
            <w:shd w:val="clear" w:color="000000" w:fill="FFFFFF"/>
            <w:noWrap/>
            <w:vAlign w:val="bottom"/>
            <w:hideMark/>
          </w:tcPr>
          <w:p w14:paraId="1D233E3C" w14:textId="75C3BE50" w:rsidR="003F135F" w:rsidRPr="008F4DF9" w:rsidRDefault="003F135F" w:rsidP="003F135F">
            <w:pPr>
              <w:ind w:left="0" w:firstLine="0"/>
              <w:jc w:val="right"/>
              <w:rPr>
                <w:rFonts w:eastAsia="Times New Roman" w:cs="Calibri"/>
              </w:rPr>
            </w:pPr>
            <w:r w:rsidRPr="008F4DF9">
              <w:t>2</w:t>
            </w:r>
            <w:r w:rsidR="00652E0C" w:rsidRPr="008F4DF9">
              <w:t> </w:t>
            </w:r>
            <w:r w:rsidRPr="008F4DF9">
              <w:t>364</w:t>
            </w:r>
          </w:p>
        </w:tc>
        <w:tc>
          <w:tcPr>
            <w:tcW w:w="164" w:type="dxa"/>
            <w:tcBorders>
              <w:top w:val="nil"/>
              <w:left w:val="nil"/>
              <w:bottom w:val="nil"/>
              <w:right w:val="nil"/>
            </w:tcBorders>
            <w:shd w:val="clear" w:color="000000" w:fill="FFFFFF"/>
            <w:noWrap/>
            <w:vAlign w:val="bottom"/>
            <w:hideMark/>
          </w:tcPr>
          <w:p w14:paraId="6C174AAD"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498C89B"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0454C298" w14:textId="77777777" w:rsidR="003F135F" w:rsidRPr="008F4DF9" w:rsidRDefault="003F135F" w:rsidP="003F135F">
            <w:pPr>
              <w:ind w:left="0" w:firstLine="0"/>
              <w:jc w:val="right"/>
              <w:rPr>
                <w:rFonts w:eastAsia="Times New Roman" w:cs="Calibri"/>
              </w:rPr>
            </w:pPr>
            <w:r w:rsidRPr="008F4DF9">
              <w:t>833</w:t>
            </w:r>
          </w:p>
        </w:tc>
        <w:tc>
          <w:tcPr>
            <w:tcW w:w="164" w:type="dxa"/>
            <w:tcBorders>
              <w:top w:val="nil"/>
              <w:left w:val="nil"/>
              <w:bottom w:val="nil"/>
              <w:right w:val="nil"/>
            </w:tcBorders>
            <w:shd w:val="clear" w:color="000000" w:fill="FFFFFF"/>
            <w:noWrap/>
            <w:vAlign w:val="bottom"/>
            <w:hideMark/>
          </w:tcPr>
          <w:p w14:paraId="42BA045B" w14:textId="77777777" w:rsidR="003F135F" w:rsidRPr="008F4DF9" w:rsidRDefault="003F135F" w:rsidP="003F135F">
            <w:pPr>
              <w:ind w:left="0" w:firstLine="0"/>
              <w:rPr>
                <w:rFonts w:eastAsia="Times New Roman" w:cs="Calibri"/>
              </w:rPr>
            </w:pPr>
            <w:r w:rsidRPr="008F4DF9">
              <w:t> </w:t>
            </w:r>
          </w:p>
        </w:tc>
      </w:tr>
      <w:tr w:rsidR="003F135F" w:rsidRPr="008F4DF9" w14:paraId="17423F77" w14:textId="77777777" w:rsidTr="00E84205">
        <w:trPr>
          <w:trHeight w:val="339"/>
        </w:trPr>
        <w:tc>
          <w:tcPr>
            <w:tcW w:w="4962" w:type="dxa"/>
            <w:tcBorders>
              <w:top w:val="nil"/>
              <w:left w:val="nil"/>
              <w:bottom w:val="nil"/>
              <w:right w:val="nil"/>
            </w:tcBorders>
            <w:shd w:val="clear" w:color="000000" w:fill="FFFFFF"/>
            <w:vAlign w:val="bottom"/>
            <w:hideMark/>
          </w:tcPr>
          <w:p w14:paraId="15C789C8" w14:textId="7D714AA8" w:rsidR="003F135F" w:rsidRPr="008F4DF9" w:rsidRDefault="003F135F" w:rsidP="003F135F">
            <w:pPr>
              <w:ind w:left="0" w:firstLine="0"/>
              <w:rPr>
                <w:rFonts w:eastAsia="Times New Roman" w:cs="Calibri"/>
              </w:rPr>
            </w:pPr>
            <w:r w:rsidRPr="008F4DF9">
              <w:t>Otros activos exigibles</w:t>
            </w:r>
          </w:p>
        </w:tc>
        <w:tc>
          <w:tcPr>
            <w:tcW w:w="890" w:type="dxa"/>
            <w:tcBorders>
              <w:top w:val="nil"/>
              <w:left w:val="nil"/>
              <w:bottom w:val="nil"/>
              <w:right w:val="nil"/>
            </w:tcBorders>
            <w:shd w:val="clear" w:color="000000" w:fill="FFFFFF"/>
            <w:noWrap/>
            <w:vAlign w:val="bottom"/>
            <w:hideMark/>
          </w:tcPr>
          <w:p w14:paraId="22FD8D9B" w14:textId="77777777" w:rsidR="003F135F" w:rsidRPr="008F4DF9" w:rsidRDefault="003F135F" w:rsidP="003F135F">
            <w:pPr>
              <w:ind w:left="0" w:firstLine="0"/>
              <w:jc w:val="center"/>
              <w:rPr>
                <w:rFonts w:eastAsia="Times New Roman" w:cs="Calibri"/>
              </w:rPr>
            </w:pPr>
            <w:r w:rsidRPr="008F4DF9">
              <w:t>7</w:t>
            </w:r>
          </w:p>
        </w:tc>
        <w:tc>
          <w:tcPr>
            <w:tcW w:w="1215" w:type="dxa"/>
            <w:tcBorders>
              <w:top w:val="nil"/>
              <w:left w:val="nil"/>
              <w:bottom w:val="single" w:sz="4" w:space="0" w:color="auto"/>
              <w:right w:val="nil"/>
            </w:tcBorders>
            <w:shd w:val="clear" w:color="000000" w:fill="FFFFFF"/>
            <w:noWrap/>
            <w:vAlign w:val="bottom"/>
            <w:hideMark/>
          </w:tcPr>
          <w:p w14:paraId="742E45E0" w14:textId="77777777" w:rsidR="003F135F" w:rsidRPr="008F4DF9" w:rsidRDefault="003F135F" w:rsidP="003F135F">
            <w:pPr>
              <w:ind w:left="0" w:firstLine="0"/>
              <w:jc w:val="right"/>
              <w:rPr>
                <w:rFonts w:eastAsia="Times New Roman" w:cs="Calibri"/>
              </w:rPr>
            </w:pPr>
            <w:r w:rsidRPr="008F4DF9">
              <w:t>142</w:t>
            </w:r>
          </w:p>
        </w:tc>
        <w:tc>
          <w:tcPr>
            <w:tcW w:w="164" w:type="dxa"/>
            <w:tcBorders>
              <w:top w:val="nil"/>
              <w:left w:val="nil"/>
              <w:bottom w:val="single" w:sz="4" w:space="0" w:color="auto"/>
              <w:right w:val="nil"/>
            </w:tcBorders>
            <w:shd w:val="clear" w:color="000000" w:fill="FFFFFF"/>
            <w:noWrap/>
            <w:vAlign w:val="bottom"/>
            <w:hideMark/>
          </w:tcPr>
          <w:p w14:paraId="2E3BA906"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single" w:sz="4" w:space="0" w:color="auto"/>
              <w:right w:val="nil"/>
            </w:tcBorders>
            <w:shd w:val="clear" w:color="000000" w:fill="D9D9D9"/>
            <w:noWrap/>
            <w:vAlign w:val="bottom"/>
            <w:hideMark/>
          </w:tcPr>
          <w:p w14:paraId="41D00E64"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single" w:sz="4" w:space="0" w:color="auto"/>
              <w:right w:val="nil"/>
            </w:tcBorders>
            <w:shd w:val="clear" w:color="000000" w:fill="FFFFFF"/>
            <w:noWrap/>
            <w:vAlign w:val="bottom"/>
            <w:hideMark/>
          </w:tcPr>
          <w:p w14:paraId="65C4E98B" w14:textId="77777777" w:rsidR="003F135F" w:rsidRPr="008F4DF9" w:rsidRDefault="003F135F" w:rsidP="003F135F">
            <w:pPr>
              <w:ind w:left="0" w:firstLine="0"/>
              <w:jc w:val="right"/>
              <w:rPr>
                <w:rFonts w:eastAsia="Times New Roman" w:cs="Calibri"/>
              </w:rPr>
            </w:pPr>
            <w:r w:rsidRPr="008F4DF9">
              <w:t>54</w:t>
            </w:r>
          </w:p>
        </w:tc>
        <w:tc>
          <w:tcPr>
            <w:tcW w:w="164" w:type="dxa"/>
            <w:tcBorders>
              <w:top w:val="nil"/>
              <w:left w:val="nil"/>
              <w:bottom w:val="nil"/>
              <w:right w:val="nil"/>
            </w:tcBorders>
            <w:shd w:val="clear" w:color="000000" w:fill="FFFFFF"/>
            <w:noWrap/>
            <w:vAlign w:val="bottom"/>
            <w:hideMark/>
          </w:tcPr>
          <w:p w14:paraId="4E4063D2" w14:textId="77777777" w:rsidR="003F135F" w:rsidRPr="008F4DF9" w:rsidRDefault="003F135F" w:rsidP="003F135F">
            <w:pPr>
              <w:ind w:left="0" w:firstLine="0"/>
              <w:rPr>
                <w:rFonts w:eastAsia="Times New Roman" w:cs="Calibri"/>
              </w:rPr>
            </w:pPr>
            <w:r w:rsidRPr="008F4DF9">
              <w:t> </w:t>
            </w:r>
          </w:p>
        </w:tc>
      </w:tr>
      <w:tr w:rsidR="003F135F" w:rsidRPr="008F4DF9" w14:paraId="2117CE43" w14:textId="77777777" w:rsidTr="00E84205">
        <w:trPr>
          <w:trHeight w:val="330"/>
        </w:trPr>
        <w:tc>
          <w:tcPr>
            <w:tcW w:w="4962" w:type="dxa"/>
            <w:tcBorders>
              <w:top w:val="nil"/>
              <w:left w:val="nil"/>
              <w:bottom w:val="nil"/>
              <w:right w:val="nil"/>
            </w:tcBorders>
            <w:shd w:val="clear" w:color="000000" w:fill="FFFFFF"/>
            <w:vAlign w:val="bottom"/>
            <w:hideMark/>
          </w:tcPr>
          <w:p w14:paraId="63897957" w14:textId="3FC4A814" w:rsidR="003F135F" w:rsidRPr="008F4DF9" w:rsidRDefault="009154DA" w:rsidP="003F135F">
            <w:pPr>
              <w:ind w:left="0" w:firstLine="0"/>
              <w:rPr>
                <w:rFonts w:eastAsia="Times New Roman" w:cs="Calibri"/>
                <w:b/>
                <w:bCs/>
              </w:rPr>
            </w:pPr>
            <w:r>
              <w:rPr>
                <w:b/>
                <w:bCs/>
              </w:rPr>
              <w:t>Total,</w:t>
            </w:r>
            <w:r w:rsidR="003F135F" w:rsidRPr="008F4DF9">
              <w:rPr>
                <w:b/>
                <w:bCs/>
              </w:rPr>
              <w:t xml:space="preserve"> </w:t>
            </w:r>
            <w:r w:rsidR="006D4727">
              <w:rPr>
                <w:b/>
                <w:bCs/>
              </w:rPr>
              <w:t>A</w:t>
            </w:r>
            <w:r w:rsidR="003F135F" w:rsidRPr="008F4DF9">
              <w:rPr>
                <w:b/>
                <w:bCs/>
              </w:rPr>
              <w:t>ctivos corrientes</w:t>
            </w:r>
          </w:p>
        </w:tc>
        <w:tc>
          <w:tcPr>
            <w:tcW w:w="890" w:type="dxa"/>
            <w:tcBorders>
              <w:top w:val="nil"/>
              <w:left w:val="nil"/>
              <w:bottom w:val="nil"/>
              <w:right w:val="nil"/>
            </w:tcBorders>
            <w:shd w:val="clear" w:color="000000" w:fill="FFFFFF"/>
            <w:noWrap/>
            <w:vAlign w:val="bottom"/>
            <w:hideMark/>
          </w:tcPr>
          <w:p w14:paraId="2C00F8E4"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3C590717" w14:textId="63140BDE"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333</w:t>
            </w:r>
          </w:p>
        </w:tc>
        <w:tc>
          <w:tcPr>
            <w:tcW w:w="164" w:type="dxa"/>
            <w:tcBorders>
              <w:top w:val="nil"/>
              <w:left w:val="nil"/>
              <w:bottom w:val="nil"/>
              <w:right w:val="nil"/>
            </w:tcBorders>
            <w:shd w:val="clear" w:color="000000" w:fill="FFFFFF"/>
            <w:noWrap/>
            <w:vAlign w:val="bottom"/>
            <w:hideMark/>
          </w:tcPr>
          <w:p w14:paraId="3E71C30A"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2D542DA0"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1167288C" w14:textId="21357ECE"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083</w:t>
            </w:r>
          </w:p>
        </w:tc>
        <w:tc>
          <w:tcPr>
            <w:tcW w:w="164" w:type="dxa"/>
            <w:tcBorders>
              <w:top w:val="nil"/>
              <w:left w:val="nil"/>
              <w:bottom w:val="nil"/>
              <w:right w:val="nil"/>
            </w:tcBorders>
            <w:shd w:val="clear" w:color="000000" w:fill="FFFFFF"/>
            <w:noWrap/>
            <w:vAlign w:val="bottom"/>
            <w:hideMark/>
          </w:tcPr>
          <w:p w14:paraId="3D8B3908"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2A75ADC9" w14:textId="77777777" w:rsidTr="00E84205">
        <w:trPr>
          <w:trHeight w:val="330"/>
        </w:trPr>
        <w:tc>
          <w:tcPr>
            <w:tcW w:w="4962" w:type="dxa"/>
            <w:tcBorders>
              <w:top w:val="nil"/>
              <w:left w:val="nil"/>
              <w:bottom w:val="nil"/>
              <w:right w:val="nil"/>
            </w:tcBorders>
            <w:shd w:val="clear" w:color="000000" w:fill="FFFFFF"/>
            <w:vAlign w:val="bottom"/>
            <w:hideMark/>
          </w:tcPr>
          <w:p w14:paraId="29509876" w14:textId="77777777" w:rsidR="003F135F" w:rsidRPr="008F4DF9" w:rsidRDefault="003F135F" w:rsidP="003F135F">
            <w:pPr>
              <w:ind w:left="0" w:firstLine="0"/>
              <w:rPr>
                <w:rFonts w:eastAsia="Times New Roman" w:cs="Calibri"/>
                <w:b/>
                <w:bCs/>
              </w:rPr>
            </w:pPr>
            <w:r w:rsidRPr="008F4DF9">
              <w:rPr>
                <w:b/>
                <w:bCs/>
              </w:rPr>
              <w:t> </w:t>
            </w:r>
          </w:p>
        </w:tc>
        <w:tc>
          <w:tcPr>
            <w:tcW w:w="890" w:type="dxa"/>
            <w:tcBorders>
              <w:top w:val="nil"/>
              <w:left w:val="nil"/>
              <w:bottom w:val="nil"/>
              <w:right w:val="nil"/>
            </w:tcBorders>
            <w:shd w:val="clear" w:color="000000" w:fill="FFFFFF"/>
            <w:noWrap/>
            <w:vAlign w:val="bottom"/>
            <w:hideMark/>
          </w:tcPr>
          <w:p w14:paraId="13F5C295"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56368E31"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05F9D342"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C2A3C34"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5B547DB1"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5366D13B" w14:textId="77777777" w:rsidR="003F135F" w:rsidRPr="008F4DF9" w:rsidRDefault="003F135F" w:rsidP="003F135F">
            <w:pPr>
              <w:ind w:left="0" w:firstLine="0"/>
              <w:rPr>
                <w:rFonts w:eastAsia="Times New Roman" w:cs="Calibri"/>
              </w:rPr>
            </w:pPr>
            <w:r w:rsidRPr="008F4DF9">
              <w:t> </w:t>
            </w:r>
          </w:p>
        </w:tc>
      </w:tr>
      <w:tr w:rsidR="003F135F" w:rsidRPr="008F4DF9" w14:paraId="07E418C5" w14:textId="77777777" w:rsidTr="00E84205">
        <w:trPr>
          <w:trHeight w:val="339"/>
        </w:trPr>
        <w:tc>
          <w:tcPr>
            <w:tcW w:w="4962" w:type="dxa"/>
            <w:tcBorders>
              <w:top w:val="nil"/>
              <w:left w:val="nil"/>
              <w:bottom w:val="nil"/>
              <w:right w:val="nil"/>
            </w:tcBorders>
            <w:shd w:val="clear" w:color="000000" w:fill="FFFFFF"/>
            <w:vAlign w:val="bottom"/>
            <w:hideMark/>
          </w:tcPr>
          <w:p w14:paraId="7F98BA54" w14:textId="77777777" w:rsidR="003F135F" w:rsidRPr="008F4DF9" w:rsidRDefault="003F135F" w:rsidP="003F135F">
            <w:pPr>
              <w:ind w:left="0" w:firstLine="0"/>
              <w:rPr>
                <w:rFonts w:eastAsia="Times New Roman" w:cs="Calibri"/>
                <w:b/>
                <w:bCs/>
              </w:rPr>
            </w:pPr>
            <w:r w:rsidRPr="008F4DF9">
              <w:rPr>
                <w:b/>
                <w:bCs/>
              </w:rPr>
              <w:t>Activos fijos (netos)</w:t>
            </w:r>
          </w:p>
        </w:tc>
        <w:tc>
          <w:tcPr>
            <w:tcW w:w="890" w:type="dxa"/>
            <w:tcBorders>
              <w:top w:val="nil"/>
              <w:left w:val="nil"/>
              <w:bottom w:val="nil"/>
              <w:right w:val="nil"/>
            </w:tcBorders>
            <w:shd w:val="clear" w:color="000000" w:fill="FFFFFF"/>
            <w:noWrap/>
            <w:vAlign w:val="bottom"/>
            <w:hideMark/>
          </w:tcPr>
          <w:p w14:paraId="21311F34" w14:textId="77777777" w:rsidR="003F135F" w:rsidRPr="008F4DF9" w:rsidRDefault="003F135F" w:rsidP="003F135F">
            <w:pPr>
              <w:ind w:left="0" w:firstLine="0"/>
              <w:jc w:val="center"/>
              <w:rPr>
                <w:rFonts w:eastAsia="Times New Roman" w:cs="Calibri"/>
              </w:rPr>
            </w:pPr>
            <w:r w:rsidRPr="008F4DF9">
              <w:t>9</w:t>
            </w:r>
          </w:p>
        </w:tc>
        <w:tc>
          <w:tcPr>
            <w:tcW w:w="1215" w:type="dxa"/>
            <w:tcBorders>
              <w:top w:val="nil"/>
              <w:left w:val="nil"/>
              <w:bottom w:val="nil"/>
              <w:right w:val="nil"/>
            </w:tcBorders>
            <w:shd w:val="clear" w:color="000000" w:fill="FFFFFF"/>
            <w:noWrap/>
            <w:vAlign w:val="bottom"/>
            <w:hideMark/>
          </w:tcPr>
          <w:p w14:paraId="7486DCF0" w14:textId="77777777" w:rsidR="003F135F" w:rsidRPr="008F4DF9" w:rsidRDefault="003F135F" w:rsidP="003F135F">
            <w:pPr>
              <w:ind w:left="0" w:firstLine="0"/>
              <w:jc w:val="right"/>
              <w:rPr>
                <w:rFonts w:eastAsia="Times New Roman" w:cs="Calibri"/>
              </w:rPr>
            </w:pPr>
            <w:r w:rsidRPr="008F4DF9">
              <w:t>16</w:t>
            </w:r>
          </w:p>
        </w:tc>
        <w:tc>
          <w:tcPr>
            <w:tcW w:w="164" w:type="dxa"/>
            <w:tcBorders>
              <w:top w:val="nil"/>
              <w:left w:val="nil"/>
              <w:bottom w:val="nil"/>
              <w:right w:val="nil"/>
            </w:tcBorders>
            <w:shd w:val="clear" w:color="000000" w:fill="FFFFFF"/>
            <w:noWrap/>
            <w:vAlign w:val="bottom"/>
            <w:hideMark/>
          </w:tcPr>
          <w:p w14:paraId="74D6D53A"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70BEFD97"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6A137CDE" w14:textId="77777777" w:rsidR="003F135F" w:rsidRPr="008F4DF9" w:rsidRDefault="003F135F" w:rsidP="003F135F">
            <w:pPr>
              <w:ind w:left="0" w:firstLine="0"/>
              <w:jc w:val="right"/>
              <w:rPr>
                <w:rFonts w:eastAsia="Times New Roman" w:cs="Calibri"/>
              </w:rPr>
            </w:pPr>
            <w:r w:rsidRPr="008F4DF9">
              <w:t>18</w:t>
            </w:r>
          </w:p>
        </w:tc>
        <w:tc>
          <w:tcPr>
            <w:tcW w:w="164" w:type="dxa"/>
            <w:tcBorders>
              <w:top w:val="nil"/>
              <w:left w:val="nil"/>
              <w:bottom w:val="nil"/>
              <w:right w:val="nil"/>
            </w:tcBorders>
            <w:shd w:val="clear" w:color="000000" w:fill="FFFFFF"/>
            <w:noWrap/>
            <w:vAlign w:val="bottom"/>
            <w:hideMark/>
          </w:tcPr>
          <w:p w14:paraId="08AA49F6"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4D29C375" w14:textId="77777777" w:rsidTr="00E84205">
        <w:trPr>
          <w:trHeight w:val="339"/>
        </w:trPr>
        <w:tc>
          <w:tcPr>
            <w:tcW w:w="4962" w:type="dxa"/>
            <w:tcBorders>
              <w:top w:val="nil"/>
              <w:left w:val="nil"/>
              <w:bottom w:val="nil"/>
              <w:right w:val="nil"/>
            </w:tcBorders>
            <w:shd w:val="clear" w:color="000000" w:fill="FFFFFF"/>
            <w:vAlign w:val="bottom"/>
            <w:hideMark/>
          </w:tcPr>
          <w:p w14:paraId="5496EC19" w14:textId="63367D74" w:rsidR="003F135F" w:rsidRPr="008F4DF9" w:rsidRDefault="009154DA" w:rsidP="003F135F">
            <w:pPr>
              <w:ind w:left="0" w:firstLine="0"/>
              <w:rPr>
                <w:rFonts w:eastAsia="Times New Roman" w:cs="Calibri"/>
                <w:b/>
                <w:bCs/>
              </w:rPr>
            </w:pPr>
            <w:r>
              <w:rPr>
                <w:b/>
                <w:bCs/>
              </w:rPr>
              <w:t>Total,</w:t>
            </w:r>
            <w:r w:rsidR="003F135F" w:rsidRPr="008F4DF9">
              <w:rPr>
                <w:b/>
                <w:bCs/>
              </w:rPr>
              <w:t xml:space="preserve"> </w:t>
            </w:r>
            <w:r w:rsidR="006D4727">
              <w:rPr>
                <w:b/>
                <w:bCs/>
              </w:rPr>
              <w:t>A</w:t>
            </w:r>
            <w:r w:rsidR="003F135F" w:rsidRPr="008F4DF9">
              <w:rPr>
                <w:b/>
                <w:bCs/>
              </w:rPr>
              <w:t>ctivos no corrientes</w:t>
            </w:r>
          </w:p>
        </w:tc>
        <w:tc>
          <w:tcPr>
            <w:tcW w:w="890" w:type="dxa"/>
            <w:tcBorders>
              <w:top w:val="nil"/>
              <w:left w:val="nil"/>
              <w:bottom w:val="nil"/>
              <w:right w:val="nil"/>
            </w:tcBorders>
            <w:shd w:val="clear" w:color="000000" w:fill="FFFFFF"/>
            <w:noWrap/>
            <w:vAlign w:val="bottom"/>
            <w:hideMark/>
          </w:tcPr>
          <w:p w14:paraId="3CEC4D34" w14:textId="77777777" w:rsidR="003F135F" w:rsidRPr="008F4DF9" w:rsidRDefault="003F135F" w:rsidP="003F135F">
            <w:pPr>
              <w:ind w:left="0" w:firstLine="0"/>
              <w:jc w:val="center"/>
              <w:rPr>
                <w:rFonts w:eastAsia="Times New Roman" w:cs="Calibri"/>
              </w:rPr>
            </w:pPr>
            <w:r w:rsidRPr="008F4DF9">
              <w:t> </w:t>
            </w:r>
          </w:p>
        </w:tc>
        <w:tc>
          <w:tcPr>
            <w:tcW w:w="1215" w:type="dxa"/>
            <w:tcBorders>
              <w:top w:val="single" w:sz="4" w:space="0" w:color="auto"/>
              <w:left w:val="nil"/>
              <w:bottom w:val="nil"/>
              <w:right w:val="nil"/>
            </w:tcBorders>
            <w:shd w:val="clear" w:color="000000" w:fill="FFFFFF"/>
            <w:noWrap/>
            <w:vAlign w:val="bottom"/>
            <w:hideMark/>
          </w:tcPr>
          <w:p w14:paraId="505AA0BA" w14:textId="77777777" w:rsidR="003F135F" w:rsidRPr="008F4DF9" w:rsidRDefault="003F135F" w:rsidP="003F135F">
            <w:pPr>
              <w:ind w:left="0" w:firstLine="0"/>
              <w:jc w:val="right"/>
              <w:rPr>
                <w:rFonts w:eastAsia="Times New Roman" w:cs="Calibri"/>
                <w:b/>
                <w:bCs/>
              </w:rPr>
            </w:pPr>
            <w:r w:rsidRPr="008F4DF9">
              <w:rPr>
                <w:b/>
                <w:bCs/>
              </w:rPr>
              <w:t>16</w:t>
            </w:r>
          </w:p>
        </w:tc>
        <w:tc>
          <w:tcPr>
            <w:tcW w:w="164" w:type="dxa"/>
            <w:tcBorders>
              <w:top w:val="single" w:sz="4" w:space="0" w:color="auto"/>
              <w:left w:val="nil"/>
              <w:bottom w:val="nil"/>
              <w:right w:val="nil"/>
            </w:tcBorders>
            <w:shd w:val="clear" w:color="000000" w:fill="FFFFFF"/>
            <w:noWrap/>
            <w:vAlign w:val="bottom"/>
            <w:hideMark/>
          </w:tcPr>
          <w:p w14:paraId="3FD4DB6F"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single" w:sz="4" w:space="0" w:color="auto"/>
              <w:left w:val="nil"/>
              <w:bottom w:val="nil"/>
              <w:right w:val="nil"/>
            </w:tcBorders>
            <w:shd w:val="clear" w:color="000000" w:fill="D9D9D9"/>
            <w:noWrap/>
            <w:vAlign w:val="bottom"/>
            <w:hideMark/>
          </w:tcPr>
          <w:p w14:paraId="63F2FF53"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single" w:sz="4" w:space="0" w:color="auto"/>
              <w:left w:val="nil"/>
              <w:bottom w:val="nil"/>
              <w:right w:val="nil"/>
            </w:tcBorders>
            <w:shd w:val="clear" w:color="000000" w:fill="FFFFFF"/>
            <w:noWrap/>
            <w:vAlign w:val="bottom"/>
            <w:hideMark/>
          </w:tcPr>
          <w:p w14:paraId="7C39F05C" w14:textId="77777777" w:rsidR="003F135F" w:rsidRPr="008F4DF9" w:rsidRDefault="003F135F" w:rsidP="003F135F">
            <w:pPr>
              <w:ind w:left="0" w:firstLine="0"/>
              <w:jc w:val="right"/>
              <w:rPr>
                <w:rFonts w:eastAsia="Times New Roman" w:cs="Calibri"/>
                <w:b/>
                <w:bCs/>
              </w:rPr>
            </w:pPr>
            <w:r w:rsidRPr="008F4DF9">
              <w:rPr>
                <w:b/>
                <w:bCs/>
              </w:rPr>
              <w:t>18</w:t>
            </w:r>
          </w:p>
        </w:tc>
        <w:tc>
          <w:tcPr>
            <w:tcW w:w="164" w:type="dxa"/>
            <w:tcBorders>
              <w:top w:val="nil"/>
              <w:left w:val="nil"/>
              <w:bottom w:val="nil"/>
              <w:right w:val="nil"/>
            </w:tcBorders>
            <w:shd w:val="clear" w:color="000000" w:fill="FFFFFF"/>
            <w:noWrap/>
            <w:vAlign w:val="bottom"/>
            <w:hideMark/>
          </w:tcPr>
          <w:p w14:paraId="55C6F820"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118E2418" w14:textId="77777777" w:rsidTr="00E84205">
        <w:trPr>
          <w:trHeight w:val="330"/>
        </w:trPr>
        <w:tc>
          <w:tcPr>
            <w:tcW w:w="4962" w:type="dxa"/>
            <w:tcBorders>
              <w:top w:val="nil"/>
              <w:left w:val="nil"/>
              <w:bottom w:val="nil"/>
              <w:right w:val="nil"/>
            </w:tcBorders>
            <w:shd w:val="clear" w:color="000000" w:fill="FFFFFF"/>
            <w:vAlign w:val="bottom"/>
            <w:hideMark/>
          </w:tcPr>
          <w:p w14:paraId="563C458E" w14:textId="77777777" w:rsidR="003F135F" w:rsidRPr="008F4DF9" w:rsidRDefault="003F135F" w:rsidP="003F135F">
            <w:pPr>
              <w:ind w:left="0" w:firstLine="0"/>
              <w:rPr>
                <w:rFonts w:eastAsia="Times New Roman" w:cs="Calibri"/>
              </w:rPr>
            </w:pPr>
            <w:r w:rsidRPr="008F4DF9">
              <w:t> </w:t>
            </w:r>
          </w:p>
        </w:tc>
        <w:tc>
          <w:tcPr>
            <w:tcW w:w="890" w:type="dxa"/>
            <w:tcBorders>
              <w:top w:val="nil"/>
              <w:left w:val="nil"/>
              <w:bottom w:val="nil"/>
              <w:right w:val="nil"/>
            </w:tcBorders>
            <w:shd w:val="clear" w:color="000000" w:fill="FFFFFF"/>
            <w:noWrap/>
            <w:vAlign w:val="bottom"/>
            <w:hideMark/>
          </w:tcPr>
          <w:p w14:paraId="6145418F"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auto" w:fill="auto"/>
            <w:noWrap/>
            <w:vAlign w:val="bottom"/>
            <w:hideMark/>
          </w:tcPr>
          <w:p w14:paraId="38F0F725" w14:textId="77777777" w:rsidR="003F135F" w:rsidRPr="008F4DF9" w:rsidRDefault="003F135F" w:rsidP="003F135F">
            <w:pPr>
              <w:ind w:left="0" w:firstLine="0"/>
              <w:jc w:val="center"/>
              <w:rPr>
                <w:rFonts w:eastAsia="Times New Roman" w:cs="Calibri"/>
                <w:lang w:eastAsia="en-GB"/>
              </w:rPr>
            </w:pPr>
          </w:p>
        </w:tc>
        <w:tc>
          <w:tcPr>
            <w:tcW w:w="164" w:type="dxa"/>
            <w:tcBorders>
              <w:top w:val="nil"/>
              <w:left w:val="nil"/>
              <w:bottom w:val="nil"/>
              <w:right w:val="nil"/>
            </w:tcBorders>
            <w:shd w:val="clear" w:color="000000" w:fill="FFFFFF"/>
            <w:noWrap/>
            <w:vAlign w:val="bottom"/>
            <w:hideMark/>
          </w:tcPr>
          <w:p w14:paraId="0F462B60"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11FAA8B1"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58264539"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F3A7B04" w14:textId="77777777" w:rsidR="003F135F" w:rsidRPr="008F4DF9" w:rsidRDefault="003F135F" w:rsidP="003F135F">
            <w:pPr>
              <w:ind w:left="0" w:firstLine="0"/>
              <w:rPr>
                <w:rFonts w:eastAsia="Times New Roman" w:cs="Calibri"/>
              </w:rPr>
            </w:pPr>
            <w:r w:rsidRPr="008F4DF9">
              <w:t> </w:t>
            </w:r>
          </w:p>
        </w:tc>
      </w:tr>
      <w:tr w:rsidR="003F135F" w:rsidRPr="008F4DF9" w14:paraId="2F2628BE" w14:textId="77777777" w:rsidTr="00E84205">
        <w:trPr>
          <w:trHeight w:val="480"/>
        </w:trPr>
        <w:tc>
          <w:tcPr>
            <w:tcW w:w="4962" w:type="dxa"/>
            <w:tcBorders>
              <w:top w:val="nil"/>
              <w:left w:val="nil"/>
              <w:bottom w:val="nil"/>
              <w:right w:val="nil"/>
            </w:tcBorders>
            <w:shd w:val="clear" w:color="000000" w:fill="FFFFFF"/>
            <w:vAlign w:val="center"/>
            <w:hideMark/>
          </w:tcPr>
          <w:p w14:paraId="150B65D1" w14:textId="21FAFED9" w:rsidR="003F135F" w:rsidRPr="008F4DF9" w:rsidRDefault="009154DA" w:rsidP="003F135F">
            <w:pPr>
              <w:ind w:left="0" w:firstLine="0"/>
              <w:rPr>
                <w:rFonts w:eastAsia="Times New Roman" w:cs="Calibri"/>
                <w:b/>
                <w:bCs/>
              </w:rPr>
            </w:pPr>
            <w:r>
              <w:rPr>
                <w:b/>
                <w:bCs/>
              </w:rPr>
              <w:t>TOTAL,</w:t>
            </w:r>
            <w:r w:rsidR="003F135F" w:rsidRPr="008F4DF9">
              <w:rPr>
                <w:b/>
                <w:bCs/>
              </w:rPr>
              <w:t xml:space="preserve"> ACTIVOS</w:t>
            </w:r>
          </w:p>
        </w:tc>
        <w:tc>
          <w:tcPr>
            <w:tcW w:w="890" w:type="dxa"/>
            <w:tcBorders>
              <w:top w:val="nil"/>
              <w:left w:val="nil"/>
              <w:bottom w:val="nil"/>
              <w:right w:val="nil"/>
            </w:tcBorders>
            <w:shd w:val="clear" w:color="000000" w:fill="FFFFFF"/>
            <w:noWrap/>
            <w:vAlign w:val="center"/>
            <w:hideMark/>
          </w:tcPr>
          <w:p w14:paraId="714DC622" w14:textId="77777777" w:rsidR="003F135F" w:rsidRPr="008F4DF9" w:rsidRDefault="003F135F" w:rsidP="003F135F">
            <w:pPr>
              <w:ind w:left="0" w:firstLine="0"/>
              <w:jc w:val="center"/>
              <w:rPr>
                <w:rFonts w:eastAsia="Times New Roman" w:cs="Calibri"/>
              </w:rPr>
            </w:pPr>
            <w:r w:rsidRPr="008F4DF9">
              <w:t> </w:t>
            </w:r>
          </w:p>
        </w:tc>
        <w:tc>
          <w:tcPr>
            <w:tcW w:w="1215" w:type="dxa"/>
            <w:tcBorders>
              <w:top w:val="single" w:sz="4" w:space="0" w:color="auto"/>
              <w:left w:val="nil"/>
              <w:bottom w:val="single" w:sz="4" w:space="0" w:color="auto"/>
              <w:right w:val="nil"/>
            </w:tcBorders>
            <w:shd w:val="clear" w:color="000000" w:fill="FFFFFF"/>
            <w:noWrap/>
            <w:vAlign w:val="center"/>
            <w:hideMark/>
          </w:tcPr>
          <w:p w14:paraId="4FB703EE" w14:textId="085EDB8B"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349</w:t>
            </w:r>
          </w:p>
        </w:tc>
        <w:tc>
          <w:tcPr>
            <w:tcW w:w="164" w:type="dxa"/>
            <w:tcBorders>
              <w:top w:val="single" w:sz="4" w:space="0" w:color="auto"/>
              <w:left w:val="nil"/>
              <w:bottom w:val="single" w:sz="4" w:space="0" w:color="auto"/>
              <w:right w:val="nil"/>
            </w:tcBorders>
            <w:shd w:val="clear" w:color="000000" w:fill="FFFFFF"/>
            <w:noWrap/>
            <w:vAlign w:val="center"/>
            <w:hideMark/>
          </w:tcPr>
          <w:p w14:paraId="3B1EABC9"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2B10E32"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single" w:sz="4" w:space="0" w:color="auto"/>
              <w:left w:val="nil"/>
              <w:bottom w:val="single" w:sz="4" w:space="0" w:color="auto"/>
              <w:right w:val="nil"/>
            </w:tcBorders>
            <w:shd w:val="clear" w:color="000000" w:fill="FFFFFF"/>
            <w:noWrap/>
            <w:vAlign w:val="center"/>
            <w:hideMark/>
          </w:tcPr>
          <w:p w14:paraId="7D7A5546" w14:textId="703418E2"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101</w:t>
            </w:r>
          </w:p>
        </w:tc>
        <w:tc>
          <w:tcPr>
            <w:tcW w:w="164" w:type="dxa"/>
            <w:tcBorders>
              <w:top w:val="nil"/>
              <w:left w:val="nil"/>
              <w:bottom w:val="nil"/>
              <w:right w:val="nil"/>
            </w:tcBorders>
            <w:shd w:val="clear" w:color="000000" w:fill="FFFFFF"/>
            <w:noWrap/>
            <w:vAlign w:val="center"/>
            <w:hideMark/>
          </w:tcPr>
          <w:p w14:paraId="592658B6"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09ACA039" w14:textId="77777777" w:rsidTr="00E84205">
        <w:trPr>
          <w:trHeight w:val="330"/>
        </w:trPr>
        <w:tc>
          <w:tcPr>
            <w:tcW w:w="4962" w:type="dxa"/>
            <w:tcBorders>
              <w:top w:val="nil"/>
              <w:left w:val="nil"/>
              <w:bottom w:val="nil"/>
              <w:right w:val="nil"/>
            </w:tcBorders>
            <w:shd w:val="clear" w:color="000000" w:fill="FFFFFF"/>
            <w:vAlign w:val="bottom"/>
            <w:hideMark/>
          </w:tcPr>
          <w:p w14:paraId="65F5C6B4" w14:textId="77777777" w:rsidR="003F135F" w:rsidRPr="008F4DF9" w:rsidRDefault="003F135F" w:rsidP="003F135F">
            <w:pPr>
              <w:ind w:left="0" w:firstLine="0"/>
              <w:rPr>
                <w:rFonts w:eastAsia="Times New Roman" w:cs="Calibri"/>
              </w:rPr>
            </w:pPr>
            <w:r w:rsidRPr="008F4DF9">
              <w:t> </w:t>
            </w:r>
          </w:p>
        </w:tc>
        <w:tc>
          <w:tcPr>
            <w:tcW w:w="890" w:type="dxa"/>
            <w:tcBorders>
              <w:top w:val="nil"/>
              <w:left w:val="nil"/>
              <w:bottom w:val="nil"/>
              <w:right w:val="nil"/>
            </w:tcBorders>
            <w:shd w:val="clear" w:color="000000" w:fill="FFFFFF"/>
            <w:noWrap/>
            <w:vAlign w:val="bottom"/>
            <w:hideMark/>
          </w:tcPr>
          <w:p w14:paraId="20D4E4BF"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225848CF"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2FEDE360"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43899DD"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1A7391C6"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5EAC0E47" w14:textId="77777777" w:rsidR="003F135F" w:rsidRPr="008F4DF9" w:rsidRDefault="003F135F" w:rsidP="003F135F">
            <w:pPr>
              <w:ind w:left="0" w:firstLine="0"/>
              <w:rPr>
                <w:rFonts w:eastAsia="Times New Roman" w:cs="Calibri"/>
              </w:rPr>
            </w:pPr>
            <w:r w:rsidRPr="008F4DF9">
              <w:t> </w:t>
            </w:r>
          </w:p>
        </w:tc>
      </w:tr>
      <w:tr w:rsidR="003F135F" w:rsidRPr="008F4DF9" w14:paraId="0E6D1B58" w14:textId="77777777" w:rsidTr="00E84205">
        <w:trPr>
          <w:trHeight w:val="330"/>
        </w:trPr>
        <w:tc>
          <w:tcPr>
            <w:tcW w:w="4962" w:type="dxa"/>
            <w:tcBorders>
              <w:top w:val="nil"/>
              <w:left w:val="nil"/>
              <w:bottom w:val="nil"/>
              <w:right w:val="nil"/>
            </w:tcBorders>
            <w:shd w:val="clear" w:color="000000" w:fill="FFFFFF"/>
            <w:vAlign w:val="bottom"/>
            <w:hideMark/>
          </w:tcPr>
          <w:p w14:paraId="3E8B69CC" w14:textId="77777777" w:rsidR="003F135F" w:rsidRPr="008F4DF9" w:rsidRDefault="003F135F" w:rsidP="003F135F">
            <w:pPr>
              <w:ind w:left="0" w:firstLine="0"/>
              <w:rPr>
                <w:rFonts w:eastAsia="Times New Roman" w:cs="Calibri"/>
                <w:b/>
                <w:bCs/>
              </w:rPr>
            </w:pPr>
            <w:r w:rsidRPr="008F4DF9">
              <w:rPr>
                <w:b/>
                <w:bCs/>
              </w:rPr>
              <w:t>PASIVO Y SALDOS DE FONDOS</w:t>
            </w:r>
          </w:p>
        </w:tc>
        <w:tc>
          <w:tcPr>
            <w:tcW w:w="890" w:type="dxa"/>
            <w:tcBorders>
              <w:top w:val="nil"/>
              <w:left w:val="nil"/>
              <w:bottom w:val="nil"/>
              <w:right w:val="nil"/>
            </w:tcBorders>
            <w:shd w:val="clear" w:color="000000" w:fill="FFFFFF"/>
            <w:noWrap/>
            <w:vAlign w:val="bottom"/>
            <w:hideMark/>
          </w:tcPr>
          <w:p w14:paraId="05668EB4"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4A7D4FD4"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46C59F2"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0BC38244"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66692D03"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6BF0C2C6" w14:textId="77777777" w:rsidR="003F135F" w:rsidRPr="008F4DF9" w:rsidRDefault="003F135F" w:rsidP="003F135F">
            <w:pPr>
              <w:ind w:left="0" w:firstLine="0"/>
              <w:rPr>
                <w:rFonts w:eastAsia="Times New Roman" w:cs="Calibri"/>
              </w:rPr>
            </w:pPr>
            <w:r w:rsidRPr="008F4DF9">
              <w:t> </w:t>
            </w:r>
          </w:p>
        </w:tc>
      </w:tr>
      <w:tr w:rsidR="003F135F" w:rsidRPr="008F4DF9" w14:paraId="0F7CD9D9" w14:textId="77777777" w:rsidTr="00E84205">
        <w:trPr>
          <w:trHeight w:val="330"/>
        </w:trPr>
        <w:tc>
          <w:tcPr>
            <w:tcW w:w="4962" w:type="dxa"/>
            <w:tcBorders>
              <w:top w:val="nil"/>
              <w:left w:val="nil"/>
              <w:bottom w:val="nil"/>
              <w:right w:val="nil"/>
            </w:tcBorders>
            <w:shd w:val="clear" w:color="000000" w:fill="FFFFFF"/>
            <w:vAlign w:val="bottom"/>
            <w:hideMark/>
          </w:tcPr>
          <w:p w14:paraId="0ABECABA" w14:textId="77777777" w:rsidR="003F135F" w:rsidRPr="008F4DF9" w:rsidRDefault="003F135F" w:rsidP="003F135F">
            <w:pPr>
              <w:ind w:left="0" w:firstLine="0"/>
              <w:rPr>
                <w:rFonts w:eastAsia="Times New Roman" w:cs="Calibri"/>
                <w:b/>
                <w:bCs/>
              </w:rPr>
            </w:pPr>
            <w:r w:rsidRPr="008F4DF9">
              <w:rPr>
                <w:b/>
                <w:bCs/>
              </w:rPr>
              <w:t>Pasivo corriente</w:t>
            </w:r>
          </w:p>
        </w:tc>
        <w:tc>
          <w:tcPr>
            <w:tcW w:w="890" w:type="dxa"/>
            <w:tcBorders>
              <w:top w:val="nil"/>
              <w:left w:val="nil"/>
              <w:bottom w:val="nil"/>
              <w:right w:val="nil"/>
            </w:tcBorders>
            <w:shd w:val="clear" w:color="000000" w:fill="FFFFFF"/>
            <w:noWrap/>
            <w:vAlign w:val="bottom"/>
            <w:hideMark/>
          </w:tcPr>
          <w:p w14:paraId="5473E72F"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7D78D6F4"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1FDB4986"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3AA06F53"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37DB8E3B"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7CEC476B" w14:textId="77777777" w:rsidR="003F135F" w:rsidRPr="008F4DF9" w:rsidRDefault="003F135F" w:rsidP="003F135F">
            <w:pPr>
              <w:ind w:left="0" w:firstLine="0"/>
              <w:rPr>
                <w:rFonts w:eastAsia="Times New Roman" w:cs="Calibri"/>
              </w:rPr>
            </w:pPr>
            <w:r w:rsidRPr="008F4DF9">
              <w:t> </w:t>
            </w:r>
          </w:p>
        </w:tc>
      </w:tr>
      <w:tr w:rsidR="003F135F" w:rsidRPr="008F4DF9" w14:paraId="60A9222C" w14:textId="77777777" w:rsidTr="00E84205">
        <w:trPr>
          <w:trHeight w:val="339"/>
        </w:trPr>
        <w:tc>
          <w:tcPr>
            <w:tcW w:w="4962" w:type="dxa"/>
            <w:tcBorders>
              <w:top w:val="nil"/>
              <w:left w:val="nil"/>
              <w:bottom w:val="nil"/>
              <w:right w:val="nil"/>
            </w:tcBorders>
            <w:shd w:val="clear" w:color="000000" w:fill="FFFFFF"/>
            <w:vAlign w:val="bottom"/>
            <w:hideMark/>
          </w:tcPr>
          <w:p w14:paraId="43BE049E" w14:textId="7E4A057D" w:rsidR="003F135F" w:rsidRPr="008F4DF9" w:rsidRDefault="003F135F" w:rsidP="003F135F">
            <w:pPr>
              <w:ind w:left="0" w:firstLine="0"/>
              <w:rPr>
                <w:rFonts w:eastAsia="Times New Roman" w:cs="Calibri"/>
              </w:rPr>
            </w:pPr>
            <w:r w:rsidRPr="008F4DF9">
              <w:t>Importe adeudado a la UICN</w:t>
            </w:r>
          </w:p>
        </w:tc>
        <w:tc>
          <w:tcPr>
            <w:tcW w:w="890" w:type="dxa"/>
            <w:tcBorders>
              <w:top w:val="nil"/>
              <w:left w:val="nil"/>
              <w:bottom w:val="nil"/>
              <w:right w:val="nil"/>
            </w:tcBorders>
            <w:shd w:val="clear" w:color="000000" w:fill="FFFFFF"/>
            <w:noWrap/>
            <w:vAlign w:val="bottom"/>
            <w:hideMark/>
          </w:tcPr>
          <w:p w14:paraId="6BC3F05F"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56E95795" w14:textId="77777777" w:rsidR="003F135F" w:rsidRPr="008F4DF9" w:rsidRDefault="003F135F" w:rsidP="003F135F">
            <w:pPr>
              <w:ind w:left="0" w:firstLine="0"/>
              <w:jc w:val="right"/>
              <w:rPr>
                <w:rFonts w:eastAsia="Times New Roman" w:cs="Calibri"/>
              </w:rPr>
            </w:pPr>
            <w:r w:rsidRPr="008F4DF9">
              <w:t>367</w:t>
            </w:r>
          </w:p>
        </w:tc>
        <w:tc>
          <w:tcPr>
            <w:tcW w:w="164" w:type="dxa"/>
            <w:tcBorders>
              <w:top w:val="nil"/>
              <w:left w:val="nil"/>
              <w:bottom w:val="nil"/>
              <w:right w:val="nil"/>
            </w:tcBorders>
            <w:shd w:val="clear" w:color="000000" w:fill="FFFFFF"/>
            <w:noWrap/>
            <w:vAlign w:val="bottom"/>
            <w:hideMark/>
          </w:tcPr>
          <w:p w14:paraId="50D1DEB2"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1E593E43"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60B663E2" w14:textId="77777777" w:rsidR="003F135F" w:rsidRPr="008F4DF9" w:rsidRDefault="003F135F" w:rsidP="003F135F">
            <w:pPr>
              <w:ind w:left="0" w:firstLine="0"/>
              <w:jc w:val="right"/>
              <w:rPr>
                <w:rFonts w:eastAsia="Times New Roman" w:cs="Calibri"/>
              </w:rPr>
            </w:pPr>
            <w:r w:rsidRPr="008F4DF9">
              <w:t>338</w:t>
            </w:r>
          </w:p>
        </w:tc>
        <w:tc>
          <w:tcPr>
            <w:tcW w:w="164" w:type="dxa"/>
            <w:tcBorders>
              <w:top w:val="nil"/>
              <w:left w:val="nil"/>
              <w:bottom w:val="nil"/>
              <w:right w:val="nil"/>
            </w:tcBorders>
            <w:shd w:val="clear" w:color="000000" w:fill="FFFFFF"/>
            <w:noWrap/>
            <w:vAlign w:val="bottom"/>
            <w:hideMark/>
          </w:tcPr>
          <w:p w14:paraId="5022C33F" w14:textId="77777777" w:rsidR="003F135F" w:rsidRPr="008F4DF9" w:rsidRDefault="003F135F" w:rsidP="003F135F">
            <w:pPr>
              <w:ind w:left="0" w:firstLine="0"/>
              <w:rPr>
                <w:rFonts w:eastAsia="Times New Roman" w:cs="Calibri"/>
              </w:rPr>
            </w:pPr>
            <w:r w:rsidRPr="008F4DF9">
              <w:t> </w:t>
            </w:r>
          </w:p>
        </w:tc>
      </w:tr>
      <w:tr w:rsidR="003F135F" w:rsidRPr="008F4DF9" w14:paraId="4F434C21" w14:textId="77777777" w:rsidTr="00E84205">
        <w:trPr>
          <w:trHeight w:val="330"/>
        </w:trPr>
        <w:tc>
          <w:tcPr>
            <w:tcW w:w="4962" w:type="dxa"/>
            <w:tcBorders>
              <w:top w:val="nil"/>
              <w:left w:val="nil"/>
              <w:bottom w:val="nil"/>
              <w:right w:val="nil"/>
            </w:tcBorders>
            <w:shd w:val="clear" w:color="000000" w:fill="FFFFFF"/>
            <w:vAlign w:val="bottom"/>
            <w:hideMark/>
          </w:tcPr>
          <w:p w14:paraId="5390ED77" w14:textId="78C1935A" w:rsidR="003F135F" w:rsidRPr="008F4DF9" w:rsidRDefault="003F135F" w:rsidP="003F135F">
            <w:pPr>
              <w:ind w:left="0" w:firstLine="0"/>
              <w:rPr>
                <w:rFonts w:eastAsia="Times New Roman" w:cs="Calibri"/>
              </w:rPr>
            </w:pPr>
            <w:r w:rsidRPr="008F4DF9">
              <w:t>Otras cuentas por pagar</w:t>
            </w:r>
          </w:p>
        </w:tc>
        <w:tc>
          <w:tcPr>
            <w:tcW w:w="890" w:type="dxa"/>
            <w:tcBorders>
              <w:top w:val="nil"/>
              <w:left w:val="nil"/>
              <w:bottom w:val="nil"/>
              <w:right w:val="nil"/>
            </w:tcBorders>
            <w:shd w:val="clear" w:color="000000" w:fill="FFFFFF"/>
            <w:noWrap/>
            <w:vAlign w:val="bottom"/>
            <w:hideMark/>
          </w:tcPr>
          <w:p w14:paraId="79F2D541" w14:textId="77777777" w:rsidR="003F135F" w:rsidRPr="008F4DF9" w:rsidRDefault="003F135F" w:rsidP="003F135F">
            <w:pPr>
              <w:ind w:left="0" w:firstLine="0"/>
              <w:jc w:val="center"/>
              <w:rPr>
                <w:rFonts w:eastAsia="Times New Roman" w:cs="Calibri"/>
              </w:rPr>
            </w:pPr>
            <w:r w:rsidRPr="008F4DF9">
              <w:t>8</w:t>
            </w:r>
          </w:p>
        </w:tc>
        <w:tc>
          <w:tcPr>
            <w:tcW w:w="1215" w:type="dxa"/>
            <w:tcBorders>
              <w:top w:val="nil"/>
              <w:left w:val="nil"/>
              <w:bottom w:val="nil"/>
              <w:right w:val="nil"/>
            </w:tcBorders>
            <w:shd w:val="clear" w:color="000000" w:fill="FFFFFF"/>
            <w:noWrap/>
            <w:vAlign w:val="bottom"/>
            <w:hideMark/>
          </w:tcPr>
          <w:p w14:paraId="73EC1572" w14:textId="77777777" w:rsidR="003F135F" w:rsidRPr="008F4DF9" w:rsidRDefault="003F135F" w:rsidP="003F135F">
            <w:pPr>
              <w:ind w:left="0" w:firstLine="0"/>
              <w:jc w:val="right"/>
              <w:rPr>
                <w:rFonts w:eastAsia="Times New Roman" w:cs="Calibri"/>
              </w:rPr>
            </w:pPr>
            <w:r w:rsidRPr="008F4DF9">
              <w:t>749</w:t>
            </w:r>
          </w:p>
        </w:tc>
        <w:tc>
          <w:tcPr>
            <w:tcW w:w="164" w:type="dxa"/>
            <w:tcBorders>
              <w:top w:val="nil"/>
              <w:left w:val="nil"/>
              <w:bottom w:val="nil"/>
              <w:right w:val="nil"/>
            </w:tcBorders>
            <w:shd w:val="clear" w:color="000000" w:fill="FFFFFF"/>
            <w:noWrap/>
            <w:vAlign w:val="bottom"/>
            <w:hideMark/>
          </w:tcPr>
          <w:p w14:paraId="42FFB9EA"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678C1774"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046CA7FE" w14:textId="77777777" w:rsidR="003F135F" w:rsidRPr="008F4DF9" w:rsidRDefault="003F135F" w:rsidP="003F135F">
            <w:pPr>
              <w:ind w:left="0" w:firstLine="0"/>
              <w:jc w:val="right"/>
              <w:rPr>
                <w:rFonts w:eastAsia="Times New Roman" w:cs="Calibri"/>
              </w:rPr>
            </w:pPr>
            <w:r w:rsidRPr="008F4DF9">
              <w:t>827</w:t>
            </w:r>
          </w:p>
        </w:tc>
        <w:tc>
          <w:tcPr>
            <w:tcW w:w="164" w:type="dxa"/>
            <w:tcBorders>
              <w:top w:val="nil"/>
              <w:left w:val="nil"/>
              <w:bottom w:val="nil"/>
              <w:right w:val="nil"/>
            </w:tcBorders>
            <w:shd w:val="clear" w:color="000000" w:fill="FFFFFF"/>
            <w:noWrap/>
            <w:vAlign w:val="bottom"/>
            <w:hideMark/>
          </w:tcPr>
          <w:p w14:paraId="57756F7F" w14:textId="77777777" w:rsidR="003F135F" w:rsidRPr="008F4DF9" w:rsidRDefault="003F135F" w:rsidP="003F135F">
            <w:pPr>
              <w:ind w:left="0" w:firstLine="0"/>
              <w:rPr>
                <w:rFonts w:eastAsia="Times New Roman" w:cs="Calibri"/>
              </w:rPr>
            </w:pPr>
            <w:r w:rsidRPr="008F4DF9">
              <w:t> </w:t>
            </w:r>
          </w:p>
        </w:tc>
      </w:tr>
      <w:tr w:rsidR="003F135F" w:rsidRPr="008F4DF9" w14:paraId="0356AEF2" w14:textId="77777777" w:rsidTr="00E84205">
        <w:trPr>
          <w:trHeight w:val="339"/>
        </w:trPr>
        <w:tc>
          <w:tcPr>
            <w:tcW w:w="4962" w:type="dxa"/>
            <w:tcBorders>
              <w:top w:val="nil"/>
              <w:left w:val="nil"/>
              <w:bottom w:val="nil"/>
              <w:right w:val="nil"/>
            </w:tcBorders>
            <w:shd w:val="clear" w:color="000000" w:fill="FFFFFF"/>
            <w:vAlign w:val="bottom"/>
            <w:hideMark/>
          </w:tcPr>
          <w:p w14:paraId="63CC6487" w14:textId="353EE925" w:rsidR="003F135F" w:rsidRPr="008F4DF9" w:rsidRDefault="003F135F" w:rsidP="003F135F">
            <w:pPr>
              <w:ind w:left="0" w:firstLine="0"/>
              <w:rPr>
                <w:rFonts w:eastAsia="Times New Roman" w:cs="Calibri"/>
              </w:rPr>
            </w:pPr>
            <w:r w:rsidRPr="008F4DF9">
              <w:t>Pasivo acumulado</w:t>
            </w:r>
          </w:p>
        </w:tc>
        <w:tc>
          <w:tcPr>
            <w:tcW w:w="890" w:type="dxa"/>
            <w:tcBorders>
              <w:top w:val="nil"/>
              <w:left w:val="nil"/>
              <w:bottom w:val="nil"/>
              <w:right w:val="nil"/>
            </w:tcBorders>
            <w:shd w:val="clear" w:color="000000" w:fill="FFFFFF"/>
            <w:noWrap/>
            <w:vAlign w:val="bottom"/>
            <w:hideMark/>
          </w:tcPr>
          <w:p w14:paraId="33398761"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single" w:sz="4" w:space="0" w:color="auto"/>
              <w:right w:val="nil"/>
            </w:tcBorders>
            <w:shd w:val="clear" w:color="000000" w:fill="FFFFFF"/>
            <w:noWrap/>
            <w:vAlign w:val="bottom"/>
            <w:hideMark/>
          </w:tcPr>
          <w:p w14:paraId="410B6323" w14:textId="77777777" w:rsidR="003F135F" w:rsidRPr="008F4DF9" w:rsidRDefault="003F135F" w:rsidP="003F135F">
            <w:pPr>
              <w:ind w:left="0" w:firstLine="0"/>
              <w:jc w:val="right"/>
              <w:rPr>
                <w:rFonts w:eastAsia="Times New Roman" w:cs="Calibri"/>
              </w:rPr>
            </w:pPr>
            <w:r w:rsidRPr="008F4DF9">
              <w:t>71</w:t>
            </w:r>
          </w:p>
        </w:tc>
        <w:tc>
          <w:tcPr>
            <w:tcW w:w="164" w:type="dxa"/>
            <w:tcBorders>
              <w:top w:val="nil"/>
              <w:left w:val="nil"/>
              <w:bottom w:val="single" w:sz="4" w:space="0" w:color="auto"/>
              <w:right w:val="nil"/>
            </w:tcBorders>
            <w:shd w:val="clear" w:color="000000" w:fill="FFFFFF"/>
            <w:noWrap/>
            <w:vAlign w:val="bottom"/>
            <w:hideMark/>
          </w:tcPr>
          <w:p w14:paraId="6CE719D1"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single" w:sz="4" w:space="0" w:color="auto"/>
              <w:right w:val="nil"/>
            </w:tcBorders>
            <w:shd w:val="clear" w:color="000000" w:fill="D9D9D9"/>
            <w:noWrap/>
            <w:vAlign w:val="bottom"/>
            <w:hideMark/>
          </w:tcPr>
          <w:p w14:paraId="78D65A89"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single" w:sz="4" w:space="0" w:color="auto"/>
              <w:right w:val="nil"/>
            </w:tcBorders>
            <w:shd w:val="clear" w:color="000000" w:fill="FFFFFF"/>
            <w:noWrap/>
            <w:vAlign w:val="bottom"/>
            <w:hideMark/>
          </w:tcPr>
          <w:p w14:paraId="525C4476" w14:textId="77777777" w:rsidR="003F135F" w:rsidRPr="008F4DF9" w:rsidRDefault="003F135F" w:rsidP="003F135F">
            <w:pPr>
              <w:ind w:left="0" w:firstLine="0"/>
              <w:jc w:val="right"/>
              <w:rPr>
                <w:rFonts w:eastAsia="Times New Roman" w:cs="Calibri"/>
              </w:rPr>
            </w:pPr>
            <w:r w:rsidRPr="008F4DF9">
              <w:t>155</w:t>
            </w:r>
          </w:p>
        </w:tc>
        <w:tc>
          <w:tcPr>
            <w:tcW w:w="164" w:type="dxa"/>
            <w:tcBorders>
              <w:top w:val="nil"/>
              <w:left w:val="nil"/>
              <w:bottom w:val="nil"/>
              <w:right w:val="nil"/>
            </w:tcBorders>
            <w:shd w:val="clear" w:color="000000" w:fill="FFFFFF"/>
            <w:noWrap/>
            <w:vAlign w:val="bottom"/>
            <w:hideMark/>
          </w:tcPr>
          <w:p w14:paraId="38BB4519" w14:textId="77777777" w:rsidR="003F135F" w:rsidRPr="008F4DF9" w:rsidRDefault="003F135F" w:rsidP="003F135F">
            <w:pPr>
              <w:ind w:left="0" w:firstLine="0"/>
              <w:rPr>
                <w:rFonts w:eastAsia="Times New Roman" w:cs="Calibri"/>
              </w:rPr>
            </w:pPr>
            <w:r w:rsidRPr="008F4DF9">
              <w:t> </w:t>
            </w:r>
          </w:p>
        </w:tc>
      </w:tr>
      <w:tr w:rsidR="003F135F" w:rsidRPr="008F4DF9" w14:paraId="2E46E661" w14:textId="77777777" w:rsidTr="00E84205">
        <w:trPr>
          <w:trHeight w:val="330"/>
        </w:trPr>
        <w:tc>
          <w:tcPr>
            <w:tcW w:w="4962" w:type="dxa"/>
            <w:tcBorders>
              <w:top w:val="nil"/>
              <w:left w:val="nil"/>
              <w:bottom w:val="nil"/>
              <w:right w:val="nil"/>
            </w:tcBorders>
            <w:shd w:val="clear" w:color="000000" w:fill="FFFFFF"/>
            <w:vAlign w:val="bottom"/>
            <w:hideMark/>
          </w:tcPr>
          <w:p w14:paraId="2F822BBE" w14:textId="57A76455" w:rsidR="003F135F" w:rsidRPr="008F4DF9" w:rsidRDefault="009154DA" w:rsidP="003F135F">
            <w:pPr>
              <w:ind w:left="0" w:firstLine="0"/>
              <w:rPr>
                <w:rFonts w:eastAsia="Times New Roman" w:cs="Calibri"/>
                <w:b/>
                <w:bCs/>
              </w:rPr>
            </w:pPr>
            <w:r>
              <w:rPr>
                <w:b/>
                <w:bCs/>
              </w:rPr>
              <w:t>Total,</w:t>
            </w:r>
            <w:r w:rsidR="003F135F" w:rsidRPr="008F4DF9">
              <w:rPr>
                <w:b/>
                <w:bCs/>
              </w:rPr>
              <w:t xml:space="preserve"> </w:t>
            </w:r>
            <w:r w:rsidR="006D4727">
              <w:rPr>
                <w:b/>
                <w:bCs/>
              </w:rPr>
              <w:t>P</w:t>
            </w:r>
            <w:r w:rsidR="003F135F" w:rsidRPr="008F4DF9">
              <w:rPr>
                <w:b/>
                <w:bCs/>
              </w:rPr>
              <w:t>asivo corriente</w:t>
            </w:r>
          </w:p>
        </w:tc>
        <w:tc>
          <w:tcPr>
            <w:tcW w:w="890" w:type="dxa"/>
            <w:tcBorders>
              <w:top w:val="nil"/>
              <w:left w:val="nil"/>
              <w:bottom w:val="nil"/>
              <w:right w:val="nil"/>
            </w:tcBorders>
            <w:shd w:val="clear" w:color="000000" w:fill="FFFFFF"/>
            <w:noWrap/>
            <w:vAlign w:val="bottom"/>
            <w:hideMark/>
          </w:tcPr>
          <w:p w14:paraId="2FD4E9D9"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161BEACC" w14:textId="6689C1E4" w:rsidR="003F135F" w:rsidRPr="008F4DF9" w:rsidRDefault="003F135F" w:rsidP="003F135F">
            <w:pPr>
              <w:ind w:left="0" w:firstLine="0"/>
              <w:jc w:val="right"/>
              <w:rPr>
                <w:rFonts w:eastAsia="Times New Roman" w:cs="Calibri"/>
                <w:b/>
                <w:bCs/>
              </w:rPr>
            </w:pPr>
            <w:r w:rsidRPr="008F4DF9">
              <w:rPr>
                <w:b/>
                <w:bCs/>
              </w:rPr>
              <w:t>1</w:t>
            </w:r>
            <w:r w:rsidR="00652E0C" w:rsidRPr="008F4DF9">
              <w:rPr>
                <w:b/>
                <w:bCs/>
              </w:rPr>
              <w:t> </w:t>
            </w:r>
            <w:r w:rsidRPr="008F4DF9">
              <w:rPr>
                <w:b/>
                <w:bCs/>
              </w:rPr>
              <w:t>187</w:t>
            </w:r>
          </w:p>
        </w:tc>
        <w:tc>
          <w:tcPr>
            <w:tcW w:w="164" w:type="dxa"/>
            <w:tcBorders>
              <w:top w:val="nil"/>
              <w:left w:val="nil"/>
              <w:bottom w:val="nil"/>
              <w:right w:val="nil"/>
            </w:tcBorders>
            <w:shd w:val="clear" w:color="000000" w:fill="FFFFFF"/>
            <w:noWrap/>
            <w:vAlign w:val="bottom"/>
            <w:hideMark/>
          </w:tcPr>
          <w:p w14:paraId="480B5A18"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768C1738"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7763AAA3" w14:textId="2E58222D" w:rsidR="003F135F" w:rsidRPr="008F4DF9" w:rsidRDefault="003F135F" w:rsidP="003F135F">
            <w:pPr>
              <w:ind w:left="0" w:firstLine="0"/>
              <w:jc w:val="right"/>
              <w:rPr>
                <w:rFonts w:eastAsia="Times New Roman" w:cs="Calibri"/>
                <w:b/>
                <w:bCs/>
              </w:rPr>
            </w:pPr>
            <w:r w:rsidRPr="008F4DF9">
              <w:rPr>
                <w:b/>
                <w:bCs/>
              </w:rPr>
              <w:t>1</w:t>
            </w:r>
            <w:r w:rsidR="00652E0C" w:rsidRPr="008F4DF9">
              <w:rPr>
                <w:b/>
                <w:bCs/>
              </w:rPr>
              <w:t> </w:t>
            </w:r>
            <w:r w:rsidRPr="008F4DF9">
              <w:rPr>
                <w:b/>
                <w:bCs/>
              </w:rPr>
              <w:t>320</w:t>
            </w:r>
          </w:p>
        </w:tc>
        <w:tc>
          <w:tcPr>
            <w:tcW w:w="164" w:type="dxa"/>
            <w:tcBorders>
              <w:top w:val="nil"/>
              <w:left w:val="nil"/>
              <w:bottom w:val="nil"/>
              <w:right w:val="nil"/>
            </w:tcBorders>
            <w:shd w:val="clear" w:color="000000" w:fill="FFFFFF"/>
            <w:noWrap/>
            <w:vAlign w:val="bottom"/>
            <w:hideMark/>
          </w:tcPr>
          <w:p w14:paraId="4596339D"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7A4BE73F" w14:textId="77777777" w:rsidTr="00E84205">
        <w:trPr>
          <w:trHeight w:val="330"/>
        </w:trPr>
        <w:tc>
          <w:tcPr>
            <w:tcW w:w="4962" w:type="dxa"/>
            <w:tcBorders>
              <w:top w:val="nil"/>
              <w:left w:val="nil"/>
              <w:bottom w:val="nil"/>
              <w:right w:val="nil"/>
            </w:tcBorders>
            <w:shd w:val="clear" w:color="000000" w:fill="FFFFFF"/>
            <w:vAlign w:val="bottom"/>
            <w:hideMark/>
          </w:tcPr>
          <w:p w14:paraId="7100D0A1" w14:textId="77777777" w:rsidR="003F135F" w:rsidRPr="008F4DF9" w:rsidRDefault="003F135F" w:rsidP="003F135F">
            <w:pPr>
              <w:ind w:left="0" w:firstLine="0"/>
              <w:rPr>
                <w:rFonts w:eastAsia="Times New Roman" w:cs="Calibri"/>
                <w:b/>
                <w:bCs/>
              </w:rPr>
            </w:pPr>
            <w:r w:rsidRPr="008F4DF9">
              <w:rPr>
                <w:b/>
                <w:bCs/>
              </w:rPr>
              <w:t> </w:t>
            </w:r>
          </w:p>
        </w:tc>
        <w:tc>
          <w:tcPr>
            <w:tcW w:w="890" w:type="dxa"/>
            <w:tcBorders>
              <w:top w:val="nil"/>
              <w:left w:val="nil"/>
              <w:bottom w:val="nil"/>
              <w:right w:val="nil"/>
            </w:tcBorders>
            <w:shd w:val="clear" w:color="000000" w:fill="FFFFFF"/>
            <w:noWrap/>
            <w:vAlign w:val="bottom"/>
            <w:hideMark/>
          </w:tcPr>
          <w:p w14:paraId="4750B5EF"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7E607EFE"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56F4C910"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07D24F25"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2A32FA3C"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00B6A7B1" w14:textId="77777777" w:rsidR="003F135F" w:rsidRPr="008F4DF9" w:rsidRDefault="003F135F" w:rsidP="003F135F">
            <w:pPr>
              <w:ind w:left="0" w:firstLine="0"/>
              <w:rPr>
                <w:rFonts w:eastAsia="Times New Roman" w:cs="Calibri"/>
              </w:rPr>
            </w:pPr>
            <w:r w:rsidRPr="008F4DF9">
              <w:t> </w:t>
            </w:r>
          </w:p>
        </w:tc>
      </w:tr>
      <w:tr w:rsidR="003F135F" w:rsidRPr="008F4DF9" w14:paraId="2C8684D9" w14:textId="77777777" w:rsidTr="00E84205">
        <w:trPr>
          <w:trHeight w:val="330"/>
        </w:trPr>
        <w:tc>
          <w:tcPr>
            <w:tcW w:w="4962" w:type="dxa"/>
            <w:tcBorders>
              <w:top w:val="nil"/>
              <w:left w:val="nil"/>
              <w:bottom w:val="nil"/>
              <w:right w:val="nil"/>
            </w:tcBorders>
            <w:shd w:val="clear" w:color="000000" w:fill="FFFFFF"/>
            <w:vAlign w:val="bottom"/>
            <w:hideMark/>
          </w:tcPr>
          <w:p w14:paraId="4CF353B3" w14:textId="77777777" w:rsidR="003F135F" w:rsidRPr="008F4DF9" w:rsidRDefault="003F135F" w:rsidP="003F135F">
            <w:pPr>
              <w:ind w:left="0" w:firstLine="0"/>
              <w:rPr>
                <w:rFonts w:eastAsia="Times New Roman" w:cs="Calibri"/>
                <w:b/>
                <w:bCs/>
              </w:rPr>
            </w:pPr>
            <w:r w:rsidRPr="008F4DF9">
              <w:rPr>
                <w:b/>
                <w:bCs/>
              </w:rPr>
              <w:t>Provisiones</w:t>
            </w:r>
          </w:p>
        </w:tc>
        <w:tc>
          <w:tcPr>
            <w:tcW w:w="890" w:type="dxa"/>
            <w:tcBorders>
              <w:top w:val="nil"/>
              <w:left w:val="nil"/>
              <w:bottom w:val="nil"/>
              <w:right w:val="nil"/>
            </w:tcBorders>
            <w:shd w:val="clear" w:color="000000" w:fill="FFFFFF"/>
            <w:noWrap/>
            <w:vAlign w:val="bottom"/>
            <w:hideMark/>
          </w:tcPr>
          <w:p w14:paraId="2DDECA21"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56FD0E22"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5140664"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2C461494"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17903AF9"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133327B2" w14:textId="77777777" w:rsidR="003F135F" w:rsidRPr="008F4DF9" w:rsidRDefault="003F135F" w:rsidP="003F135F">
            <w:pPr>
              <w:ind w:left="0" w:firstLine="0"/>
              <w:rPr>
                <w:rFonts w:eastAsia="Times New Roman" w:cs="Calibri"/>
              </w:rPr>
            </w:pPr>
            <w:r w:rsidRPr="008F4DF9">
              <w:t> </w:t>
            </w:r>
          </w:p>
        </w:tc>
      </w:tr>
      <w:tr w:rsidR="003F135F" w:rsidRPr="008F4DF9" w14:paraId="31173F0C" w14:textId="77777777" w:rsidTr="00E84205">
        <w:trPr>
          <w:trHeight w:val="330"/>
        </w:trPr>
        <w:tc>
          <w:tcPr>
            <w:tcW w:w="4962" w:type="dxa"/>
            <w:tcBorders>
              <w:top w:val="nil"/>
              <w:left w:val="nil"/>
              <w:bottom w:val="nil"/>
              <w:right w:val="nil"/>
            </w:tcBorders>
            <w:shd w:val="clear" w:color="000000" w:fill="FFFFFF"/>
            <w:vAlign w:val="bottom"/>
            <w:hideMark/>
          </w:tcPr>
          <w:p w14:paraId="3FA3409D" w14:textId="4982F740" w:rsidR="003F135F" w:rsidRPr="008F4DF9" w:rsidRDefault="003F135F" w:rsidP="003F135F">
            <w:pPr>
              <w:ind w:left="0" w:firstLine="0"/>
              <w:rPr>
                <w:rFonts w:eastAsia="Times New Roman" w:cs="Calibri"/>
              </w:rPr>
            </w:pPr>
            <w:r w:rsidRPr="008F4DF9">
              <w:t>Repatriación del personal</w:t>
            </w:r>
          </w:p>
        </w:tc>
        <w:tc>
          <w:tcPr>
            <w:tcW w:w="890" w:type="dxa"/>
            <w:tcBorders>
              <w:top w:val="nil"/>
              <w:left w:val="nil"/>
              <w:bottom w:val="nil"/>
              <w:right w:val="nil"/>
            </w:tcBorders>
            <w:shd w:val="clear" w:color="000000" w:fill="FFFFFF"/>
            <w:noWrap/>
            <w:vAlign w:val="bottom"/>
            <w:hideMark/>
          </w:tcPr>
          <w:p w14:paraId="74F2A152" w14:textId="77777777" w:rsidR="003F135F" w:rsidRPr="008F4DF9" w:rsidRDefault="003F135F" w:rsidP="003F135F">
            <w:pPr>
              <w:ind w:left="0" w:firstLine="0"/>
              <w:jc w:val="center"/>
              <w:rPr>
                <w:rFonts w:eastAsia="Times New Roman" w:cs="Calibri"/>
              </w:rPr>
            </w:pPr>
            <w:r w:rsidRPr="008F4DF9">
              <w:t>5</w:t>
            </w:r>
          </w:p>
        </w:tc>
        <w:tc>
          <w:tcPr>
            <w:tcW w:w="1215" w:type="dxa"/>
            <w:tcBorders>
              <w:top w:val="nil"/>
              <w:left w:val="nil"/>
              <w:bottom w:val="nil"/>
              <w:right w:val="nil"/>
            </w:tcBorders>
            <w:shd w:val="clear" w:color="000000" w:fill="FFFFFF"/>
            <w:noWrap/>
            <w:vAlign w:val="bottom"/>
            <w:hideMark/>
          </w:tcPr>
          <w:p w14:paraId="1B23C246" w14:textId="77777777" w:rsidR="003F135F" w:rsidRPr="008F4DF9" w:rsidRDefault="003F135F" w:rsidP="003F135F">
            <w:pPr>
              <w:ind w:left="0" w:firstLine="0"/>
              <w:jc w:val="right"/>
              <w:rPr>
                <w:rFonts w:eastAsia="Times New Roman" w:cs="Calibri"/>
              </w:rPr>
            </w:pPr>
            <w:r w:rsidRPr="008F4DF9">
              <w:t>150</w:t>
            </w:r>
          </w:p>
        </w:tc>
        <w:tc>
          <w:tcPr>
            <w:tcW w:w="164" w:type="dxa"/>
            <w:tcBorders>
              <w:top w:val="nil"/>
              <w:left w:val="nil"/>
              <w:bottom w:val="nil"/>
              <w:right w:val="nil"/>
            </w:tcBorders>
            <w:shd w:val="clear" w:color="000000" w:fill="FFFFFF"/>
            <w:noWrap/>
            <w:vAlign w:val="bottom"/>
            <w:hideMark/>
          </w:tcPr>
          <w:p w14:paraId="45E0B818"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9034131"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6CE8D1C9" w14:textId="77777777" w:rsidR="003F135F" w:rsidRPr="008F4DF9" w:rsidRDefault="003F135F" w:rsidP="003F135F">
            <w:pPr>
              <w:ind w:left="0" w:firstLine="0"/>
              <w:jc w:val="right"/>
              <w:rPr>
                <w:rFonts w:eastAsia="Times New Roman" w:cs="Calibri"/>
              </w:rPr>
            </w:pPr>
            <w:r w:rsidRPr="008F4DF9">
              <w:t>164</w:t>
            </w:r>
          </w:p>
        </w:tc>
        <w:tc>
          <w:tcPr>
            <w:tcW w:w="164" w:type="dxa"/>
            <w:tcBorders>
              <w:top w:val="nil"/>
              <w:left w:val="nil"/>
              <w:bottom w:val="nil"/>
              <w:right w:val="nil"/>
            </w:tcBorders>
            <w:shd w:val="clear" w:color="000000" w:fill="FFFFFF"/>
            <w:noWrap/>
            <w:vAlign w:val="bottom"/>
            <w:hideMark/>
          </w:tcPr>
          <w:p w14:paraId="3AC4F5D2" w14:textId="77777777" w:rsidR="003F135F" w:rsidRPr="008F4DF9" w:rsidRDefault="003F135F" w:rsidP="003F135F">
            <w:pPr>
              <w:ind w:left="0" w:firstLine="0"/>
              <w:rPr>
                <w:rFonts w:eastAsia="Times New Roman" w:cs="Calibri"/>
              </w:rPr>
            </w:pPr>
            <w:r w:rsidRPr="008F4DF9">
              <w:t> </w:t>
            </w:r>
          </w:p>
        </w:tc>
      </w:tr>
      <w:tr w:rsidR="003F135F" w:rsidRPr="008F4DF9" w14:paraId="6012525C" w14:textId="77777777" w:rsidTr="00E84205">
        <w:trPr>
          <w:trHeight w:val="330"/>
        </w:trPr>
        <w:tc>
          <w:tcPr>
            <w:tcW w:w="4962" w:type="dxa"/>
            <w:tcBorders>
              <w:top w:val="nil"/>
              <w:left w:val="nil"/>
              <w:bottom w:val="nil"/>
              <w:right w:val="nil"/>
            </w:tcBorders>
            <w:shd w:val="clear" w:color="000000" w:fill="FFFFFF"/>
            <w:vAlign w:val="bottom"/>
            <w:hideMark/>
          </w:tcPr>
          <w:p w14:paraId="63DA8D51" w14:textId="40541EAD" w:rsidR="003F135F" w:rsidRPr="008F4DF9" w:rsidRDefault="003F135F" w:rsidP="003F135F">
            <w:pPr>
              <w:ind w:left="0" w:firstLine="0"/>
              <w:rPr>
                <w:rFonts w:eastAsia="Times New Roman" w:cs="Calibri"/>
              </w:rPr>
            </w:pPr>
            <w:r w:rsidRPr="008F4DF9">
              <w:t xml:space="preserve">Vacaciones del personal </w:t>
            </w:r>
          </w:p>
        </w:tc>
        <w:tc>
          <w:tcPr>
            <w:tcW w:w="890" w:type="dxa"/>
            <w:tcBorders>
              <w:top w:val="nil"/>
              <w:left w:val="nil"/>
              <w:bottom w:val="nil"/>
              <w:right w:val="nil"/>
            </w:tcBorders>
            <w:shd w:val="clear" w:color="000000" w:fill="FFFFFF"/>
            <w:noWrap/>
            <w:vAlign w:val="bottom"/>
            <w:hideMark/>
          </w:tcPr>
          <w:p w14:paraId="526C5416" w14:textId="77777777" w:rsidR="003F135F" w:rsidRPr="008F4DF9" w:rsidRDefault="003F135F" w:rsidP="003F135F">
            <w:pPr>
              <w:ind w:left="0" w:firstLine="0"/>
              <w:jc w:val="center"/>
              <w:rPr>
                <w:rFonts w:eastAsia="Times New Roman" w:cs="Calibri"/>
              </w:rPr>
            </w:pPr>
            <w:r w:rsidRPr="008F4DF9">
              <w:t>5</w:t>
            </w:r>
          </w:p>
        </w:tc>
        <w:tc>
          <w:tcPr>
            <w:tcW w:w="1215" w:type="dxa"/>
            <w:tcBorders>
              <w:top w:val="nil"/>
              <w:left w:val="nil"/>
              <w:bottom w:val="nil"/>
              <w:right w:val="nil"/>
            </w:tcBorders>
            <w:shd w:val="clear" w:color="000000" w:fill="FFFFFF"/>
            <w:noWrap/>
            <w:vAlign w:val="bottom"/>
            <w:hideMark/>
          </w:tcPr>
          <w:p w14:paraId="20E2ACE8" w14:textId="77777777" w:rsidR="003F135F" w:rsidRPr="008F4DF9" w:rsidRDefault="003F135F" w:rsidP="003F135F">
            <w:pPr>
              <w:ind w:left="0" w:firstLine="0"/>
              <w:jc w:val="right"/>
              <w:rPr>
                <w:rFonts w:eastAsia="Times New Roman" w:cs="Calibri"/>
              </w:rPr>
            </w:pPr>
            <w:r w:rsidRPr="008F4DF9">
              <w:t>137</w:t>
            </w:r>
          </w:p>
        </w:tc>
        <w:tc>
          <w:tcPr>
            <w:tcW w:w="164" w:type="dxa"/>
            <w:tcBorders>
              <w:top w:val="nil"/>
              <w:left w:val="nil"/>
              <w:bottom w:val="nil"/>
              <w:right w:val="nil"/>
            </w:tcBorders>
            <w:shd w:val="clear" w:color="000000" w:fill="FFFFFF"/>
            <w:noWrap/>
            <w:vAlign w:val="bottom"/>
            <w:hideMark/>
          </w:tcPr>
          <w:p w14:paraId="330FFCC0"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07601BA2"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0D10CD14" w14:textId="77777777" w:rsidR="003F135F" w:rsidRPr="008F4DF9" w:rsidRDefault="003F135F" w:rsidP="003F135F">
            <w:pPr>
              <w:ind w:left="0" w:firstLine="0"/>
              <w:jc w:val="right"/>
              <w:rPr>
                <w:rFonts w:eastAsia="Times New Roman" w:cs="Calibri"/>
              </w:rPr>
            </w:pPr>
            <w:r w:rsidRPr="008F4DF9">
              <w:t>141</w:t>
            </w:r>
          </w:p>
        </w:tc>
        <w:tc>
          <w:tcPr>
            <w:tcW w:w="164" w:type="dxa"/>
            <w:tcBorders>
              <w:top w:val="nil"/>
              <w:left w:val="nil"/>
              <w:bottom w:val="nil"/>
              <w:right w:val="nil"/>
            </w:tcBorders>
            <w:shd w:val="clear" w:color="000000" w:fill="FFFFFF"/>
            <w:noWrap/>
            <w:vAlign w:val="bottom"/>
            <w:hideMark/>
          </w:tcPr>
          <w:p w14:paraId="589826B8" w14:textId="77777777" w:rsidR="003F135F" w:rsidRPr="008F4DF9" w:rsidRDefault="003F135F" w:rsidP="003F135F">
            <w:pPr>
              <w:ind w:left="0" w:firstLine="0"/>
              <w:rPr>
                <w:rFonts w:eastAsia="Times New Roman" w:cs="Calibri"/>
              </w:rPr>
            </w:pPr>
            <w:r w:rsidRPr="008F4DF9">
              <w:t> </w:t>
            </w:r>
          </w:p>
        </w:tc>
      </w:tr>
      <w:tr w:rsidR="003F135F" w:rsidRPr="008F4DF9" w14:paraId="6587FC98" w14:textId="77777777" w:rsidTr="00E84205">
        <w:trPr>
          <w:trHeight w:val="330"/>
        </w:trPr>
        <w:tc>
          <w:tcPr>
            <w:tcW w:w="4962" w:type="dxa"/>
            <w:tcBorders>
              <w:top w:val="nil"/>
              <w:left w:val="nil"/>
              <w:bottom w:val="nil"/>
              <w:right w:val="nil"/>
            </w:tcBorders>
            <w:shd w:val="clear" w:color="000000" w:fill="FFFFFF"/>
            <w:vAlign w:val="bottom"/>
            <w:hideMark/>
          </w:tcPr>
          <w:p w14:paraId="39EE7461" w14:textId="7629B72C" w:rsidR="003F135F" w:rsidRPr="008F4DF9" w:rsidRDefault="003F135F" w:rsidP="003F135F">
            <w:pPr>
              <w:ind w:left="0" w:firstLine="0"/>
              <w:rPr>
                <w:rFonts w:eastAsia="Times New Roman" w:cs="Calibri"/>
              </w:rPr>
            </w:pPr>
            <w:r w:rsidRPr="008F4DF9">
              <w:t>Separación del personal</w:t>
            </w:r>
          </w:p>
        </w:tc>
        <w:tc>
          <w:tcPr>
            <w:tcW w:w="890" w:type="dxa"/>
            <w:tcBorders>
              <w:top w:val="nil"/>
              <w:left w:val="nil"/>
              <w:bottom w:val="nil"/>
              <w:right w:val="nil"/>
            </w:tcBorders>
            <w:shd w:val="clear" w:color="000000" w:fill="FFFFFF"/>
            <w:noWrap/>
            <w:vAlign w:val="bottom"/>
            <w:hideMark/>
          </w:tcPr>
          <w:p w14:paraId="0BF388BB" w14:textId="77777777" w:rsidR="003F135F" w:rsidRPr="008F4DF9" w:rsidRDefault="003F135F" w:rsidP="003F135F">
            <w:pPr>
              <w:ind w:left="0" w:firstLine="0"/>
              <w:jc w:val="center"/>
              <w:rPr>
                <w:rFonts w:eastAsia="Times New Roman" w:cs="Calibri"/>
              </w:rPr>
            </w:pPr>
            <w:r w:rsidRPr="008F4DF9">
              <w:t>5</w:t>
            </w:r>
          </w:p>
        </w:tc>
        <w:tc>
          <w:tcPr>
            <w:tcW w:w="1215" w:type="dxa"/>
            <w:tcBorders>
              <w:top w:val="nil"/>
              <w:left w:val="nil"/>
              <w:bottom w:val="single" w:sz="4" w:space="0" w:color="auto"/>
              <w:right w:val="nil"/>
            </w:tcBorders>
            <w:shd w:val="clear" w:color="000000" w:fill="FFFFFF"/>
            <w:noWrap/>
            <w:vAlign w:val="bottom"/>
            <w:hideMark/>
          </w:tcPr>
          <w:p w14:paraId="18D11918" w14:textId="77777777" w:rsidR="003F135F" w:rsidRPr="008F4DF9" w:rsidRDefault="003F135F" w:rsidP="003F135F">
            <w:pPr>
              <w:ind w:left="0" w:firstLine="0"/>
              <w:jc w:val="right"/>
              <w:rPr>
                <w:rFonts w:eastAsia="Times New Roman" w:cs="Calibri"/>
              </w:rPr>
            </w:pPr>
            <w:r w:rsidRPr="008F4DF9">
              <w:t>154</w:t>
            </w:r>
          </w:p>
        </w:tc>
        <w:tc>
          <w:tcPr>
            <w:tcW w:w="164" w:type="dxa"/>
            <w:tcBorders>
              <w:top w:val="nil"/>
              <w:left w:val="nil"/>
              <w:bottom w:val="single" w:sz="4" w:space="0" w:color="auto"/>
              <w:right w:val="nil"/>
            </w:tcBorders>
            <w:shd w:val="clear" w:color="000000" w:fill="FFFFFF"/>
            <w:noWrap/>
            <w:vAlign w:val="bottom"/>
            <w:hideMark/>
          </w:tcPr>
          <w:p w14:paraId="28BC792C"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single" w:sz="4" w:space="0" w:color="auto"/>
              <w:right w:val="nil"/>
            </w:tcBorders>
            <w:shd w:val="clear" w:color="000000" w:fill="D9D9D9"/>
            <w:noWrap/>
            <w:vAlign w:val="bottom"/>
            <w:hideMark/>
          </w:tcPr>
          <w:p w14:paraId="61816373"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single" w:sz="4" w:space="0" w:color="auto"/>
              <w:right w:val="nil"/>
            </w:tcBorders>
            <w:shd w:val="clear" w:color="000000" w:fill="FFFFFF"/>
            <w:noWrap/>
            <w:vAlign w:val="bottom"/>
            <w:hideMark/>
          </w:tcPr>
          <w:p w14:paraId="3BD12425" w14:textId="77777777" w:rsidR="003F135F" w:rsidRPr="008F4DF9" w:rsidRDefault="003F135F" w:rsidP="003F135F">
            <w:pPr>
              <w:ind w:left="0" w:firstLine="0"/>
              <w:jc w:val="right"/>
              <w:rPr>
                <w:rFonts w:eastAsia="Times New Roman" w:cs="Calibri"/>
              </w:rPr>
            </w:pPr>
            <w:r w:rsidRPr="008F4DF9">
              <w:t>147</w:t>
            </w:r>
          </w:p>
        </w:tc>
        <w:tc>
          <w:tcPr>
            <w:tcW w:w="164" w:type="dxa"/>
            <w:tcBorders>
              <w:top w:val="nil"/>
              <w:left w:val="nil"/>
              <w:bottom w:val="nil"/>
              <w:right w:val="nil"/>
            </w:tcBorders>
            <w:shd w:val="clear" w:color="000000" w:fill="FFFFFF"/>
            <w:noWrap/>
            <w:vAlign w:val="bottom"/>
            <w:hideMark/>
          </w:tcPr>
          <w:p w14:paraId="61647276" w14:textId="77777777" w:rsidR="003F135F" w:rsidRPr="008F4DF9" w:rsidRDefault="003F135F" w:rsidP="003F135F">
            <w:pPr>
              <w:ind w:left="0" w:firstLine="0"/>
              <w:rPr>
                <w:rFonts w:eastAsia="Times New Roman" w:cs="Calibri"/>
              </w:rPr>
            </w:pPr>
            <w:r w:rsidRPr="008F4DF9">
              <w:t> </w:t>
            </w:r>
          </w:p>
        </w:tc>
      </w:tr>
      <w:tr w:rsidR="003F135F" w:rsidRPr="008F4DF9" w14:paraId="59297D70" w14:textId="77777777" w:rsidTr="00E84205">
        <w:trPr>
          <w:trHeight w:val="330"/>
        </w:trPr>
        <w:tc>
          <w:tcPr>
            <w:tcW w:w="4962" w:type="dxa"/>
            <w:tcBorders>
              <w:top w:val="nil"/>
              <w:left w:val="nil"/>
              <w:bottom w:val="nil"/>
              <w:right w:val="nil"/>
            </w:tcBorders>
            <w:shd w:val="clear" w:color="000000" w:fill="FFFFFF"/>
            <w:vAlign w:val="bottom"/>
            <w:hideMark/>
          </w:tcPr>
          <w:p w14:paraId="2CF24A5B" w14:textId="46A27C5B" w:rsidR="003F135F" w:rsidRPr="008F4DF9" w:rsidRDefault="009154DA" w:rsidP="003F135F">
            <w:pPr>
              <w:ind w:left="0" w:firstLine="0"/>
              <w:rPr>
                <w:rFonts w:eastAsia="Times New Roman" w:cs="Calibri"/>
                <w:b/>
                <w:bCs/>
              </w:rPr>
            </w:pPr>
            <w:r>
              <w:rPr>
                <w:b/>
                <w:bCs/>
              </w:rPr>
              <w:t>Total,</w:t>
            </w:r>
            <w:r w:rsidR="003F135F" w:rsidRPr="008F4DF9">
              <w:rPr>
                <w:b/>
                <w:bCs/>
              </w:rPr>
              <w:t xml:space="preserve"> </w:t>
            </w:r>
            <w:r w:rsidR="006D4727">
              <w:rPr>
                <w:b/>
                <w:bCs/>
              </w:rPr>
              <w:t>P</w:t>
            </w:r>
            <w:r w:rsidR="003F135F" w:rsidRPr="008F4DF9">
              <w:rPr>
                <w:b/>
                <w:bCs/>
              </w:rPr>
              <w:t>rovisiones</w:t>
            </w:r>
          </w:p>
        </w:tc>
        <w:tc>
          <w:tcPr>
            <w:tcW w:w="890" w:type="dxa"/>
            <w:tcBorders>
              <w:top w:val="nil"/>
              <w:left w:val="nil"/>
              <w:bottom w:val="nil"/>
              <w:right w:val="nil"/>
            </w:tcBorders>
            <w:shd w:val="clear" w:color="000000" w:fill="FFFFFF"/>
            <w:noWrap/>
            <w:vAlign w:val="bottom"/>
            <w:hideMark/>
          </w:tcPr>
          <w:p w14:paraId="661B578D"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41FABBE7" w14:textId="77777777" w:rsidR="003F135F" w:rsidRPr="008F4DF9" w:rsidRDefault="003F135F" w:rsidP="003F135F">
            <w:pPr>
              <w:ind w:left="0" w:firstLine="0"/>
              <w:jc w:val="right"/>
              <w:rPr>
                <w:rFonts w:eastAsia="Times New Roman" w:cs="Calibri"/>
                <w:b/>
                <w:bCs/>
              </w:rPr>
            </w:pPr>
            <w:r w:rsidRPr="008F4DF9">
              <w:rPr>
                <w:b/>
                <w:bCs/>
              </w:rPr>
              <w:t>441</w:t>
            </w:r>
          </w:p>
        </w:tc>
        <w:tc>
          <w:tcPr>
            <w:tcW w:w="164" w:type="dxa"/>
            <w:tcBorders>
              <w:top w:val="nil"/>
              <w:left w:val="nil"/>
              <w:bottom w:val="nil"/>
              <w:right w:val="nil"/>
            </w:tcBorders>
            <w:shd w:val="clear" w:color="000000" w:fill="FFFFFF"/>
            <w:noWrap/>
            <w:vAlign w:val="bottom"/>
            <w:hideMark/>
          </w:tcPr>
          <w:p w14:paraId="4B07542D"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73351238"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5608E04F" w14:textId="77777777" w:rsidR="003F135F" w:rsidRPr="008F4DF9" w:rsidRDefault="003F135F" w:rsidP="003F135F">
            <w:pPr>
              <w:ind w:left="0" w:firstLine="0"/>
              <w:jc w:val="right"/>
              <w:rPr>
                <w:rFonts w:eastAsia="Times New Roman" w:cs="Calibri"/>
                <w:b/>
                <w:bCs/>
              </w:rPr>
            </w:pPr>
            <w:r w:rsidRPr="008F4DF9">
              <w:rPr>
                <w:b/>
                <w:bCs/>
              </w:rPr>
              <w:t>452</w:t>
            </w:r>
          </w:p>
        </w:tc>
        <w:tc>
          <w:tcPr>
            <w:tcW w:w="164" w:type="dxa"/>
            <w:tcBorders>
              <w:top w:val="nil"/>
              <w:left w:val="nil"/>
              <w:bottom w:val="nil"/>
              <w:right w:val="nil"/>
            </w:tcBorders>
            <w:shd w:val="clear" w:color="000000" w:fill="FFFFFF"/>
            <w:noWrap/>
            <w:vAlign w:val="bottom"/>
            <w:hideMark/>
          </w:tcPr>
          <w:p w14:paraId="2D921B2E"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639BC391" w14:textId="77777777" w:rsidTr="00E84205">
        <w:trPr>
          <w:trHeight w:val="330"/>
        </w:trPr>
        <w:tc>
          <w:tcPr>
            <w:tcW w:w="4962" w:type="dxa"/>
            <w:tcBorders>
              <w:top w:val="nil"/>
              <w:left w:val="nil"/>
              <w:bottom w:val="nil"/>
              <w:right w:val="nil"/>
            </w:tcBorders>
            <w:shd w:val="clear" w:color="000000" w:fill="FFFFFF"/>
            <w:vAlign w:val="bottom"/>
            <w:hideMark/>
          </w:tcPr>
          <w:p w14:paraId="27BE27B4" w14:textId="77777777" w:rsidR="003F135F" w:rsidRPr="008F4DF9" w:rsidRDefault="003F135F" w:rsidP="003F135F">
            <w:pPr>
              <w:ind w:left="0" w:firstLine="0"/>
              <w:rPr>
                <w:rFonts w:eastAsia="Times New Roman" w:cs="Calibri"/>
                <w:b/>
                <w:bCs/>
              </w:rPr>
            </w:pPr>
            <w:r w:rsidRPr="008F4DF9">
              <w:rPr>
                <w:b/>
                <w:bCs/>
              </w:rPr>
              <w:t> </w:t>
            </w:r>
          </w:p>
        </w:tc>
        <w:tc>
          <w:tcPr>
            <w:tcW w:w="890" w:type="dxa"/>
            <w:tcBorders>
              <w:top w:val="nil"/>
              <w:left w:val="nil"/>
              <w:bottom w:val="nil"/>
              <w:right w:val="nil"/>
            </w:tcBorders>
            <w:shd w:val="clear" w:color="000000" w:fill="FFFFFF"/>
            <w:noWrap/>
            <w:vAlign w:val="bottom"/>
            <w:hideMark/>
          </w:tcPr>
          <w:p w14:paraId="4505DB17"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0CB2CBC3" w14:textId="77777777" w:rsidR="003F135F" w:rsidRPr="008F4DF9" w:rsidRDefault="003F135F" w:rsidP="003F135F">
            <w:pPr>
              <w:ind w:left="0" w:firstLine="0"/>
              <w:rPr>
                <w:rFonts w:eastAsia="Times New Roman" w:cs="Calibri"/>
                <w:b/>
                <w:bCs/>
              </w:rPr>
            </w:pPr>
            <w:r w:rsidRPr="008F4DF9">
              <w:rPr>
                <w:b/>
                <w:bCs/>
              </w:rPr>
              <w:t> </w:t>
            </w:r>
          </w:p>
        </w:tc>
        <w:tc>
          <w:tcPr>
            <w:tcW w:w="164" w:type="dxa"/>
            <w:tcBorders>
              <w:top w:val="nil"/>
              <w:left w:val="nil"/>
              <w:bottom w:val="nil"/>
              <w:right w:val="nil"/>
            </w:tcBorders>
            <w:shd w:val="clear" w:color="000000" w:fill="FFFFFF"/>
            <w:noWrap/>
            <w:vAlign w:val="bottom"/>
            <w:hideMark/>
          </w:tcPr>
          <w:p w14:paraId="423FB97A"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21BB5BA8"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2BB809CF" w14:textId="77777777" w:rsidR="003F135F" w:rsidRPr="008F4DF9" w:rsidRDefault="003F135F" w:rsidP="003F135F">
            <w:pPr>
              <w:ind w:left="0" w:firstLine="0"/>
              <w:rPr>
                <w:rFonts w:eastAsia="Times New Roman" w:cs="Calibri"/>
                <w:b/>
                <w:bCs/>
              </w:rPr>
            </w:pPr>
            <w:r w:rsidRPr="008F4DF9">
              <w:rPr>
                <w:b/>
                <w:bCs/>
              </w:rPr>
              <w:t> </w:t>
            </w:r>
          </w:p>
        </w:tc>
        <w:tc>
          <w:tcPr>
            <w:tcW w:w="164" w:type="dxa"/>
            <w:tcBorders>
              <w:top w:val="nil"/>
              <w:left w:val="nil"/>
              <w:bottom w:val="nil"/>
              <w:right w:val="nil"/>
            </w:tcBorders>
            <w:shd w:val="clear" w:color="000000" w:fill="FFFFFF"/>
            <w:noWrap/>
            <w:vAlign w:val="bottom"/>
            <w:hideMark/>
          </w:tcPr>
          <w:p w14:paraId="4E5D1281"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4603F650" w14:textId="77777777" w:rsidTr="00E84205">
        <w:trPr>
          <w:trHeight w:val="330"/>
        </w:trPr>
        <w:tc>
          <w:tcPr>
            <w:tcW w:w="4962" w:type="dxa"/>
            <w:tcBorders>
              <w:top w:val="nil"/>
              <w:left w:val="nil"/>
              <w:bottom w:val="nil"/>
              <w:right w:val="nil"/>
            </w:tcBorders>
            <w:shd w:val="clear" w:color="000000" w:fill="FFFFFF"/>
            <w:vAlign w:val="bottom"/>
            <w:hideMark/>
          </w:tcPr>
          <w:p w14:paraId="69AA704F" w14:textId="77777777" w:rsidR="003F135F" w:rsidRPr="008F4DF9" w:rsidRDefault="003F135F" w:rsidP="003F135F">
            <w:pPr>
              <w:ind w:left="0" w:firstLine="0"/>
              <w:rPr>
                <w:rFonts w:eastAsia="Times New Roman" w:cs="Calibri"/>
                <w:b/>
                <w:bCs/>
              </w:rPr>
            </w:pPr>
            <w:r w:rsidRPr="008F4DF9">
              <w:rPr>
                <w:b/>
                <w:bCs/>
              </w:rPr>
              <w:t>Fondo y reservas</w:t>
            </w:r>
          </w:p>
        </w:tc>
        <w:tc>
          <w:tcPr>
            <w:tcW w:w="890" w:type="dxa"/>
            <w:tcBorders>
              <w:top w:val="nil"/>
              <w:left w:val="nil"/>
              <w:bottom w:val="nil"/>
              <w:right w:val="nil"/>
            </w:tcBorders>
            <w:shd w:val="clear" w:color="000000" w:fill="FFFFFF"/>
            <w:noWrap/>
            <w:vAlign w:val="bottom"/>
            <w:hideMark/>
          </w:tcPr>
          <w:p w14:paraId="4AA37059"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7B19E483"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2B608228"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306E0915"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085F2839" w14:textId="77777777" w:rsidR="003F135F" w:rsidRPr="008F4DF9" w:rsidRDefault="003F135F" w:rsidP="003F135F">
            <w:pPr>
              <w:ind w:left="0" w:firstLine="0"/>
              <w:rPr>
                <w:rFonts w:eastAsia="Times New Roman" w:cs="Calibri"/>
              </w:rPr>
            </w:pPr>
            <w:r w:rsidRPr="008F4DF9">
              <w:t> </w:t>
            </w:r>
          </w:p>
        </w:tc>
        <w:tc>
          <w:tcPr>
            <w:tcW w:w="164" w:type="dxa"/>
            <w:tcBorders>
              <w:top w:val="nil"/>
              <w:left w:val="nil"/>
              <w:bottom w:val="nil"/>
              <w:right w:val="nil"/>
            </w:tcBorders>
            <w:shd w:val="clear" w:color="000000" w:fill="FFFFFF"/>
            <w:noWrap/>
            <w:vAlign w:val="bottom"/>
            <w:hideMark/>
          </w:tcPr>
          <w:p w14:paraId="4596D205" w14:textId="77777777" w:rsidR="003F135F" w:rsidRPr="008F4DF9" w:rsidRDefault="003F135F" w:rsidP="003F135F">
            <w:pPr>
              <w:ind w:left="0" w:firstLine="0"/>
              <w:rPr>
                <w:rFonts w:eastAsia="Times New Roman" w:cs="Calibri"/>
              </w:rPr>
            </w:pPr>
            <w:r w:rsidRPr="008F4DF9">
              <w:t> </w:t>
            </w:r>
          </w:p>
        </w:tc>
      </w:tr>
      <w:tr w:rsidR="003F135F" w:rsidRPr="008F4DF9" w14:paraId="6E5634BD" w14:textId="77777777" w:rsidTr="00E84205">
        <w:trPr>
          <w:trHeight w:val="330"/>
        </w:trPr>
        <w:tc>
          <w:tcPr>
            <w:tcW w:w="4962" w:type="dxa"/>
            <w:tcBorders>
              <w:top w:val="nil"/>
              <w:left w:val="nil"/>
              <w:bottom w:val="nil"/>
              <w:right w:val="nil"/>
            </w:tcBorders>
            <w:shd w:val="clear" w:color="000000" w:fill="FFFFFF"/>
            <w:vAlign w:val="bottom"/>
            <w:hideMark/>
          </w:tcPr>
          <w:p w14:paraId="210D3581" w14:textId="39651B81" w:rsidR="003F135F" w:rsidRPr="008F4DF9" w:rsidRDefault="003F135F" w:rsidP="003F135F">
            <w:pPr>
              <w:ind w:left="0" w:firstLine="0"/>
              <w:rPr>
                <w:rFonts w:eastAsia="Times New Roman" w:cs="Calibri"/>
              </w:rPr>
            </w:pPr>
            <w:r w:rsidRPr="008F4DF9">
              <w:t>Fondo de reserva básico</w:t>
            </w:r>
          </w:p>
        </w:tc>
        <w:tc>
          <w:tcPr>
            <w:tcW w:w="890" w:type="dxa"/>
            <w:tcBorders>
              <w:top w:val="nil"/>
              <w:left w:val="nil"/>
              <w:bottom w:val="nil"/>
              <w:right w:val="nil"/>
            </w:tcBorders>
            <w:shd w:val="clear" w:color="000000" w:fill="FFFFFF"/>
            <w:noWrap/>
            <w:vAlign w:val="bottom"/>
            <w:hideMark/>
          </w:tcPr>
          <w:p w14:paraId="12CA528F" w14:textId="77777777" w:rsidR="003F135F" w:rsidRPr="008F4DF9" w:rsidRDefault="003F135F" w:rsidP="003F135F">
            <w:pPr>
              <w:ind w:left="0" w:firstLine="0"/>
              <w:jc w:val="center"/>
              <w:rPr>
                <w:rFonts w:eastAsia="Times New Roman" w:cs="Calibri"/>
              </w:rPr>
            </w:pPr>
            <w:r w:rsidRPr="008F4DF9">
              <w:t>11</w:t>
            </w:r>
          </w:p>
        </w:tc>
        <w:tc>
          <w:tcPr>
            <w:tcW w:w="1215" w:type="dxa"/>
            <w:tcBorders>
              <w:top w:val="nil"/>
              <w:left w:val="nil"/>
              <w:bottom w:val="nil"/>
              <w:right w:val="nil"/>
            </w:tcBorders>
            <w:shd w:val="clear" w:color="000000" w:fill="FFFFFF"/>
            <w:noWrap/>
            <w:vAlign w:val="bottom"/>
            <w:hideMark/>
          </w:tcPr>
          <w:p w14:paraId="76CDF05E" w14:textId="2BA491E5" w:rsidR="003F135F" w:rsidRPr="008F4DF9" w:rsidRDefault="003F135F" w:rsidP="003F135F">
            <w:pPr>
              <w:ind w:left="0" w:firstLine="0"/>
              <w:jc w:val="right"/>
              <w:rPr>
                <w:rFonts w:eastAsia="Times New Roman" w:cs="Calibri"/>
              </w:rPr>
            </w:pPr>
            <w:r w:rsidRPr="008F4DF9">
              <w:t>2</w:t>
            </w:r>
            <w:r w:rsidR="00652E0C" w:rsidRPr="008F4DF9">
              <w:t> </w:t>
            </w:r>
            <w:r w:rsidRPr="008F4DF9">
              <w:t>648</w:t>
            </w:r>
          </w:p>
        </w:tc>
        <w:tc>
          <w:tcPr>
            <w:tcW w:w="164" w:type="dxa"/>
            <w:tcBorders>
              <w:top w:val="nil"/>
              <w:left w:val="nil"/>
              <w:bottom w:val="nil"/>
              <w:right w:val="nil"/>
            </w:tcBorders>
            <w:shd w:val="clear" w:color="000000" w:fill="FFFFFF"/>
            <w:noWrap/>
            <w:vAlign w:val="bottom"/>
            <w:hideMark/>
          </w:tcPr>
          <w:p w14:paraId="558B3DBC"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nil"/>
              <w:right w:val="nil"/>
            </w:tcBorders>
            <w:shd w:val="clear" w:color="000000" w:fill="D9D9D9"/>
            <w:noWrap/>
            <w:vAlign w:val="bottom"/>
            <w:hideMark/>
          </w:tcPr>
          <w:p w14:paraId="59CC2B3D"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nil"/>
              <w:right w:val="nil"/>
            </w:tcBorders>
            <w:shd w:val="clear" w:color="000000" w:fill="FFFFFF"/>
            <w:noWrap/>
            <w:vAlign w:val="bottom"/>
            <w:hideMark/>
          </w:tcPr>
          <w:p w14:paraId="08A3AA1E" w14:textId="6D9EDF08" w:rsidR="003F135F" w:rsidRPr="008F4DF9" w:rsidRDefault="003F135F" w:rsidP="003F135F">
            <w:pPr>
              <w:ind w:left="0" w:firstLine="0"/>
              <w:jc w:val="right"/>
              <w:rPr>
                <w:rFonts w:eastAsia="Times New Roman" w:cs="Calibri"/>
              </w:rPr>
            </w:pPr>
            <w:r w:rsidRPr="008F4DF9">
              <w:t>2</w:t>
            </w:r>
            <w:r w:rsidR="00652E0C" w:rsidRPr="008F4DF9">
              <w:t> </w:t>
            </w:r>
            <w:r w:rsidRPr="008F4DF9">
              <w:t>196</w:t>
            </w:r>
          </w:p>
        </w:tc>
        <w:tc>
          <w:tcPr>
            <w:tcW w:w="164" w:type="dxa"/>
            <w:tcBorders>
              <w:top w:val="nil"/>
              <w:left w:val="nil"/>
              <w:bottom w:val="nil"/>
              <w:right w:val="nil"/>
            </w:tcBorders>
            <w:shd w:val="clear" w:color="000000" w:fill="FFFFFF"/>
            <w:noWrap/>
            <w:vAlign w:val="bottom"/>
            <w:hideMark/>
          </w:tcPr>
          <w:p w14:paraId="09C1E40B" w14:textId="77777777" w:rsidR="003F135F" w:rsidRPr="008F4DF9" w:rsidRDefault="003F135F" w:rsidP="003F135F">
            <w:pPr>
              <w:ind w:left="0" w:firstLine="0"/>
              <w:rPr>
                <w:rFonts w:eastAsia="Times New Roman" w:cs="Calibri"/>
              </w:rPr>
            </w:pPr>
            <w:r w:rsidRPr="008F4DF9">
              <w:t> </w:t>
            </w:r>
          </w:p>
        </w:tc>
      </w:tr>
      <w:tr w:rsidR="003F135F" w:rsidRPr="008F4DF9" w14:paraId="7D5A8AF8" w14:textId="77777777" w:rsidTr="00E84205">
        <w:trPr>
          <w:trHeight w:val="330"/>
        </w:trPr>
        <w:tc>
          <w:tcPr>
            <w:tcW w:w="4962" w:type="dxa"/>
            <w:tcBorders>
              <w:top w:val="nil"/>
              <w:left w:val="nil"/>
              <w:bottom w:val="nil"/>
              <w:right w:val="nil"/>
            </w:tcBorders>
            <w:shd w:val="clear" w:color="000000" w:fill="FFFFFF"/>
            <w:vAlign w:val="bottom"/>
            <w:hideMark/>
          </w:tcPr>
          <w:p w14:paraId="7C322015" w14:textId="76DCFBE7" w:rsidR="003F135F" w:rsidRPr="008F4DF9" w:rsidRDefault="003F135F" w:rsidP="003F135F">
            <w:pPr>
              <w:ind w:left="0" w:firstLine="0"/>
              <w:rPr>
                <w:rFonts w:eastAsia="Times New Roman" w:cs="Calibri"/>
              </w:rPr>
            </w:pPr>
            <w:r w:rsidRPr="008F4DF9">
              <w:t>Proyectos no financiados con cargo al presupuesto básico</w:t>
            </w:r>
          </w:p>
        </w:tc>
        <w:tc>
          <w:tcPr>
            <w:tcW w:w="890" w:type="dxa"/>
            <w:tcBorders>
              <w:top w:val="nil"/>
              <w:left w:val="nil"/>
              <w:bottom w:val="nil"/>
              <w:right w:val="nil"/>
            </w:tcBorders>
            <w:shd w:val="clear" w:color="000000" w:fill="FFFFFF"/>
            <w:noWrap/>
            <w:vAlign w:val="bottom"/>
            <w:hideMark/>
          </w:tcPr>
          <w:p w14:paraId="2A05B559" w14:textId="77777777" w:rsidR="003F135F" w:rsidRPr="008F4DF9" w:rsidRDefault="003F135F" w:rsidP="003F135F">
            <w:pPr>
              <w:ind w:left="0" w:firstLine="0"/>
              <w:jc w:val="center"/>
              <w:rPr>
                <w:rFonts w:eastAsia="Times New Roman" w:cs="Calibri"/>
              </w:rPr>
            </w:pPr>
            <w:r w:rsidRPr="008F4DF9">
              <w:t>12</w:t>
            </w:r>
          </w:p>
        </w:tc>
        <w:tc>
          <w:tcPr>
            <w:tcW w:w="1215" w:type="dxa"/>
            <w:tcBorders>
              <w:top w:val="nil"/>
              <w:left w:val="nil"/>
              <w:bottom w:val="single" w:sz="4" w:space="0" w:color="auto"/>
              <w:right w:val="nil"/>
            </w:tcBorders>
            <w:shd w:val="clear" w:color="000000" w:fill="FFFFFF"/>
            <w:noWrap/>
            <w:vAlign w:val="bottom"/>
            <w:hideMark/>
          </w:tcPr>
          <w:p w14:paraId="380AEA94" w14:textId="4856C00E" w:rsidR="003F135F" w:rsidRPr="008F4DF9" w:rsidRDefault="003F135F" w:rsidP="003F135F">
            <w:pPr>
              <w:ind w:left="0" w:firstLine="0"/>
              <w:jc w:val="right"/>
              <w:rPr>
                <w:rFonts w:eastAsia="Times New Roman" w:cs="Calibri"/>
              </w:rPr>
            </w:pPr>
            <w:r w:rsidRPr="008F4DF9">
              <w:t>2</w:t>
            </w:r>
            <w:r w:rsidR="00652E0C" w:rsidRPr="008F4DF9">
              <w:t> </w:t>
            </w:r>
            <w:r w:rsidRPr="008F4DF9">
              <w:t>073</w:t>
            </w:r>
          </w:p>
        </w:tc>
        <w:tc>
          <w:tcPr>
            <w:tcW w:w="164" w:type="dxa"/>
            <w:tcBorders>
              <w:top w:val="nil"/>
              <w:left w:val="nil"/>
              <w:bottom w:val="single" w:sz="4" w:space="0" w:color="auto"/>
              <w:right w:val="nil"/>
            </w:tcBorders>
            <w:shd w:val="clear" w:color="000000" w:fill="FFFFFF"/>
            <w:noWrap/>
            <w:vAlign w:val="bottom"/>
            <w:hideMark/>
          </w:tcPr>
          <w:p w14:paraId="15D6020A" w14:textId="77777777" w:rsidR="003F135F" w:rsidRPr="008F4DF9" w:rsidRDefault="003F135F" w:rsidP="003F135F">
            <w:pPr>
              <w:ind w:left="0" w:firstLine="0"/>
              <w:rPr>
                <w:rFonts w:eastAsia="Times New Roman" w:cs="Calibri"/>
              </w:rPr>
            </w:pPr>
            <w:r w:rsidRPr="008F4DF9">
              <w:t> </w:t>
            </w:r>
          </w:p>
        </w:tc>
        <w:tc>
          <w:tcPr>
            <w:tcW w:w="216" w:type="dxa"/>
            <w:tcBorders>
              <w:top w:val="nil"/>
              <w:left w:val="nil"/>
              <w:bottom w:val="single" w:sz="4" w:space="0" w:color="auto"/>
              <w:right w:val="nil"/>
            </w:tcBorders>
            <w:shd w:val="clear" w:color="000000" w:fill="D9D9D9"/>
            <w:noWrap/>
            <w:vAlign w:val="bottom"/>
            <w:hideMark/>
          </w:tcPr>
          <w:p w14:paraId="4E18FE0B" w14:textId="77777777" w:rsidR="003F135F" w:rsidRPr="008F4DF9" w:rsidRDefault="003F135F" w:rsidP="003F135F">
            <w:pPr>
              <w:ind w:left="0" w:firstLine="0"/>
              <w:rPr>
                <w:rFonts w:eastAsia="Times New Roman" w:cs="Calibri"/>
              </w:rPr>
            </w:pPr>
            <w:r w:rsidRPr="008F4DF9">
              <w:t> </w:t>
            </w:r>
          </w:p>
        </w:tc>
        <w:tc>
          <w:tcPr>
            <w:tcW w:w="1288" w:type="dxa"/>
            <w:tcBorders>
              <w:top w:val="nil"/>
              <w:left w:val="nil"/>
              <w:bottom w:val="single" w:sz="4" w:space="0" w:color="auto"/>
              <w:right w:val="nil"/>
            </w:tcBorders>
            <w:shd w:val="clear" w:color="000000" w:fill="FFFFFF"/>
            <w:noWrap/>
            <w:vAlign w:val="bottom"/>
            <w:hideMark/>
          </w:tcPr>
          <w:p w14:paraId="2FD6BF9E" w14:textId="3DE8C7F9" w:rsidR="003F135F" w:rsidRPr="008F4DF9" w:rsidRDefault="003F135F" w:rsidP="003F135F">
            <w:pPr>
              <w:ind w:left="0" w:firstLine="0"/>
              <w:jc w:val="right"/>
              <w:rPr>
                <w:rFonts w:eastAsia="Times New Roman" w:cs="Calibri"/>
              </w:rPr>
            </w:pPr>
            <w:r w:rsidRPr="008F4DF9">
              <w:t>2</w:t>
            </w:r>
            <w:r w:rsidR="00652E0C" w:rsidRPr="008F4DF9">
              <w:t> </w:t>
            </w:r>
            <w:r w:rsidRPr="008F4DF9">
              <w:t>133</w:t>
            </w:r>
          </w:p>
        </w:tc>
        <w:tc>
          <w:tcPr>
            <w:tcW w:w="164" w:type="dxa"/>
            <w:tcBorders>
              <w:top w:val="nil"/>
              <w:left w:val="nil"/>
              <w:bottom w:val="nil"/>
              <w:right w:val="nil"/>
            </w:tcBorders>
            <w:shd w:val="clear" w:color="000000" w:fill="FFFFFF"/>
            <w:noWrap/>
            <w:vAlign w:val="bottom"/>
            <w:hideMark/>
          </w:tcPr>
          <w:p w14:paraId="5C81DF26" w14:textId="77777777" w:rsidR="003F135F" w:rsidRPr="008F4DF9" w:rsidRDefault="003F135F" w:rsidP="003F135F">
            <w:pPr>
              <w:ind w:left="0" w:firstLine="0"/>
              <w:rPr>
                <w:rFonts w:eastAsia="Times New Roman" w:cs="Calibri"/>
              </w:rPr>
            </w:pPr>
            <w:r w:rsidRPr="008F4DF9">
              <w:t> </w:t>
            </w:r>
          </w:p>
        </w:tc>
      </w:tr>
      <w:tr w:rsidR="003F135F" w:rsidRPr="008F4DF9" w14:paraId="10065621" w14:textId="77777777" w:rsidTr="00E84205">
        <w:trPr>
          <w:trHeight w:val="339"/>
        </w:trPr>
        <w:tc>
          <w:tcPr>
            <w:tcW w:w="4962" w:type="dxa"/>
            <w:tcBorders>
              <w:top w:val="nil"/>
              <w:left w:val="nil"/>
              <w:bottom w:val="nil"/>
              <w:right w:val="nil"/>
            </w:tcBorders>
            <w:shd w:val="clear" w:color="000000" w:fill="FFFFFF"/>
            <w:vAlign w:val="bottom"/>
            <w:hideMark/>
          </w:tcPr>
          <w:p w14:paraId="159247F4" w14:textId="5127B34C" w:rsidR="003F135F" w:rsidRPr="008F4DF9" w:rsidRDefault="009154DA" w:rsidP="003F135F">
            <w:pPr>
              <w:ind w:left="0" w:firstLine="0"/>
              <w:rPr>
                <w:rFonts w:eastAsia="Times New Roman" w:cs="Calibri"/>
                <w:b/>
                <w:bCs/>
              </w:rPr>
            </w:pPr>
            <w:r>
              <w:rPr>
                <w:b/>
                <w:bCs/>
              </w:rPr>
              <w:t>Total,</w:t>
            </w:r>
            <w:r w:rsidR="003F135F" w:rsidRPr="008F4DF9">
              <w:rPr>
                <w:b/>
                <w:bCs/>
              </w:rPr>
              <w:t xml:space="preserve"> </w:t>
            </w:r>
            <w:r w:rsidR="006D4727">
              <w:rPr>
                <w:b/>
                <w:bCs/>
              </w:rPr>
              <w:t>F</w:t>
            </w:r>
            <w:r w:rsidR="003F135F" w:rsidRPr="008F4DF9">
              <w:rPr>
                <w:b/>
                <w:bCs/>
              </w:rPr>
              <w:t>ondo y reservas</w:t>
            </w:r>
          </w:p>
        </w:tc>
        <w:tc>
          <w:tcPr>
            <w:tcW w:w="890" w:type="dxa"/>
            <w:tcBorders>
              <w:top w:val="nil"/>
              <w:left w:val="nil"/>
              <w:bottom w:val="nil"/>
              <w:right w:val="nil"/>
            </w:tcBorders>
            <w:shd w:val="clear" w:color="000000" w:fill="FFFFFF"/>
            <w:noWrap/>
            <w:vAlign w:val="bottom"/>
            <w:hideMark/>
          </w:tcPr>
          <w:p w14:paraId="27DF18DC"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34C972C2" w14:textId="5E7633B1" w:rsidR="003F135F" w:rsidRPr="008F4DF9" w:rsidRDefault="003F135F" w:rsidP="003F135F">
            <w:pPr>
              <w:ind w:left="0" w:firstLine="0"/>
              <w:jc w:val="right"/>
              <w:rPr>
                <w:rFonts w:eastAsia="Times New Roman" w:cs="Calibri"/>
                <w:b/>
                <w:bCs/>
              </w:rPr>
            </w:pPr>
            <w:r w:rsidRPr="008F4DF9">
              <w:rPr>
                <w:b/>
                <w:bCs/>
              </w:rPr>
              <w:t>4</w:t>
            </w:r>
            <w:r w:rsidR="00652E0C" w:rsidRPr="008F4DF9">
              <w:rPr>
                <w:b/>
                <w:bCs/>
              </w:rPr>
              <w:t> </w:t>
            </w:r>
            <w:r w:rsidRPr="008F4DF9">
              <w:rPr>
                <w:b/>
                <w:bCs/>
              </w:rPr>
              <w:t>721</w:t>
            </w:r>
          </w:p>
        </w:tc>
        <w:tc>
          <w:tcPr>
            <w:tcW w:w="164" w:type="dxa"/>
            <w:tcBorders>
              <w:top w:val="nil"/>
              <w:left w:val="nil"/>
              <w:bottom w:val="nil"/>
              <w:right w:val="nil"/>
            </w:tcBorders>
            <w:shd w:val="clear" w:color="000000" w:fill="FFFFFF"/>
            <w:noWrap/>
            <w:vAlign w:val="bottom"/>
            <w:hideMark/>
          </w:tcPr>
          <w:p w14:paraId="2F445737"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6BD2B18B"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0CF2162A" w14:textId="50E92A24" w:rsidR="003F135F" w:rsidRPr="008F4DF9" w:rsidRDefault="003F135F" w:rsidP="003F135F">
            <w:pPr>
              <w:ind w:left="0" w:firstLine="0"/>
              <w:jc w:val="right"/>
              <w:rPr>
                <w:rFonts w:eastAsia="Times New Roman" w:cs="Calibri"/>
                <w:b/>
                <w:bCs/>
              </w:rPr>
            </w:pPr>
            <w:r w:rsidRPr="008F4DF9">
              <w:rPr>
                <w:b/>
                <w:bCs/>
              </w:rPr>
              <w:t>4</w:t>
            </w:r>
            <w:r w:rsidR="00652E0C" w:rsidRPr="008F4DF9">
              <w:rPr>
                <w:b/>
                <w:bCs/>
              </w:rPr>
              <w:t> </w:t>
            </w:r>
            <w:r w:rsidRPr="008F4DF9">
              <w:rPr>
                <w:b/>
                <w:bCs/>
              </w:rPr>
              <w:t>329</w:t>
            </w:r>
          </w:p>
        </w:tc>
        <w:tc>
          <w:tcPr>
            <w:tcW w:w="164" w:type="dxa"/>
            <w:tcBorders>
              <w:top w:val="nil"/>
              <w:left w:val="nil"/>
              <w:bottom w:val="nil"/>
              <w:right w:val="nil"/>
            </w:tcBorders>
            <w:shd w:val="clear" w:color="000000" w:fill="FFFFFF"/>
            <w:noWrap/>
            <w:vAlign w:val="bottom"/>
            <w:hideMark/>
          </w:tcPr>
          <w:p w14:paraId="3E48F5B1"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121D6F5C" w14:textId="77777777" w:rsidTr="00E84205">
        <w:trPr>
          <w:trHeight w:val="288"/>
        </w:trPr>
        <w:tc>
          <w:tcPr>
            <w:tcW w:w="4962" w:type="dxa"/>
            <w:tcBorders>
              <w:top w:val="nil"/>
              <w:left w:val="nil"/>
              <w:bottom w:val="nil"/>
              <w:right w:val="nil"/>
            </w:tcBorders>
            <w:shd w:val="clear" w:color="000000" w:fill="FFFFFF"/>
            <w:vAlign w:val="bottom"/>
            <w:hideMark/>
          </w:tcPr>
          <w:p w14:paraId="5E22E6C2" w14:textId="77777777" w:rsidR="003F135F" w:rsidRPr="008F4DF9" w:rsidRDefault="003F135F" w:rsidP="003F135F">
            <w:pPr>
              <w:ind w:left="0" w:firstLine="0"/>
              <w:rPr>
                <w:rFonts w:eastAsia="Times New Roman" w:cs="Calibri"/>
                <w:b/>
                <w:bCs/>
              </w:rPr>
            </w:pPr>
            <w:r w:rsidRPr="008F4DF9">
              <w:rPr>
                <w:b/>
                <w:bCs/>
              </w:rPr>
              <w:t> </w:t>
            </w:r>
          </w:p>
        </w:tc>
        <w:tc>
          <w:tcPr>
            <w:tcW w:w="890" w:type="dxa"/>
            <w:tcBorders>
              <w:top w:val="nil"/>
              <w:left w:val="nil"/>
              <w:bottom w:val="nil"/>
              <w:right w:val="nil"/>
            </w:tcBorders>
            <w:shd w:val="clear" w:color="000000" w:fill="FFFFFF"/>
            <w:noWrap/>
            <w:vAlign w:val="bottom"/>
            <w:hideMark/>
          </w:tcPr>
          <w:p w14:paraId="7BFB9835" w14:textId="77777777" w:rsidR="003F135F" w:rsidRPr="008F4DF9" w:rsidRDefault="003F135F" w:rsidP="003F135F">
            <w:pPr>
              <w:ind w:left="0" w:firstLine="0"/>
              <w:jc w:val="center"/>
              <w:rPr>
                <w:rFonts w:eastAsia="Times New Roman" w:cs="Calibri"/>
              </w:rPr>
            </w:pPr>
            <w:r w:rsidRPr="008F4DF9">
              <w:t> </w:t>
            </w:r>
          </w:p>
        </w:tc>
        <w:tc>
          <w:tcPr>
            <w:tcW w:w="1215" w:type="dxa"/>
            <w:tcBorders>
              <w:top w:val="nil"/>
              <w:left w:val="nil"/>
              <w:bottom w:val="nil"/>
              <w:right w:val="nil"/>
            </w:tcBorders>
            <w:shd w:val="clear" w:color="000000" w:fill="FFFFFF"/>
            <w:noWrap/>
            <w:vAlign w:val="bottom"/>
            <w:hideMark/>
          </w:tcPr>
          <w:p w14:paraId="7E0B337E" w14:textId="77777777" w:rsidR="003F135F" w:rsidRPr="008F4DF9" w:rsidRDefault="003F135F" w:rsidP="003F135F">
            <w:pPr>
              <w:ind w:left="0" w:firstLine="0"/>
              <w:rPr>
                <w:rFonts w:eastAsia="Times New Roman" w:cs="Calibri"/>
                <w:b/>
                <w:bCs/>
              </w:rPr>
            </w:pPr>
            <w:r w:rsidRPr="008F4DF9">
              <w:rPr>
                <w:b/>
                <w:bCs/>
              </w:rPr>
              <w:t> </w:t>
            </w:r>
          </w:p>
        </w:tc>
        <w:tc>
          <w:tcPr>
            <w:tcW w:w="164" w:type="dxa"/>
            <w:tcBorders>
              <w:top w:val="nil"/>
              <w:left w:val="nil"/>
              <w:bottom w:val="nil"/>
              <w:right w:val="nil"/>
            </w:tcBorders>
            <w:shd w:val="clear" w:color="000000" w:fill="FFFFFF"/>
            <w:noWrap/>
            <w:vAlign w:val="bottom"/>
            <w:hideMark/>
          </w:tcPr>
          <w:p w14:paraId="0EC36DED"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nil"/>
              <w:left w:val="nil"/>
              <w:bottom w:val="nil"/>
              <w:right w:val="nil"/>
            </w:tcBorders>
            <w:shd w:val="clear" w:color="000000" w:fill="D9D9D9"/>
            <w:noWrap/>
            <w:vAlign w:val="bottom"/>
            <w:hideMark/>
          </w:tcPr>
          <w:p w14:paraId="7A5CC807"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nil"/>
              <w:left w:val="nil"/>
              <w:bottom w:val="nil"/>
              <w:right w:val="nil"/>
            </w:tcBorders>
            <w:shd w:val="clear" w:color="000000" w:fill="FFFFFF"/>
            <w:noWrap/>
            <w:vAlign w:val="bottom"/>
            <w:hideMark/>
          </w:tcPr>
          <w:p w14:paraId="5472B7D1" w14:textId="77777777" w:rsidR="003F135F" w:rsidRPr="008F4DF9" w:rsidRDefault="003F135F" w:rsidP="003F135F">
            <w:pPr>
              <w:ind w:left="0" w:firstLine="0"/>
              <w:rPr>
                <w:rFonts w:eastAsia="Times New Roman" w:cs="Calibri"/>
                <w:b/>
                <w:bCs/>
              </w:rPr>
            </w:pPr>
            <w:r w:rsidRPr="008F4DF9">
              <w:rPr>
                <w:b/>
                <w:bCs/>
              </w:rPr>
              <w:t> </w:t>
            </w:r>
          </w:p>
        </w:tc>
        <w:tc>
          <w:tcPr>
            <w:tcW w:w="164" w:type="dxa"/>
            <w:tcBorders>
              <w:top w:val="nil"/>
              <w:left w:val="nil"/>
              <w:bottom w:val="nil"/>
              <w:right w:val="nil"/>
            </w:tcBorders>
            <w:shd w:val="clear" w:color="000000" w:fill="FFFFFF"/>
            <w:noWrap/>
            <w:vAlign w:val="bottom"/>
            <w:hideMark/>
          </w:tcPr>
          <w:p w14:paraId="5002AFC1" w14:textId="77777777" w:rsidR="003F135F" w:rsidRPr="008F4DF9" w:rsidRDefault="003F135F" w:rsidP="003F135F">
            <w:pPr>
              <w:ind w:left="0" w:firstLine="0"/>
              <w:rPr>
                <w:rFonts w:eastAsia="Times New Roman" w:cs="Calibri"/>
                <w:b/>
                <w:bCs/>
              </w:rPr>
            </w:pPr>
            <w:r w:rsidRPr="008F4DF9">
              <w:rPr>
                <w:b/>
                <w:bCs/>
              </w:rPr>
              <w:t> </w:t>
            </w:r>
          </w:p>
        </w:tc>
      </w:tr>
      <w:tr w:rsidR="003F135F" w:rsidRPr="008F4DF9" w14:paraId="71286551" w14:textId="77777777" w:rsidTr="00E84205">
        <w:trPr>
          <w:trHeight w:val="459"/>
        </w:trPr>
        <w:tc>
          <w:tcPr>
            <w:tcW w:w="4962" w:type="dxa"/>
            <w:tcBorders>
              <w:top w:val="nil"/>
              <w:left w:val="nil"/>
              <w:bottom w:val="nil"/>
              <w:right w:val="nil"/>
            </w:tcBorders>
            <w:shd w:val="clear" w:color="000000" w:fill="FFFFFF"/>
            <w:vAlign w:val="center"/>
            <w:hideMark/>
          </w:tcPr>
          <w:p w14:paraId="0E45D3A6" w14:textId="67BAC1E6" w:rsidR="003F135F" w:rsidRPr="008F4DF9" w:rsidRDefault="009154DA" w:rsidP="003F135F">
            <w:pPr>
              <w:ind w:left="0" w:firstLine="0"/>
              <w:rPr>
                <w:rFonts w:eastAsia="Times New Roman" w:cs="Calibri"/>
                <w:b/>
                <w:bCs/>
              </w:rPr>
            </w:pPr>
            <w:r>
              <w:rPr>
                <w:b/>
                <w:bCs/>
              </w:rPr>
              <w:t>TOTAL,</w:t>
            </w:r>
            <w:r w:rsidR="003F135F" w:rsidRPr="008F4DF9">
              <w:rPr>
                <w:b/>
                <w:bCs/>
              </w:rPr>
              <w:t xml:space="preserve"> PASIVO Y SALDOS DE FONDOS</w:t>
            </w:r>
          </w:p>
        </w:tc>
        <w:tc>
          <w:tcPr>
            <w:tcW w:w="890" w:type="dxa"/>
            <w:tcBorders>
              <w:top w:val="nil"/>
              <w:left w:val="nil"/>
              <w:bottom w:val="nil"/>
              <w:right w:val="nil"/>
            </w:tcBorders>
            <w:shd w:val="clear" w:color="000000" w:fill="FFFFFF"/>
            <w:noWrap/>
            <w:vAlign w:val="center"/>
            <w:hideMark/>
          </w:tcPr>
          <w:p w14:paraId="27D535C3" w14:textId="77777777" w:rsidR="003F135F" w:rsidRPr="008F4DF9" w:rsidRDefault="003F135F" w:rsidP="003F135F">
            <w:pPr>
              <w:ind w:left="0" w:firstLine="0"/>
              <w:jc w:val="center"/>
              <w:rPr>
                <w:rFonts w:eastAsia="Times New Roman" w:cs="Calibri"/>
              </w:rPr>
            </w:pPr>
            <w:r w:rsidRPr="008F4DF9">
              <w:t> </w:t>
            </w:r>
          </w:p>
        </w:tc>
        <w:tc>
          <w:tcPr>
            <w:tcW w:w="1215" w:type="dxa"/>
            <w:tcBorders>
              <w:top w:val="single" w:sz="4" w:space="0" w:color="auto"/>
              <w:left w:val="nil"/>
              <w:bottom w:val="single" w:sz="4" w:space="0" w:color="auto"/>
              <w:right w:val="nil"/>
            </w:tcBorders>
            <w:shd w:val="clear" w:color="000000" w:fill="C5D9F1"/>
            <w:noWrap/>
            <w:vAlign w:val="center"/>
            <w:hideMark/>
          </w:tcPr>
          <w:p w14:paraId="397C44FE" w14:textId="25ED967F"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349</w:t>
            </w:r>
          </w:p>
        </w:tc>
        <w:tc>
          <w:tcPr>
            <w:tcW w:w="164" w:type="dxa"/>
            <w:tcBorders>
              <w:top w:val="single" w:sz="4" w:space="0" w:color="auto"/>
              <w:left w:val="nil"/>
              <w:bottom w:val="single" w:sz="4" w:space="0" w:color="auto"/>
              <w:right w:val="nil"/>
            </w:tcBorders>
            <w:shd w:val="clear" w:color="000000" w:fill="C5D9F1"/>
            <w:noWrap/>
            <w:vAlign w:val="center"/>
            <w:hideMark/>
          </w:tcPr>
          <w:p w14:paraId="6F6FA53A" w14:textId="77777777" w:rsidR="003F135F" w:rsidRPr="008F4DF9" w:rsidRDefault="003F135F" w:rsidP="003F135F">
            <w:pPr>
              <w:ind w:left="0" w:firstLine="0"/>
              <w:rPr>
                <w:rFonts w:eastAsia="Times New Roman" w:cs="Calibri"/>
                <w:b/>
                <w:bCs/>
              </w:rPr>
            </w:pPr>
            <w:r w:rsidRPr="008F4DF9">
              <w:rPr>
                <w:b/>
                <w:bCs/>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922A3EC" w14:textId="77777777" w:rsidR="003F135F" w:rsidRPr="008F4DF9" w:rsidRDefault="003F135F" w:rsidP="003F135F">
            <w:pPr>
              <w:ind w:left="0" w:firstLine="0"/>
              <w:rPr>
                <w:rFonts w:eastAsia="Times New Roman" w:cs="Calibri"/>
                <w:b/>
                <w:bCs/>
              </w:rPr>
            </w:pPr>
            <w:r w:rsidRPr="008F4DF9">
              <w:rPr>
                <w:b/>
                <w:bCs/>
              </w:rPr>
              <w:t> </w:t>
            </w:r>
          </w:p>
        </w:tc>
        <w:tc>
          <w:tcPr>
            <w:tcW w:w="1288" w:type="dxa"/>
            <w:tcBorders>
              <w:top w:val="single" w:sz="4" w:space="0" w:color="auto"/>
              <w:left w:val="nil"/>
              <w:bottom w:val="single" w:sz="4" w:space="0" w:color="auto"/>
              <w:right w:val="nil"/>
            </w:tcBorders>
            <w:shd w:val="clear" w:color="000000" w:fill="EBF1DE"/>
            <w:noWrap/>
            <w:vAlign w:val="center"/>
            <w:hideMark/>
          </w:tcPr>
          <w:p w14:paraId="30F76655" w14:textId="45A1C31A" w:rsidR="003F135F" w:rsidRPr="008F4DF9" w:rsidRDefault="003F135F" w:rsidP="003F135F">
            <w:pPr>
              <w:ind w:left="0" w:firstLine="0"/>
              <w:jc w:val="right"/>
              <w:rPr>
                <w:rFonts w:eastAsia="Times New Roman" w:cs="Calibri"/>
                <w:b/>
                <w:bCs/>
              </w:rPr>
            </w:pPr>
            <w:r w:rsidRPr="008F4DF9">
              <w:rPr>
                <w:b/>
                <w:bCs/>
              </w:rPr>
              <w:t>6</w:t>
            </w:r>
            <w:r w:rsidR="00652E0C" w:rsidRPr="008F4DF9">
              <w:rPr>
                <w:b/>
                <w:bCs/>
              </w:rPr>
              <w:t> </w:t>
            </w:r>
            <w:r w:rsidRPr="008F4DF9">
              <w:rPr>
                <w:b/>
                <w:bCs/>
              </w:rPr>
              <w:t>101</w:t>
            </w:r>
          </w:p>
        </w:tc>
        <w:tc>
          <w:tcPr>
            <w:tcW w:w="164" w:type="dxa"/>
            <w:tcBorders>
              <w:top w:val="single" w:sz="4" w:space="0" w:color="auto"/>
              <w:left w:val="nil"/>
              <w:bottom w:val="single" w:sz="4" w:space="0" w:color="auto"/>
              <w:right w:val="nil"/>
            </w:tcBorders>
            <w:shd w:val="clear" w:color="000000" w:fill="EBF1DE"/>
            <w:noWrap/>
            <w:vAlign w:val="center"/>
            <w:hideMark/>
          </w:tcPr>
          <w:p w14:paraId="1E1D9D4D" w14:textId="77777777" w:rsidR="003F135F" w:rsidRPr="008F4DF9" w:rsidRDefault="003F135F" w:rsidP="003F135F">
            <w:pPr>
              <w:ind w:left="0" w:firstLine="0"/>
              <w:rPr>
                <w:rFonts w:eastAsia="Times New Roman" w:cs="Calibri"/>
                <w:b/>
                <w:bCs/>
              </w:rPr>
            </w:pPr>
            <w:r w:rsidRPr="008F4DF9">
              <w:rPr>
                <w:b/>
                <w:bCs/>
              </w:rPr>
              <w:t> </w:t>
            </w:r>
          </w:p>
        </w:tc>
      </w:tr>
    </w:tbl>
    <w:p w14:paraId="42024014" w14:textId="14ADD72C" w:rsidR="006C1657" w:rsidRPr="008F4DF9" w:rsidRDefault="003D733E" w:rsidP="00633DD5">
      <w:pPr>
        <w:pStyle w:val="NoSpacing"/>
        <w:rPr>
          <w:rFonts w:eastAsia="Times New Roman" w:cs="Arial"/>
          <w:b/>
          <w:bCs/>
        </w:rPr>
      </w:pPr>
      <w:r w:rsidRPr="008F4DF9">
        <w:rPr>
          <w:b/>
          <w:bCs/>
        </w:rPr>
        <w:lastRenderedPageBreak/>
        <w:t>II.</w:t>
      </w:r>
      <w:r w:rsidRPr="008F4DF9">
        <w:rPr>
          <w:b/>
          <w:bCs/>
        </w:rPr>
        <w:tab/>
        <w:t>Estado de resultados del ejercicio que finaliza el 31 de diciembre</w:t>
      </w:r>
      <w:r w:rsidRPr="008F4DF9">
        <w:rPr>
          <w:b/>
          <w:bCs/>
        </w:rPr>
        <w:tab/>
      </w:r>
    </w:p>
    <w:p w14:paraId="6C247957" w14:textId="25F96AAF" w:rsidR="003F135F" w:rsidRPr="008F4DF9" w:rsidRDefault="003F135F" w:rsidP="00633DD5">
      <w:pPr>
        <w:pStyle w:val="NoSpacing"/>
        <w:rPr>
          <w:rFonts w:eastAsia="Times New Roman" w:cs="Arial"/>
          <w:b/>
          <w:bCs/>
          <w:lang w:eastAsia="en-GB"/>
        </w:rPr>
      </w:pPr>
    </w:p>
    <w:tbl>
      <w:tblPr>
        <w:tblW w:w="9861" w:type="dxa"/>
        <w:tblInd w:w="-426" w:type="dxa"/>
        <w:tblLayout w:type="fixed"/>
        <w:tblCellMar>
          <w:left w:w="57" w:type="dxa"/>
          <w:right w:w="57" w:type="dxa"/>
        </w:tblCellMar>
        <w:tblLook w:val="04A0" w:firstRow="1" w:lastRow="0" w:firstColumn="1" w:lastColumn="0" w:noHBand="0" w:noVBand="1"/>
      </w:tblPr>
      <w:tblGrid>
        <w:gridCol w:w="3828"/>
        <w:gridCol w:w="687"/>
        <w:gridCol w:w="731"/>
        <w:gridCol w:w="118"/>
        <w:gridCol w:w="850"/>
        <w:gridCol w:w="166"/>
        <w:gridCol w:w="688"/>
        <w:gridCol w:w="239"/>
        <w:gridCol w:w="774"/>
        <w:gridCol w:w="76"/>
        <w:gridCol w:w="850"/>
        <w:gridCol w:w="66"/>
        <w:gridCol w:w="788"/>
      </w:tblGrid>
      <w:tr w:rsidR="003F135F" w:rsidRPr="008F4DF9" w14:paraId="1AAF4489" w14:textId="77777777" w:rsidTr="00845CBE">
        <w:tc>
          <w:tcPr>
            <w:tcW w:w="3828" w:type="dxa"/>
            <w:tcBorders>
              <w:top w:val="nil"/>
              <w:left w:val="nil"/>
              <w:bottom w:val="nil"/>
              <w:right w:val="nil"/>
            </w:tcBorders>
            <w:shd w:val="clear" w:color="000000" w:fill="FFFFFF"/>
            <w:noWrap/>
            <w:vAlign w:val="bottom"/>
            <w:hideMark/>
          </w:tcPr>
          <w:p w14:paraId="0F21387F" w14:textId="77777777" w:rsidR="003F135F" w:rsidRPr="008F4DF9" w:rsidRDefault="003F135F"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textDirection w:val="btLr"/>
            <w:vAlign w:val="center"/>
            <w:hideMark/>
          </w:tcPr>
          <w:p w14:paraId="08811E1B" w14:textId="77777777" w:rsidR="003F135F" w:rsidRPr="008F4DF9" w:rsidRDefault="003F135F"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2553" w:type="dxa"/>
            <w:gridSpan w:val="5"/>
            <w:tcBorders>
              <w:top w:val="nil"/>
              <w:left w:val="nil"/>
              <w:bottom w:val="nil"/>
              <w:right w:val="nil"/>
            </w:tcBorders>
            <w:shd w:val="clear" w:color="000000" w:fill="8DB4E2"/>
            <w:noWrap/>
            <w:vAlign w:val="center"/>
            <w:hideMark/>
          </w:tcPr>
          <w:p w14:paraId="5C6CAD9A" w14:textId="77777777" w:rsidR="003F135F" w:rsidRPr="008F4DF9" w:rsidRDefault="003F135F"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2019</w:t>
            </w:r>
          </w:p>
        </w:tc>
        <w:tc>
          <w:tcPr>
            <w:tcW w:w="239" w:type="dxa"/>
            <w:tcBorders>
              <w:top w:val="nil"/>
              <w:left w:val="nil"/>
              <w:bottom w:val="nil"/>
              <w:right w:val="nil"/>
            </w:tcBorders>
            <w:shd w:val="clear" w:color="000000" w:fill="D9D9D9"/>
            <w:noWrap/>
            <w:vAlign w:val="center"/>
            <w:hideMark/>
          </w:tcPr>
          <w:p w14:paraId="504CC4D6" w14:textId="77777777" w:rsidR="003F135F" w:rsidRPr="008F4DF9" w:rsidRDefault="003F135F"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2554" w:type="dxa"/>
            <w:gridSpan w:val="5"/>
            <w:tcBorders>
              <w:top w:val="nil"/>
              <w:left w:val="nil"/>
              <w:bottom w:val="nil"/>
              <w:right w:val="nil"/>
            </w:tcBorders>
            <w:shd w:val="clear" w:color="auto" w:fill="C2D69B" w:themeFill="accent3" w:themeFillTint="99"/>
            <w:noWrap/>
            <w:vAlign w:val="center"/>
            <w:hideMark/>
          </w:tcPr>
          <w:p w14:paraId="2C28220E" w14:textId="77777777" w:rsidR="003F135F" w:rsidRPr="008F4DF9" w:rsidRDefault="003F135F"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2018</w:t>
            </w:r>
          </w:p>
        </w:tc>
      </w:tr>
      <w:tr w:rsidR="00EB4CBD" w:rsidRPr="008F4DF9" w14:paraId="6982AFF8" w14:textId="77777777" w:rsidTr="00845CBE">
        <w:tc>
          <w:tcPr>
            <w:tcW w:w="3828" w:type="dxa"/>
            <w:tcBorders>
              <w:top w:val="nil"/>
              <w:left w:val="nil"/>
              <w:bottom w:val="single" w:sz="8" w:space="0" w:color="auto"/>
              <w:right w:val="nil"/>
            </w:tcBorders>
            <w:shd w:val="clear" w:color="000000" w:fill="FFFFFF"/>
            <w:noWrap/>
            <w:vAlign w:val="bottom"/>
            <w:hideMark/>
          </w:tcPr>
          <w:p w14:paraId="50E50041" w14:textId="77777777" w:rsidR="00EB4CBD" w:rsidRPr="008F4DF9" w:rsidRDefault="00EB4CBD" w:rsidP="003F135F">
            <w:pPr>
              <w:ind w:left="0" w:firstLine="0"/>
              <w:rPr>
                <w:rFonts w:asciiTheme="minorHAnsi" w:eastAsia="Times New Roman" w:hAnsiTheme="minorHAnsi" w:cstheme="minorHAnsi"/>
                <w:i/>
                <w:iCs/>
                <w:sz w:val="20"/>
                <w:szCs w:val="20"/>
              </w:rPr>
            </w:pPr>
            <w:r w:rsidRPr="008F4DF9">
              <w:rPr>
                <w:rFonts w:asciiTheme="minorHAnsi" w:hAnsiTheme="minorHAnsi"/>
                <w:i/>
                <w:iCs/>
                <w:sz w:val="20"/>
                <w:szCs w:val="20"/>
              </w:rPr>
              <w:t>en miles de francos suizos</w:t>
            </w:r>
          </w:p>
        </w:tc>
        <w:tc>
          <w:tcPr>
            <w:tcW w:w="687" w:type="dxa"/>
            <w:tcBorders>
              <w:top w:val="nil"/>
              <w:left w:val="nil"/>
              <w:bottom w:val="single" w:sz="8" w:space="0" w:color="auto"/>
              <w:right w:val="nil"/>
            </w:tcBorders>
            <w:shd w:val="clear" w:color="000000" w:fill="FFFFFF"/>
            <w:noWrap/>
            <w:vAlign w:val="center"/>
            <w:hideMark/>
          </w:tcPr>
          <w:p w14:paraId="7C479833"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Notas</w:t>
            </w:r>
          </w:p>
        </w:tc>
        <w:tc>
          <w:tcPr>
            <w:tcW w:w="731" w:type="dxa"/>
            <w:tcBorders>
              <w:top w:val="nil"/>
              <w:left w:val="nil"/>
              <w:bottom w:val="single" w:sz="8" w:space="0" w:color="auto"/>
              <w:right w:val="nil"/>
            </w:tcBorders>
            <w:shd w:val="clear" w:color="000000" w:fill="FFFFFF"/>
            <w:vAlign w:val="center"/>
            <w:hideMark/>
          </w:tcPr>
          <w:p w14:paraId="61A6CD84"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Fondos básicos</w:t>
            </w:r>
          </w:p>
        </w:tc>
        <w:tc>
          <w:tcPr>
            <w:tcW w:w="1134" w:type="dxa"/>
            <w:gridSpan w:val="3"/>
            <w:tcBorders>
              <w:top w:val="nil"/>
              <w:left w:val="nil"/>
              <w:bottom w:val="single" w:sz="8" w:space="0" w:color="auto"/>
              <w:right w:val="nil"/>
            </w:tcBorders>
            <w:shd w:val="clear" w:color="000000" w:fill="FFFFFF"/>
            <w:vAlign w:val="center"/>
            <w:hideMark/>
          </w:tcPr>
          <w:p w14:paraId="177CF2E5" w14:textId="77777777" w:rsidR="00EB4CBD" w:rsidRPr="008F4DF9" w:rsidRDefault="00EB4CBD" w:rsidP="003F135F">
            <w:pPr>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Proyectos no financiados con cargo al presupuesto básico</w:t>
            </w:r>
          </w:p>
        </w:tc>
        <w:tc>
          <w:tcPr>
            <w:tcW w:w="688" w:type="dxa"/>
            <w:tcBorders>
              <w:top w:val="nil"/>
              <w:left w:val="nil"/>
              <w:bottom w:val="single" w:sz="8" w:space="0" w:color="auto"/>
              <w:right w:val="nil"/>
            </w:tcBorders>
            <w:shd w:val="clear" w:color="000000" w:fill="FFFFFF"/>
            <w:noWrap/>
            <w:vAlign w:val="center"/>
            <w:hideMark/>
          </w:tcPr>
          <w:p w14:paraId="37B2F876"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Total</w:t>
            </w:r>
          </w:p>
        </w:tc>
        <w:tc>
          <w:tcPr>
            <w:tcW w:w="239" w:type="dxa"/>
            <w:tcBorders>
              <w:top w:val="nil"/>
              <w:left w:val="nil"/>
              <w:bottom w:val="single" w:sz="8" w:space="0" w:color="auto"/>
              <w:right w:val="nil"/>
            </w:tcBorders>
            <w:shd w:val="clear" w:color="000000" w:fill="D9D9D9"/>
            <w:noWrap/>
            <w:vAlign w:val="center"/>
            <w:hideMark/>
          </w:tcPr>
          <w:p w14:paraId="67F2941E"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774" w:type="dxa"/>
            <w:tcBorders>
              <w:top w:val="nil"/>
              <w:left w:val="nil"/>
              <w:bottom w:val="single" w:sz="8" w:space="0" w:color="auto"/>
              <w:right w:val="nil"/>
            </w:tcBorders>
            <w:shd w:val="clear" w:color="000000" w:fill="FFFFFF"/>
            <w:vAlign w:val="center"/>
            <w:hideMark/>
          </w:tcPr>
          <w:p w14:paraId="60292727"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Fondos básicos</w:t>
            </w:r>
          </w:p>
        </w:tc>
        <w:tc>
          <w:tcPr>
            <w:tcW w:w="992" w:type="dxa"/>
            <w:gridSpan w:val="3"/>
            <w:tcBorders>
              <w:top w:val="nil"/>
              <w:left w:val="nil"/>
              <w:bottom w:val="single" w:sz="8" w:space="0" w:color="auto"/>
              <w:right w:val="nil"/>
            </w:tcBorders>
            <w:shd w:val="clear" w:color="000000" w:fill="FFFFFF"/>
            <w:vAlign w:val="center"/>
            <w:hideMark/>
          </w:tcPr>
          <w:p w14:paraId="32922512" w14:textId="77777777" w:rsidR="00EB4CBD" w:rsidRPr="008F4DF9" w:rsidRDefault="00EB4CBD" w:rsidP="003F135F">
            <w:pPr>
              <w:ind w:left="0" w:firstLine="0"/>
              <w:jc w:val="center"/>
              <w:rPr>
                <w:rFonts w:asciiTheme="minorHAnsi" w:eastAsia="Times New Roman" w:hAnsiTheme="minorHAnsi" w:cstheme="minorHAnsi"/>
                <w:b/>
                <w:bCs/>
                <w:sz w:val="15"/>
                <w:szCs w:val="15"/>
              </w:rPr>
            </w:pPr>
            <w:r w:rsidRPr="008F4DF9">
              <w:rPr>
                <w:rFonts w:asciiTheme="minorHAnsi" w:hAnsiTheme="minorHAnsi"/>
                <w:b/>
                <w:bCs/>
                <w:sz w:val="15"/>
                <w:szCs w:val="15"/>
              </w:rPr>
              <w:t>Proyectos no financiados con cargo al presupuesto básico</w:t>
            </w:r>
          </w:p>
        </w:tc>
        <w:tc>
          <w:tcPr>
            <w:tcW w:w="788" w:type="dxa"/>
            <w:tcBorders>
              <w:top w:val="nil"/>
              <w:left w:val="nil"/>
              <w:bottom w:val="single" w:sz="8" w:space="0" w:color="auto"/>
              <w:right w:val="nil"/>
            </w:tcBorders>
            <w:shd w:val="clear" w:color="000000" w:fill="FFFFFF"/>
            <w:noWrap/>
            <w:vAlign w:val="center"/>
            <w:hideMark/>
          </w:tcPr>
          <w:p w14:paraId="73E9C049" w14:textId="77777777" w:rsidR="00EB4CBD" w:rsidRPr="008F4DF9" w:rsidRDefault="00EB4CBD" w:rsidP="003F135F">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Total</w:t>
            </w:r>
          </w:p>
        </w:tc>
      </w:tr>
      <w:tr w:rsidR="00EB4CBD" w:rsidRPr="008F4DF9" w14:paraId="0CE9826C" w14:textId="77777777" w:rsidTr="00845CBE">
        <w:tc>
          <w:tcPr>
            <w:tcW w:w="3828" w:type="dxa"/>
            <w:tcBorders>
              <w:top w:val="nil"/>
              <w:left w:val="nil"/>
              <w:bottom w:val="nil"/>
              <w:right w:val="nil"/>
            </w:tcBorders>
            <w:shd w:val="clear" w:color="000000" w:fill="FFFFFF"/>
            <w:noWrap/>
            <w:vAlign w:val="bottom"/>
            <w:hideMark/>
          </w:tcPr>
          <w:p w14:paraId="55A5BC3F" w14:textId="77777777"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687" w:type="dxa"/>
            <w:tcBorders>
              <w:top w:val="nil"/>
              <w:left w:val="nil"/>
              <w:bottom w:val="nil"/>
              <w:right w:val="nil"/>
            </w:tcBorders>
            <w:shd w:val="clear" w:color="000000" w:fill="FFFFFF"/>
            <w:noWrap/>
            <w:vAlign w:val="bottom"/>
            <w:hideMark/>
          </w:tcPr>
          <w:p w14:paraId="5233A017"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bottom"/>
            <w:hideMark/>
          </w:tcPr>
          <w:p w14:paraId="21917F1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bottom"/>
            <w:hideMark/>
          </w:tcPr>
          <w:p w14:paraId="4E81A69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bottom"/>
            <w:hideMark/>
          </w:tcPr>
          <w:p w14:paraId="6029C28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bottom"/>
            <w:hideMark/>
          </w:tcPr>
          <w:p w14:paraId="3D17B3B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bottom"/>
            <w:hideMark/>
          </w:tcPr>
          <w:p w14:paraId="5156600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bottom"/>
            <w:hideMark/>
          </w:tcPr>
          <w:p w14:paraId="649E34E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bottom"/>
            <w:hideMark/>
          </w:tcPr>
          <w:p w14:paraId="3D3A9EC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2EF705D8" w14:textId="77777777" w:rsidTr="00845CBE">
        <w:tc>
          <w:tcPr>
            <w:tcW w:w="3828" w:type="dxa"/>
            <w:tcBorders>
              <w:top w:val="nil"/>
              <w:left w:val="nil"/>
              <w:bottom w:val="nil"/>
              <w:right w:val="nil"/>
            </w:tcBorders>
            <w:shd w:val="clear" w:color="000000" w:fill="FFFFFF"/>
            <w:noWrap/>
            <w:vAlign w:val="center"/>
            <w:hideMark/>
          </w:tcPr>
          <w:p w14:paraId="753D2C11" w14:textId="77777777" w:rsidR="00EB4CBD" w:rsidRPr="008F4DF9" w:rsidRDefault="00EB4CBD" w:rsidP="003F135F">
            <w:pPr>
              <w:ind w:left="0" w:firstLine="0"/>
              <w:rPr>
                <w:rFonts w:asciiTheme="minorHAnsi" w:eastAsia="Times New Roman" w:hAnsiTheme="minorHAnsi" w:cstheme="minorHAnsi"/>
                <w:b/>
                <w:bCs/>
                <w:color w:val="000000"/>
                <w:sz w:val="20"/>
                <w:szCs w:val="20"/>
              </w:rPr>
            </w:pPr>
            <w:r w:rsidRPr="008F4DF9">
              <w:rPr>
                <w:rFonts w:asciiTheme="minorHAnsi" w:hAnsiTheme="minorHAnsi"/>
                <w:b/>
                <w:bCs/>
                <w:color w:val="000000"/>
                <w:sz w:val="20"/>
                <w:szCs w:val="20"/>
              </w:rPr>
              <w:t>Ingresos</w:t>
            </w:r>
          </w:p>
        </w:tc>
        <w:tc>
          <w:tcPr>
            <w:tcW w:w="687" w:type="dxa"/>
            <w:tcBorders>
              <w:top w:val="nil"/>
              <w:left w:val="nil"/>
              <w:bottom w:val="nil"/>
              <w:right w:val="nil"/>
            </w:tcBorders>
            <w:shd w:val="clear" w:color="000000" w:fill="FFFFFF"/>
            <w:noWrap/>
            <w:vAlign w:val="center"/>
            <w:hideMark/>
          </w:tcPr>
          <w:p w14:paraId="46D08947"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92F416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C98D9D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EEB6D0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8C36E8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C750777"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ACC4FB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0A6181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6CEA371E" w14:textId="77777777" w:rsidTr="00845CBE">
        <w:tc>
          <w:tcPr>
            <w:tcW w:w="3828" w:type="dxa"/>
            <w:tcBorders>
              <w:top w:val="nil"/>
              <w:left w:val="nil"/>
              <w:bottom w:val="nil"/>
              <w:right w:val="nil"/>
            </w:tcBorders>
            <w:shd w:val="clear" w:color="000000" w:fill="FFFFFF"/>
            <w:noWrap/>
            <w:vAlign w:val="center"/>
            <w:hideMark/>
          </w:tcPr>
          <w:p w14:paraId="55A80111" w14:textId="77777777" w:rsidR="00EB4CBD" w:rsidRPr="008F4DF9" w:rsidRDefault="00EB4CBD" w:rsidP="003F135F">
            <w:pPr>
              <w:ind w:left="0" w:firstLine="0"/>
              <w:rPr>
                <w:rFonts w:asciiTheme="minorHAnsi" w:eastAsia="Times New Roman" w:hAnsiTheme="minorHAnsi" w:cstheme="minorHAnsi"/>
                <w:i/>
                <w:iCs/>
                <w:color w:val="000000"/>
                <w:sz w:val="20"/>
                <w:szCs w:val="20"/>
              </w:rPr>
            </w:pPr>
            <w:r w:rsidRPr="008F4DF9">
              <w:rPr>
                <w:rFonts w:asciiTheme="minorHAnsi" w:hAnsiTheme="minorHAnsi"/>
                <w:i/>
                <w:iCs/>
                <w:color w:val="000000"/>
                <w:sz w:val="20"/>
                <w:szCs w:val="20"/>
              </w:rPr>
              <w:t>Ingresos externos:</w:t>
            </w:r>
          </w:p>
        </w:tc>
        <w:tc>
          <w:tcPr>
            <w:tcW w:w="687" w:type="dxa"/>
            <w:tcBorders>
              <w:top w:val="nil"/>
              <w:left w:val="nil"/>
              <w:bottom w:val="nil"/>
              <w:right w:val="nil"/>
            </w:tcBorders>
            <w:shd w:val="clear" w:color="000000" w:fill="FFFFFF"/>
            <w:noWrap/>
            <w:vAlign w:val="center"/>
            <w:hideMark/>
          </w:tcPr>
          <w:p w14:paraId="293DBB99"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052AEE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A86269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7EC8FF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495C045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6A1F897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3C9AE5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030B8B4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4EF18562" w14:textId="77777777" w:rsidTr="00845CBE">
        <w:tc>
          <w:tcPr>
            <w:tcW w:w="3828" w:type="dxa"/>
            <w:tcBorders>
              <w:top w:val="nil"/>
              <w:left w:val="nil"/>
              <w:bottom w:val="nil"/>
              <w:right w:val="nil"/>
            </w:tcBorders>
            <w:shd w:val="clear" w:color="000000" w:fill="FFFFFF"/>
            <w:noWrap/>
            <w:vAlign w:val="center"/>
            <w:hideMark/>
          </w:tcPr>
          <w:p w14:paraId="7051796D" w14:textId="16B8B72B"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Contribuciones de las Partes Contratantes</w:t>
            </w:r>
          </w:p>
        </w:tc>
        <w:tc>
          <w:tcPr>
            <w:tcW w:w="687" w:type="dxa"/>
            <w:tcBorders>
              <w:top w:val="nil"/>
              <w:left w:val="nil"/>
              <w:bottom w:val="nil"/>
              <w:right w:val="nil"/>
            </w:tcBorders>
            <w:shd w:val="clear" w:color="000000" w:fill="FFFFFF"/>
            <w:noWrap/>
            <w:vAlign w:val="center"/>
            <w:hideMark/>
          </w:tcPr>
          <w:p w14:paraId="00AC415D"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B543C83" w14:textId="138386A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w:t>
            </w:r>
            <w:r w:rsidR="00652E0C" w:rsidRPr="008F4DF9">
              <w:rPr>
                <w:rFonts w:asciiTheme="minorHAnsi" w:hAnsiTheme="minorHAnsi"/>
                <w:sz w:val="20"/>
                <w:szCs w:val="20"/>
              </w:rPr>
              <w:t> </w:t>
            </w:r>
            <w:r w:rsidRPr="008F4DF9">
              <w:rPr>
                <w:rFonts w:asciiTheme="minorHAnsi" w:hAnsiTheme="minorHAnsi"/>
                <w:sz w:val="20"/>
                <w:szCs w:val="20"/>
              </w:rPr>
              <w:t xml:space="preserve">779 </w:t>
            </w:r>
          </w:p>
        </w:tc>
        <w:tc>
          <w:tcPr>
            <w:tcW w:w="850" w:type="dxa"/>
            <w:tcBorders>
              <w:top w:val="nil"/>
              <w:left w:val="nil"/>
              <w:bottom w:val="nil"/>
              <w:right w:val="nil"/>
            </w:tcBorders>
            <w:shd w:val="clear" w:color="000000" w:fill="FFFFFF"/>
            <w:noWrap/>
            <w:vAlign w:val="center"/>
            <w:hideMark/>
          </w:tcPr>
          <w:p w14:paraId="05A8D57D" w14:textId="60C0450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22C95D1D" w14:textId="0CCDF0B1"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w:t>
            </w:r>
            <w:r w:rsidR="00652E0C" w:rsidRPr="008F4DF9">
              <w:rPr>
                <w:rFonts w:asciiTheme="minorHAnsi" w:hAnsiTheme="minorHAnsi"/>
                <w:sz w:val="20"/>
                <w:szCs w:val="20"/>
              </w:rPr>
              <w:t> </w:t>
            </w:r>
            <w:r w:rsidRPr="008F4DF9">
              <w:rPr>
                <w:rFonts w:asciiTheme="minorHAnsi" w:hAnsiTheme="minorHAnsi"/>
                <w:sz w:val="20"/>
                <w:szCs w:val="20"/>
              </w:rPr>
              <w:t xml:space="preserve">779 </w:t>
            </w:r>
          </w:p>
        </w:tc>
        <w:tc>
          <w:tcPr>
            <w:tcW w:w="239" w:type="dxa"/>
            <w:tcBorders>
              <w:top w:val="nil"/>
              <w:left w:val="nil"/>
              <w:bottom w:val="nil"/>
              <w:right w:val="nil"/>
            </w:tcBorders>
            <w:shd w:val="clear" w:color="000000" w:fill="D9D9D9"/>
            <w:noWrap/>
            <w:vAlign w:val="center"/>
            <w:hideMark/>
          </w:tcPr>
          <w:p w14:paraId="2205D4F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4C6C5E4" w14:textId="72884B8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w:t>
            </w:r>
            <w:r w:rsidR="00652E0C" w:rsidRPr="008F4DF9">
              <w:rPr>
                <w:rFonts w:asciiTheme="minorHAnsi" w:hAnsiTheme="minorHAnsi"/>
                <w:sz w:val="20"/>
                <w:szCs w:val="20"/>
              </w:rPr>
              <w:t> </w:t>
            </w:r>
            <w:r w:rsidRPr="008F4DF9">
              <w:rPr>
                <w:rFonts w:asciiTheme="minorHAnsi" w:hAnsiTheme="minorHAnsi"/>
                <w:sz w:val="20"/>
                <w:szCs w:val="20"/>
              </w:rPr>
              <w:t xml:space="preserve">779 </w:t>
            </w:r>
          </w:p>
        </w:tc>
        <w:tc>
          <w:tcPr>
            <w:tcW w:w="850" w:type="dxa"/>
            <w:tcBorders>
              <w:top w:val="nil"/>
              <w:left w:val="nil"/>
              <w:bottom w:val="nil"/>
              <w:right w:val="nil"/>
            </w:tcBorders>
            <w:shd w:val="clear" w:color="000000" w:fill="FFFFFF"/>
            <w:noWrap/>
            <w:vAlign w:val="center"/>
            <w:hideMark/>
          </w:tcPr>
          <w:p w14:paraId="40E16C75" w14:textId="4B24EC11"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67D419E0" w14:textId="03D48083"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w:t>
            </w:r>
            <w:r w:rsidR="00652E0C" w:rsidRPr="008F4DF9">
              <w:rPr>
                <w:rFonts w:asciiTheme="minorHAnsi" w:hAnsiTheme="minorHAnsi"/>
                <w:sz w:val="20"/>
                <w:szCs w:val="20"/>
              </w:rPr>
              <w:t> </w:t>
            </w:r>
            <w:r w:rsidRPr="008F4DF9">
              <w:rPr>
                <w:rFonts w:asciiTheme="minorHAnsi" w:hAnsiTheme="minorHAnsi"/>
                <w:sz w:val="20"/>
                <w:szCs w:val="20"/>
              </w:rPr>
              <w:t xml:space="preserve">779 </w:t>
            </w:r>
          </w:p>
        </w:tc>
      </w:tr>
      <w:tr w:rsidR="00EB4CBD" w:rsidRPr="008F4DF9" w14:paraId="3C465289" w14:textId="77777777" w:rsidTr="00845CBE">
        <w:tc>
          <w:tcPr>
            <w:tcW w:w="3828" w:type="dxa"/>
            <w:tcBorders>
              <w:top w:val="nil"/>
              <w:left w:val="nil"/>
              <w:bottom w:val="nil"/>
              <w:right w:val="nil"/>
            </w:tcBorders>
            <w:shd w:val="clear" w:color="000000" w:fill="FFFFFF"/>
            <w:noWrap/>
            <w:vAlign w:val="center"/>
            <w:hideMark/>
          </w:tcPr>
          <w:p w14:paraId="2296E6BB" w14:textId="175DB9DC"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Contribuciones voluntarias de EE.UU.</w:t>
            </w:r>
          </w:p>
        </w:tc>
        <w:tc>
          <w:tcPr>
            <w:tcW w:w="687" w:type="dxa"/>
            <w:tcBorders>
              <w:top w:val="nil"/>
              <w:left w:val="nil"/>
              <w:bottom w:val="nil"/>
              <w:right w:val="nil"/>
            </w:tcBorders>
            <w:shd w:val="clear" w:color="000000" w:fill="FFFFFF"/>
            <w:noWrap/>
            <w:vAlign w:val="center"/>
            <w:hideMark/>
          </w:tcPr>
          <w:p w14:paraId="121E5D84"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1F652AB" w14:textId="24C515DF"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w:t>
            </w:r>
            <w:r w:rsidR="00652E0C" w:rsidRPr="008F4DF9">
              <w:rPr>
                <w:rFonts w:asciiTheme="minorHAnsi" w:hAnsiTheme="minorHAnsi"/>
                <w:sz w:val="20"/>
                <w:szCs w:val="20"/>
              </w:rPr>
              <w:t> </w:t>
            </w:r>
            <w:r w:rsidRPr="008F4DF9">
              <w:rPr>
                <w:rFonts w:asciiTheme="minorHAnsi" w:hAnsiTheme="minorHAnsi"/>
                <w:sz w:val="20"/>
                <w:szCs w:val="20"/>
              </w:rPr>
              <w:t xml:space="preserve">066 </w:t>
            </w:r>
          </w:p>
        </w:tc>
        <w:tc>
          <w:tcPr>
            <w:tcW w:w="850" w:type="dxa"/>
            <w:tcBorders>
              <w:top w:val="nil"/>
              <w:left w:val="nil"/>
              <w:bottom w:val="nil"/>
              <w:right w:val="nil"/>
            </w:tcBorders>
            <w:shd w:val="clear" w:color="000000" w:fill="FFFFFF"/>
            <w:noWrap/>
            <w:vAlign w:val="center"/>
            <w:hideMark/>
          </w:tcPr>
          <w:p w14:paraId="6D0A1477" w14:textId="62812FC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000A46C4" w14:textId="5E33E8D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066 </w:t>
            </w:r>
          </w:p>
        </w:tc>
        <w:tc>
          <w:tcPr>
            <w:tcW w:w="239" w:type="dxa"/>
            <w:tcBorders>
              <w:top w:val="nil"/>
              <w:left w:val="nil"/>
              <w:bottom w:val="nil"/>
              <w:right w:val="nil"/>
            </w:tcBorders>
            <w:shd w:val="clear" w:color="000000" w:fill="D9D9D9"/>
            <w:noWrap/>
            <w:vAlign w:val="center"/>
            <w:hideMark/>
          </w:tcPr>
          <w:p w14:paraId="25497EC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F92881F" w14:textId="0BF72C6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066 </w:t>
            </w:r>
          </w:p>
        </w:tc>
        <w:tc>
          <w:tcPr>
            <w:tcW w:w="850" w:type="dxa"/>
            <w:tcBorders>
              <w:top w:val="nil"/>
              <w:left w:val="nil"/>
              <w:bottom w:val="nil"/>
              <w:right w:val="nil"/>
            </w:tcBorders>
            <w:shd w:val="clear" w:color="000000" w:fill="FFFFFF"/>
            <w:noWrap/>
            <w:vAlign w:val="center"/>
            <w:hideMark/>
          </w:tcPr>
          <w:p w14:paraId="64260264" w14:textId="1113AD55"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47705A55" w14:textId="5315AA7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066 </w:t>
            </w:r>
          </w:p>
        </w:tc>
      </w:tr>
      <w:tr w:rsidR="00EB4CBD" w:rsidRPr="008F4DF9" w14:paraId="60CB4D90" w14:textId="77777777" w:rsidTr="00845CBE">
        <w:tc>
          <w:tcPr>
            <w:tcW w:w="3828" w:type="dxa"/>
            <w:tcBorders>
              <w:top w:val="nil"/>
              <w:left w:val="nil"/>
              <w:bottom w:val="nil"/>
              <w:right w:val="nil"/>
            </w:tcBorders>
            <w:shd w:val="clear" w:color="000000" w:fill="FFFFFF"/>
            <w:noWrap/>
            <w:vAlign w:val="center"/>
            <w:hideMark/>
          </w:tcPr>
          <w:p w14:paraId="70D91B92" w14:textId="12A979FC" w:rsidR="00EB4CBD" w:rsidRPr="00845CBE" w:rsidRDefault="00EB4CBD" w:rsidP="003F135F">
            <w:pPr>
              <w:ind w:left="0" w:firstLine="0"/>
              <w:rPr>
                <w:rFonts w:asciiTheme="minorHAnsi" w:eastAsia="Times New Roman" w:hAnsiTheme="minorHAnsi" w:cstheme="minorHAnsi"/>
                <w:spacing w:val="-4"/>
                <w:sz w:val="20"/>
                <w:szCs w:val="20"/>
              </w:rPr>
            </w:pPr>
            <w:r w:rsidRPr="00845CBE">
              <w:rPr>
                <w:rFonts w:asciiTheme="minorHAnsi" w:hAnsiTheme="minorHAnsi"/>
                <w:spacing w:val="-4"/>
                <w:sz w:val="20"/>
                <w:szCs w:val="20"/>
              </w:rPr>
              <w:t>Contribuciones voluntarias de países africanos</w:t>
            </w:r>
          </w:p>
        </w:tc>
        <w:tc>
          <w:tcPr>
            <w:tcW w:w="687" w:type="dxa"/>
            <w:tcBorders>
              <w:top w:val="nil"/>
              <w:left w:val="nil"/>
              <w:bottom w:val="nil"/>
              <w:right w:val="nil"/>
            </w:tcBorders>
            <w:shd w:val="clear" w:color="000000" w:fill="FFFFFF"/>
            <w:noWrap/>
            <w:vAlign w:val="center"/>
            <w:hideMark/>
          </w:tcPr>
          <w:p w14:paraId="5403AD05"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2C1171C2" w14:textId="79080E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0" w:type="dxa"/>
            <w:tcBorders>
              <w:top w:val="nil"/>
              <w:left w:val="nil"/>
              <w:bottom w:val="nil"/>
              <w:right w:val="nil"/>
            </w:tcBorders>
            <w:shd w:val="clear" w:color="auto" w:fill="auto"/>
            <w:noWrap/>
            <w:vAlign w:val="center"/>
            <w:hideMark/>
          </w:tcPr>
          <w:p w14:paraId="7938A417" w14:textId="451FF4B9"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 </w:t>
            </w:r>
          </w:p>
        </w:tc>
        <w:tc>
          <w:tcPr>
            <w:tcW w:w="854" w:type="dxa"/>
            <w:gridSpan w:val="2"/>
            <w:tcBorders>
              <w:top w:val="nil"/>
              <w:left w:val="nil"/>
              <w:bottom w:val="nil"/>
              <w:right w:val="nil"/>
            </w:tcBorders>
            <w:shd w:val="clear" w:color="000000" w:fill="FFFFFF"/>
            <w:noWrap/>
            <w:vAlign w:val="center"/>
            <w:hideMark/>
          </w:tcPr>
          <w:p w14:paraId="392A696D" w14:textId="091575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 </w:t>
            </w:r>
          </w:p>
        </w:tc>
        <w:tc>
          <w:tcPr>
            <w:tcW w:w="239" w:type="dxa"/>
            <w:tcBorders>
              <w:top w:val="nil"/>
              <w:left w:val="nil"/>
              <w:bottom w:val="nil"/>
              <w:right w:val="nil"/>
            </w:tcBorders>
            <w:shd w:val="clear" w:color="000000" w:fill="D9D9D9"/>
            <w:noWrap/>
            <w:vAlign w:val="center"/>
            <w:hideMark/>
          </w:tcPr>
          <w:p w14:paraId="2B1B57A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2FEB8CC" w14:textId="75FC430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6DCEDA81" w14:textId="0665A28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7 </w:t>
            </w:r>
          </w:p>
        </w:tc>
        <w:tc>
          <w:tcPr>
            <w:tcW w:w="854" w:type="dxa"/>
            <w:gridSpan w:val="2"/>
            <w:tcBorders>
              <w:top w:val="nil"/>
              <w:left w:val="nil"/>
              <w:bottom w:val="nil"/>
              <w:right w:val="nil"/>
            </w:tcBorders>
            <w:shd w:val="clear" w:color="000000" w:fill="FFFFFF"/>
            <w:noWrap/>
            <w:vAlign w:val="center"/>
            <w:hideMark/>
          </w:tcPr>
          <w:p w14:paraId="54F89DD1" w14:textId="0419B6F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7 </w:t>
            </w:r>
          </w:p>
        </w:tc>
      </w:tr>
      <w:tr w:rsidR="00EB4CBD" w:rsidRPr="008F4DF9" w14:paraId="7E5776D7" w14:textId="77777777" w:rsidTr="00845CBE">
        <w:tc>
          <w:tcPr>
            <w:tcW w:w="3828" w:type="dxa"/>
            <w:tcBorders>
              <w:top w:val="nil"/>
              <w:left w:val="nil"/>
              <w:bottom w:val="nil"/>
              <w:right w:val="nil"/>
            </w:tcBorders>
            <w:shd w:val="clear" w:color="000000" w:fill="FFFFFF"/>
            <w:noWrap/>
            <w:vAlign w:val="center"/>
            <w:hideMark/>
          </w:tcPr>
          <w:p w14:paraId="726B8A11" w14:textId="1747FFE5"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xml:space="preserve">Ingresos de proyectos </w:t>
            </w:r>
          </w:p>
        </w:tc>
        <w:tc>
          <w:tcPr>
            <w:tcW w:w="687" w:type="dxa"/>
            <w:tcBorders>
              <w:top w:val="nil"/>
              <w:left w:val="nil"/>
              <w:bottom w:val="nil"/>
              <w:right w:val="nil"/>
            </w:tcBorders>
            <w:shd w:val="clear" w:color="000000" w:fill="FFFFFF"/>
            <w:noWrap/>
            <w:vAlign w:val="center"/>
            <w:hideMark/>
          </w:tcPr>
          <w:p w14:paraId="229C9893"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C96168B" w14:textId="69A4845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71AC40A3" w14:textId="626E5D4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379 </w:t>
            </w:r>
          </w:p>
        </w:tc>
        <w:tc>
          <w:tcPr>
            <w:tcW w:w="854" w:type="dxa"/>
            <w:gridSpan w:val="2"/>
            <w:tcBorders>
              <w:top w:val="nil"/>
              <w:left w:val="nil"/>
              <w:bottom w:val="nil"/>
              <w:right w:val="nil"/>
            </w:tcBorders>
            <w:shd w:val="clear" w:color="000000" w:fill="FFFFFF"/>
            <w:noWrap/>
            <w:vAlign w:val="center"/>
            <w:hideMark/>
          </w:tcPr>
          <w:p w14:paraId="2FB566F7" w14:textId="3CC75E64"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379 </w:t>
            </w:r>
          </w:p>
        </w:tc>
        <w:tc>
          <w:tcPr>
            <w:tcW w:w="239" w:type="dxa"/>
            <w:tcBorders>
              <w:top w:val="nil"/>
              <w:left w:val="nil"/>
              <w:bottom w:val="nil"/>
              <w:right w:val="nil"/>
            </w:tcBorders>
            <w:shd w:val="clear" w:color="000000" w:fill="D9D9D9"/>
            <w:noWrap/>
            <w:vAlign w:val="center"/>
            <w:hideMark/>
          </w:tcPr>
          <w:p w14:paraId="5D3BD2F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B1A3C21" w14:textId="6775CFF3"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3FF222F2" w14:textId="35B9495B"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657 </w:t>
            </w:r>
          </w:p>
        </w:tc>
        <w:tc>
          <w:tcPr>
            <w:tcW w:w="854" w:type="dxa"/>
            <w:gridSpan w:val="2"/>
            <w:tcBorders>
              <w:top w:val="nil"/>
              <w:left w:val="nil"/>
              <w:bottom w:val="nil"/>
              <w:right w:val="nil"/>
            </w:tcBorders>
            <w:shd w:val="clear" w:color="000000" w:fill="FFFFFF"/>
            <w:noWrap/>
            <w:vAlign w:val="center"/>
            <w:hideMark/>
          </w:tcPr>
          <w:p w14:paraId="1B0A89DC" w14:textId="4FB5D2C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657 </w:t>
            </w:r>
          </w:p>
        </w:tc>
      </w:tr>
      <w:tr w:rsidR="00EB4CBD" w:rsidRPr="008F4DF9" w14:paraId="733786BF" w14:textId="77777777" w:rsidTr="00845CBE">
        <w:tc>
          <w:tcPr>
            <w:tcW w:w="3828" w:type="dxa"/>
            <w:tcBorders>
              <w:top w:val="nil"/>
              <w:left w:val="nil"/>
              <w:bottom w:val="nil"/>
              <w:right w:val="nil"/>
            </w:tcBorders>
            <w:shd w:val="clear" w:color="000000" w:fill="FFFFFF"/>
            <w:noWrap/>
            <w:vAlign w:val="center"/>
            <w:hideMark/>
          </w:tcPr>
          <w:p w14:paraId="7C76FF9A" w14:textId="4529B6B0"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Devoluciones de impuestos suizos</w:t>
            </w:r>
          </w:p>
        </w:tc>
        <w:tc>
          <w:tcPr>
            <w:tcW w:w="687" w:type="dxa"/>
            <w:tcBorders>
              <w:top w:val="nil"/>
              <w:left w:val="nil"/>
              <w:bottom w:val="nil"/>
              <w:right w:val="nil"/>
            </w:tcBorders>
            <w:shd w:val="clear" w:color="000000" w:fill="FFFFFF"/>
            <w:noWrap/>
            <w:vAlign w:val="center"/>
            <w:hideMark/>
          </w:tcPr>
          <w:p w14:paraId="7C38AD8E"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10</w:t>
            </w:r>
          </w:p>
        </w:tc>
        <w:tc>
          <w:tcPr>
            <w:tcW w:w="849" w:type="dxa"/>
            <w:gridSpan w:val="2"/>
            <w:tcBorders>
              <w:top w:val="nil"/>
              <w:left w:val="nil"/>
              <w:bottom w:val="single" w:sz="4" w:space="0" w:color="auto"/>
              <w:right w:val="nil"/>
            </w:tcBorders>
            <w:shd w:val="clear" w:color="000000" w:fill="FFFFFF"/>
            <w:noWrap/>
            <w:vAlign w:val="center"/>
            <w:hideMark/>
          </w:tcPr>
          <w:p w14:paraId="25670F1B" w14:textId="2DB78F05"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202 </w:t>
            </w:r>
          </w:p>
        </w:tc>
        <w:tc>
          <w:tcPr>
            <w:tcW w:w="850" w:type="dxa"/>
            <w:tcBorders>
              <w:top w:val="nil"/>
              <w:left w:val="nil"/>
              <w:bottom w:val="single" w:sz="4" w:space="0" w:color="auto"/>
              <w:right w:val="nil"/>
            </w:tcBorders>
            <w:shd w:val="clear" w:color="000000" w:fill="FFFFFF"/>
            <w:noWrap/>
            <w:vAlign w:val="center"/>
            <w:hideMark/>
          </w:tcPr>
          <w:p w14:paraId="16D1AF27" w14:textId="75F6825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7D02DE78" w14:textId="5208E46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202 </w:t>
            </w:r>
          </w:p>
        </w:tc>
        <w:tc>
          <w:tcPr>
            <w:tcW w:w="239" w:type="dxa"/>
            <w:tcBorders>
              <w:top w:val="nil"/>
              <w:left w:val="nil"/>
              <w:bottom w:val="single" w:sz="4" w:space="0" w:color="auto"/>
              <w:right w:val="nil"/>
            </w:tcBorders>
            <w:shd w:val="clear" w:color="000000" w:fill="D9D9D9"/>
            <w:noWrap/>
            <w:vAlign w:val="center"/>
            <w:hideMark/>
          </w:tcPr>
          <w:p w14:paraId="721DA53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76591AE7" w14:textId="781BE7C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221 </w:t>
            </w:r>
          </w:p>
        </w:tc>
        <w:tc>
          <w:tcPr>
            <w:tcW w:w="850" w:type="dxa"/>
            <w:tcBorders>
              <w:top w:val="nil"/>
              <w:left w:val="nil"/>
              <w:bottom w:val="single" w:sz="4" w:space="0" w:color="auto"/>
              <w:right w:val="nil"/>
            </w:tcBorders>
            <w:shd w:val="clear" w:color="000000" w:fill="FFFFFF"/>
            <w:noWrap/>
            <w:vAlign w:val="center"/>
            <w:hideMark/>
          </w:tcPr>
          <w:p w14:paraId="284C77C0" w14:textId="0CF22C8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04D82607" w14:textId="1BEF8A8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221 </w:t>
            </w:r>
          </w:p>
        </w:tc>
      </w:tr>
      <w:tr w:rsidR="00EB4CBD" w:rsidRPr="008F4DF9" w14:paraId="265C0501" w14:textId="77777777" w:rsidTr="00845CBE">
        <w:tc>
          <w:tcPr>
            <w:tcW w:w="3828" w:type="dxa"/>
            <w:tcBorders>
              <w:top w:val="nil"/>
              <w:left w:val="nil"/>
              <w:bottom w:val="nil"/>
              <w:right w:val="nil"/>
            </w:tcBorders>
            <w:shd w:val="clear" w:color="000000" w:fill="FFFFFF"/>
            <w:noWrap/>
            <w:vAlign w:val="center"/>
            <w:hideMark/>
          </w:tcPr>
          <w:p w14:paraId="34395409" w14:textId="51CFEF40" w:rsidR="00EB4CBD" w:rsidRPr="008F4DF9" w:rsidRDefault="009154DA" w:rsidP="003F135F">
            <w:pPr>
              <w:ind w:left="-1520" w:firstLine="1520"/>
              <w:rPr>
                <w:rFonts w:asciiTheme="minorHAnsi" w:eastAsia="Times New Roman" w:hAnsiTheme="minorHAnsi" w:cstheme="minorHAnsi"/>
                <w:i/>
                <w:iCs/>
                <w:sz w:val="20"/>
                <w:szCs w:val="20"/>
              </w:rPr>
            </w:pPr>
            <w:r>
              <w:rPr>
                <w:rFonts w:asciiTheme="minorHAnsi" w:hAnsiTheme="minorHAnsi"/>
                <w:i/>
                <w:iCs/>
                <w:sz w:val="20"/>
                <w:szCs w:val="20"/>
              </w:rPr>
              <w:t>Total,</w:t>
            </w:r>
            <w:r w:rsidR="00EB4CBD" w:rsidRPr="008F4DF9">
              <w:rPr>
                <w:rFonts w:asciiTheme="minorHAnsi" w:hAnsiTheme="minorHAnsi"/>
                <w:i/>
                <w:iCs/>
                <w:sz w:val="20"/>
                <w:szCs w:val="20"/>
              </w:rPr>
              <w:t xml:space="preserve"> </w:t>
            </w:r>
            <w:r w:rsidR="006D4727">
              <w:rPr>
                <w:rFonts w:asciiTheme="minorHAnsi" w:hAnsiTheme="minorHAnsi"/>
                <w:i/>
                <w:iCs/>
                <w:sz w:val="20"/>
                <w:szCs w:val="20"/>
              </w:rPr>
              <w:t>I</w:t>
            </w:r>
            <w:r w:rsidR="00EB4CBD" w:rsidRPr="008F4DF9">
              <w:rPr>
                <w:rFonts w:asciiTheme="minorHAnsi" w:hAnsiTheme="minorHAnsi"/>
                <w:i/>
                <w:iCs/>
                <w:sz w:val="20"/>
                <w:szCs w:val="20"/>
              </w:rPr>
              <w:t>ngresos externos</w:t>
            </w:r>
          </w:p>
        </w:tc>
        <w:tc>
          <w:tcPr>
            <w:tcW w:w="687" w:type="dxa"/>
            <w:tcBorders>
              <w:top w:val="nil"/>
              <w:left w:val="nil"/>
              <w:bottom w:val="nil"/>
              <w:right w:val="nil"/>
            </w:tcBorders>
            <w:shd w:val="clear" w:color="000000" w:fill="FFFFFF"/>
            <w:noWrap/>
            <w:vAlign w:val="center"/>
            <w:hideMark/>
          </w:tcPr>
          <w:p w14:paraId="1659A07C"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76E65E7" w14:textId="6D400A74"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5</w:t>
            </w:r>
            <w:r w:rsidR="00652E0C" w:rsidRPr="008F4DF9">
              <w:rPr>
                <w:rFonts w:asciiTheme="minorHAnsi" w:hAnsiTheme="minorHAnsi"/>
                <w:b/>
                <w:bCs/>
                <w:sz w:val="20"/>
                <w:szCs w:val="20"/>
              </w:rPr>
              <w:t> </w:t>
            </w:r>
            <w:r w:rsidRPr="008F4DF9">
              <w:rPr>
                <w:rFonts w:asciiTheme="minorHAnsi" w:hAnsiTheme="minorHAnsi"/>
                <w:b/>
                <w:bCs/>
                <w:sz w:val="20"/>
                <w:szCs w:val="20"/>
              </w:rPr>
              <w:t xml:space="preserve">047 </w:t>
            </w:r>
          </w:p>
        </w:tc>
        <w:tc>
          <w:tcPr>
            <w:tcW w:w="850" w:type="dxa"/>
            <w:tcBorders>
              <w:top w:val="nil"/>
              <w:left w:val="nil"/>
              <w:bottom w:val="nil"/>
              <w:right w:val="nil"/>
            </w:tcBorders>
            <w:shd w:val="clear" w:color="000000" w:fill="FFFFFF"/>
            <w:noWrap/>
            <w:vAlign w:val="center"/>
            <w:hideMark/>
          </w:tcPr>
          <w:p w14:paraId="350911EA" w14:textId="181FEC5D"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381 </w:t>
            </w:r>
          </w:p>
        </w:tc>
        <w:tc>
          <w:tcPr>
            <w:tcW w:w="854" w:type="dxa"/>
            <w:gridSpan w:val="2"/>
            <w:tcBorders>
              <w:top w:val="nil"/>
              <w:left w:val="nil"/>
              <w:bottom w:val="nil"/>
              <w:right w:val="nil"/>
            </w:tcBorders>
            <w:shd w:val="clear" w:color="000000" w:fill="FFFFFF"/>
            <w:noWrap/>
            <w:vAlign w:val="center"/>
            <w:hideMark/>
          </w:tcPr>
          <w:p w14:paraId="19481C2F" w14:textId="7A346E5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5</w:t>
            </w:r>
            <w:r w:rsidR="00652E0C" w:rsidRPr="008F4DF9">
              <w:rPr>
                <w:rFonts w:asciiTheme="minorHAnsi" w:hAnsiTheme="minorHAnsi"/>
                <w:b/>
                <w:bCs/>
                <w:sz w:val="20"/>
                <w:szCs w:val="20"/>
              </w:rPr>
              <w:t> </w:t>
            </w:r>
            <w:r w:rsidRPr="008F4DF9">
              <w:rPr>
                <w:rFonts w:asciiTheme="minorHAnsi" w:hAnsiTheme="minorHAnsi"/>
                <w:b/>
                <w:bCs/>
                <w:sz w:val="20"/>
                <w:szCs w:val="20"/>
              </w:rPr>
              <w:t xml:space="preserve">428 </w:t>
            </w:r>
          </w:p>
        </w:tc>
        <w:tc>
          <w:tcPr>
            <w:tcW w:w="239" w:type="dxa"/>
            <w:tcBorders>
              <w:top w:val="nil"/>
              <w:left w:val="nil"/>
              <w:bottom w:val="nil"/>
              <w:right w:val="nil"/>
            </w:tcBorders>
            <w:shd w:val="clear" w:color="000000" w:fill="D9D9D9"/>
            <w:noWrap/>
            <w:vAlign w:val="center"/>
            <w:hideMark/>
          </w:tcPr>
          <w:p w14:paraId="7E6DFB55"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5C4FD7ED" w14:textId="08803ABE"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5</w:t>
            </w:r>
            <w:r w:rsidR="00652E0C" w:rsidRPr="008F4DF9">
              <w:rPr>
                <w:rFonts w:asciiTheme="minorHAnsi" w:hAnsiTheme="minorHAnsi"/>
                <w:b/>
                <w:bCs/>
                <w:sz w:val="20"/>
                <w:szCs w:val="20"/>
              </w:rPr>
              <w:t> </w:t>
            </w:r>
            <w:r w:rsidRPr="008F4DF9">
              <w:rPr>
                <w:rFonts w:asciiTheme="minorHAnsi" w:hAnsiTheme="minorHAnsi"/>
                <w:b/>
                <w:bCs/>
                <w:sz w:val="20"/>
                <w:szCs w:val="20"/>
              </w:rPr>
              <w:t xml:space="preserve">066 </w:t>
            </w:r>
          </w:p>
        </w:tc>
        <w:tc>
          <w:tcPr>
            <w:tcW w:w="850" w:type="dxa"/>
            <w:tcBorders>
              <w:top w:val="nil"/>
              <w:left w:val="nil"/>
              <w:bottom w:val="nil"/>
              <w:right w:val="nil"/>
            </w:tcBorders>
            <w:shd w:val="clear" w:color="000000" w:fill="FFFFFF"/>
            <w:noWrap/>
            <w:vAlign w:val="center"/>
            <w:hideMark/>
          </w:tcPr>
          <w:p w14:paraId="7E93E583" w14:textId="3627832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1</w:t>
            </w:r>
            <w:r w:rsidR="00652E0C" w:rsidRPr="008F4DF9">
              <w:rPr>
                <w:rFonts w:asciiTheme="minorHAnsi" w:hAnsiTheme="minorHAnsi"/>
                <w:b/>
                <w:bCs/>
                <w:sz w:val="20"/>
                <w:szCs w:val="20"/>
              </w:rPr>
              <w:t> </w:t>
            </w:r>
            <w:r w:rsidRPr="008F4DF9">
              <w:rPr>
                <w:rFonts w:asciiTheme="minorHAnsi" w:hAnsiTheme="minorHAnsi"/>
                <w:b/>
                <w:bCs/>
                <w:sz w:val="20"/>
                <w:szCs w:val="20"/>
              </w:rPr>
              <w:t xml:space="preserve">664 </w:t>
            </w:r>
          </w:p>
        </w:tc>
        <w:tc>
          <w:tcPr>
            <w:tcW w:w="854" w:type="dxa"/>
            <w:gridSpan w:val="2"/>
            <w:tcBorders>
              <w:top w:val="nil"/>
              <w:left w:val="nil"/>
              <w:bottom w:val="nil"/>
              <w:right w:val="nil"/>
            </w:tcBorders>
            <w:shd w:val="clear" w:color="000000" w:fill="FFFFFF"/>
            <w:noWrap/>
            <w:vAlign w:val="center"/>
            <w:hideMark/>
          </w:tcPr>
          <w:p w14:paraId="3A4C90CE" w14:textId="7C0D5B0C"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6</w:t>
            </w:r>
            <w:r w:rsidR="00652E0C" w:rsidRPr="008F4DF9">
              <w:rPr>
                <w:rFonts w:asciiTheme="minorHAnsi" w:hAnsiTheme="minorHAnsi"/>
                <w:b/>
                <w:bCs/>
                <w:sz w:val="20"/>
                <w:szCs w:val="20"/>
              </w:rPr>
              <w:t> </w:t>
            </w:r>
            <w:r w:rsidRPr="008F4DF9">
              <w:rPr>
                <w:rFonts w:asciiTheme="minorHAnsi" w:hAnsiTheme="minorHAnsi"/>
                <w:b/>
                <w:bCs/>
                <w:sz w:val="20"/>
                <w:szCs w:val="20"/>
              </w:rPr>
              <w:t xml:space="preserve">730 </w:t>
            </w:r>
          </w:p>
        </w:tc>
      </w:tr>
      <w:tr w:rsidR="00EB4CBD" w:rsidRPr="008F4DF9" w14:paraId="5DF2E78A" w14:textId="77777777" w:rsidTr="00845CBE">
        <w:tc>
          <w:tcPr>
            <w:tcW w:w="3828" w:type="dxa"/>
            <w:tcBorders>
              <w:top w:val="nil"/>
              <w:left w:val="nil"/>
              <w:bottom w:val="nil"/>
              <w:right w:val="nil"/>
            </w:tcBorders>
            <w:shd w:val="clear" w:color="000000" w:fill="FFFFFF"/>
            <w:noWrap/>
            <w:vAlign w:val="center"/>
            <w:hideMark/>
          </w:tcPr>
          <w:p w14:paraId="3338CCDC" w14:textId="77777777" w:rsidR="00EB4CBD" w:rsidRPr="008F4DF9" w:rsidRDefault="00EB4CBD" w:rsidP="003F135F">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 </w:t>
            </w:r>
          </w:p>
        </w:tc>
        <w:tc>
          <w:tcPr>
            <w:tcW w:w="687" w:type="dxa"/>
            <w:tcBorders>
              <w:top w:val="nil"/>
              <w:left w:val="nil"/>
              <w:bottom w:val="nil"/>
              <w:right w:val="nil"/>
            </w:tcBorders>
            <w:shd w:val="clear" w:color="000000" w:fill="FFFFFF"/>
            <w:noWrap/>
            <w:vAlign w:val="center"/>
            <w:hideMark/>
          </w:tcPr>
          <w:p w14:paraId="2517D111"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DBC350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F23AB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3AA2D5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29B352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752315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FBE007"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FB3C0A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5B96B3EC" w14:textId="77777777" w:rsidTr="00845CBE">
        <w:tc>
          <w:tcPr>
            <w:tcW w:w="3828" w:type="dxa"/>
            <w:tcBorders>
              <w:top w:val="nil"/>
              <w:left w:val="nil"/>
              <w:bottom w:val="nil"/>
              <w:right w:val="nil"/>
            </w:tcBorders>
            <w:shd w:val="clear" w:color="000000" w:fill="FFFFFF"/>
            <w:noWrap/>
            <w:vAlign w:val="center"/>
            <w:hideMark/>
          </w:tcPr>
          <w:p w14:paraId="4AA9725F"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Transferencia entre proyectos básicos y no básicos</w:t>
            </w:r>
          </w:p>
        </w:tc>
        <w:tc>
          <w:tcPr>
            <w:tcW w:w="687" w:type="dxa"/>
            <w:tcBorders>
              <w:top w:val="nil"/>
              <w:left w:val="nil"/>
              <w:bottom w:val="nil"/>
              <w:right w:val="nil"/>
            </w:tcBorders>
            <w:shd w:val="clear" w:color="000000" w:fill="FFFFFF"/>
            <w:noWrap/>
            <w:vAlign w:val="center"/>
            <w:hideMark/>
          </w:tcPr>
          <w:p w14:paraId="61958D29"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1555841" w14:textId="3A3018B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(115)</w:t>
            </w:r>
          </w:p>
        </w:tc>
        <w:tc>
          <w:tcPr>
            <w:tcW w:w="850" w:type="dxa"/>
            <w:tcBorders>
              <w:top w:val="nil"/>
              <w:left w:val="nil"/>
              <w:bottom w:val="nil"/>
              <w:right w:val="nil"/>
            </w:tcBorders>
            <w:shd w:val="clear" w:color="000000" w:fill="FFFFFF"/>
            <w:noWrap/>
            <w:vAlign w:val="center"/>
            <w:hideMark/>
          </w:tcPr>
          <w:p w14:paraId="4086A008" w14:textId="0019C9C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115 </w:t>
            </w:r>
          </w:p>
        </w:tc>
        <w:tc>
          <w:tcPr>
            <w:tcW w:w="854" w:type="dxa"/>
            <w:gridSpan w:val="2"/>
            <w:tcBorders>
              <w:top w:val="nil"/>
              <w:left w:val="nil"/>
              <w:bottom w:val="nil"/>
              <w:right w:val="nil"/>
            </w:tcBorders>
            <w:shd w:val="clear" w:color="000000" w:fill="FFFFFF"/>
            <w:noWrap/>
            <w:vAlign w:val="center"/>
            <w:hideMark/>
          </w:tcPr>
          <w:p w14:paraId="7280A854" w14:textId="41A3EFD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239" w:type="dxa"/>
            <w:tcBorders>
              <w:top w:val="nil"/>
              <w:left w:val="nil"/>
              <w:bottom w:val="nil"/>
              <w:right w:val="nil"/>
            </w:tcBorders>
            <w:shd w:val="clear" w:color="000000" w:fill="D9D9D9"/>
            <w:noWrap/>
            <w:vAlign w:val="center"/>
            <w:hideMark/>
          </w:tcPr>
          <w:p w14:paraId="4CC683BE"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76B8F925" w14:textId="785FA58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w:t>
            </w:r>
          </w:p>
        </w:tc>
        <w:tc>
          <w:tcPr>
            <w:tcW w:w="850" w:type="dxa"/>
            <w:tcBorders>
              <w:top w:val="nil"/>
              <w:left w:val="nil"/>
              <w:bottom w:val="nil"/>
              <w:right w:val="nil"/>
            </w:tcBorders>
            <w:shd w:val="clear" w:color="000000" w:fill="FFFFFF"/>
            <w:noWrap/>
            <w:vAlign w:val="center"/>
            <w:hideMark/>
          </w:tcPr>
          <w:p w14:paraId="3EABB63D" w14:textId="0EBE68C3"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3 </w:t>
            </w:r>
          </w:p>
        </w:tc>
        <w:tc>
          <w:tcPr>
            <w:tcW w:w="854" w:type="dxa"/>
            <w:gridSpan w:val="2"/>
            <w:tcBorders>
              <w:top w:val="nil"/>
              <w:left w:val="nil"/>
              <w:bottom w:val="nil"/>
              <w:right w:val="nil"/>
            </w:tcBorders>
            <w:shd w:val="clear" w:color="000000" w:fill="FFFFFF"/>
            <w:noWrap/>
            <w:vAlign w:val="center"/>
            <w:hideMark/>
          </w:tcPr>
          <w:p w14:paraId="7A3B9A2D" w14:textId="4935FEE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r>
      <w:tr w:rsidR="00EB4CBD" w:rsidRPr="008F4DF9" w14:paraId="40F0881F" w14:textId="77777777" w:rsidTr="00845CBE">
        <w:tc>
          <w:tcPr>
            <w:tcW w:w="3828" w:type="dxa"/>
            <w:tcBorders>
              <w:top w:val="nil"/>
              <w:left w:val="nil"/>
              <w:bottom w:val="nil"/>
              <w:right w:val="nil"/>
            </w:tcBorders>
            <w:shd w:val="clear" w:color="000000" w:fill="FFFFFF"/>
            <w:noWrap/>
            <w:vAlign w:val="center"/>
            <w:hideMark/>
          </w:tcPr>
          <w:p w14:paraId="3F813D13"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5C10E1A9"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EADEF7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854B65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B09918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69202A0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1F832E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3508A0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6FC87C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5F6CB3C3" w14:textId="77777777" w:rsidTr="00845CBE">
        <w:tc>
          <w:tcPr>
            <w:tcW w:w="3828" w:type="dxa"/>
            <w:tcBorders>
              <w:top w:val="nil"/>
              <w:left w:val="nil"/>
              <w:bottom w:val="nil"/>
              <w:right w:val="nil"/>
            </w:tcBorders>
            <w:shd w:val="clear" w:color="000000" w:fill="FFFFFF"/>
            <w:noWrap/>
            <w:vAlign w:val="center"/>
            <w:hideMark/>
          </w:tcPr>
          <w:p w14:paraId="66A2F004" w14:textId="1E9D94DA" w:rsidR="00EB4CBD" w:rsidRPr="008F4DF9" w:rsidRDefault="009154DA" w:rsidP="003F135F">
            <w:pPr>
              <w:ind w:left="0" w:firstLine="0"/>
              <w:rPr>
                <w:rFonts w:asciiTheme="minorHAnsi" w:eastAsia="Times New Roman" w:hAnsiTheme="minorHAnsi" w:cstheme="minorHAnsi"/>
                <w:b/>
                <w:bCs/>
                <w:sz w:val="20"/>
                <w:szCs w:val="20"/>
              </w:rPr>
            </w:pPr>
            <w:r>
              <w:rPr>
                <w:rFonts w:asciiTheme="minorHAnsi" w:hAnsiTheme="minorHAnsi"/>
                <w:b/>
                <w:bCs/>
                <w:sz w:val="20"/>
                <w:szCs w:val="20"/>
              </w:rPr>
              <w:t>Total,</w:t>
            </w:r>
            <w:r w:rsidR="00EB4CBD" w:rsidRPr="008F4DF9">
              <w:rPr>
                <w:rFonts w:asciiTheme="minorHAnsi" w:hAnsiTheme="minorHAnsi"/>
                <w:b/>
                <w:bCs/>
                <w:sz w:val="20"/>
                <w:szCs w:val="20"/>
              </w:rPr>
              <w:t xml:space="preserve"> </w:t>
            </w:r>
            <w:r w:rsidR="006D4727">
              <w:rPr>
                <w:rFonts w:asciiTheme="minorHAnsi" w:hAnsiTheme="minorHAnsi"/>
                <w:b/>
                <w:bCs/>
                <w:sz w:val="20"/>
                <w:szCs w:val="20"/>
              </w:rPr>
              <w:t>I</w:t>
            </w:r>
            <w:r w:rsidR="00EB4CBD" w:rsidRPr="008F4DF9">
              <w:rPr>
                <w:rFonts w:asciiTheme="minorHAnsi" w:hAnsiTheme="minorHAnsi"/>
                <w:b/>
                <w:bCs/>
                <w:sz w:val="20"/>
                <w:szCs w:val="20"/>
              </w:rPr>
              <w:t>ngresos</w:t>
            </w:r>
          </w:p>
        </w:tc>
        <w:tc>
          <w:tcPr>
            <w:tcW w:w="687" w:type="dxa"/>
            <w:tcBorders>
              <w:top w:val="nil"/>
              <w:left w:val="nil"/>
              <w:bottom w:val="nil"/>
              <w:right w:val="nil"/>
            </w:tcBorders>
            <w:shd w:val="clear" w:color="000000" w:fill="FFFFFF"/>
            <w:noWrap/>
            <w:vAlign w:val="center"/>
            <w:hideMark/>
          </w:tcPr>
          <w:p w14:paraId="13DEB2BB"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FFFFFF"/>
            <w:noWrap/>
            <w:vAlign w:val="center"/>
            <w:hideMark/>
          </w:tcPr>
          <w:p w14:paraId="617B6B46" w14:textId="480EA54D"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4</w:t>
            </w:r>
            <w:r w:rsidR="00652E0C" w:rsidRPr="008F4DF9">
              <w:rPr>
                <w:rFonts w:asciiTheme="minorHAnsi" w:hAnsiTheme="minorHAnsi"/>
                <w:b/>
                <w:bCs/>
                <w:sz w:val="20"/>
                <w:szCs w:val="20"/>
              </w:rPr>
              <w:t> </w:t>
            </w:r>
            <w:r w:rsidRPr="008F4DF9">
              <w:rPr>
                <w:rFonts w:asciiTheme="minorHAnsi" w:hAnsiTheme="minorHAnsi"/>
                <w:b/>
                <w:bCs/>
                <w:sz w:val="20"/>
                <w:szCs w:val="20"/>
              </w:rPr>
              <w:t xml:space="preserve">932 </w:t>
            </w:r>
          </w:p>
        </w:tc>
        <w:tc>
          <w:tcPr>
            <w:tcW w:w="850" w:type="dxa"/>
            <w:tcBorders>
              <w:top w:val="single" w:sz="4" w:space="0" w:color="auto"/>
              <w:left w:val="nil"/>
              <w:bottom w:val="single" w:sz="4" w:space="0" w:color="auto"/>
              <w:right w:val="nil"/>
            </w:tcBorders>
            <w:shd w:val="clear" w:color="000000" w:fill="FFFFFF"/>
            <w:noWrap/>
            <w:vAlign w:val="center"/>
            <w:hideMark/>
          </w:tcPr>
          <w:p w14:paraId="6B528DD5" w14:textId="49E61EE4"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496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CA80C3E" w14:textId="0EC5AFDA"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5</w:t>
            </w:r>
            <w:r w:rsidR="00652E0C" w:rsidRPr="008F4DF9">
              <w:rPr>
                <w:rFonts w:asciiTheme="minorHAnsi" w:hAnsiTheme="minorHAnsi"/>
                <w:b/>
                <w:bCs/>
                <w:sz w:val="20"/>
                <w:szCs w:val="20"/>
              </w:rPr>
              <w:t> </w:t>
            </w:r>
            <w:r w:rsidRPr="008F4DF9">
              <w:rPr>
                <w:rFonts w:asciiTheme="minorHAnsi" w:hAnsiTheme="minorHAnsi"/>
                <w:b/>
                <w:bCs/>
                <w:sz w:val="20"/>
                <w:szCs w:val="20"/>
              </w:rPr>
              <w:t xml:space="preserve">428 </w:t>
            </w:r>
          </w:p>
        </w:tc>
        <w:tc>
          <w:tcPr>
            <w:tcW w:w="239" w:type="dxa"/>
            <w:tcBorders>
              <w:top w:val="single" w:sz="4" w:space="0" w:color="auto"/>
              <w:left w:val="nil"/>
              <w:bottom w:val="single" w:sz="4" w:space="0" w:color="auto"/>
              <w:right w:val="nil"/>
            </w:tcBorders>
            <w:shd w:val="clear" w:color="000000" w:fill="D9D9D9"/>
            <w:noWrap/>
            <w:vAlign w:val="center"/>
            <w:hideMark/>
          </w:tcPr>
          <w:p w14:paraId="25EA6A4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FFFFFF"/>
            <w:noWrap/>
            <w:vAlign w:val="center"/>
            <w:hideMark/>
          </w:tcPr>
          <w:p w14:paraId="2CFB479C" w14:textId="53BCDC9F"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5</w:t>
            </w:r>
            <w:r w:rsidR="00652E0C" w:rsidRPr="008F4DF9">
              <w:rPr>
                <w:rFonts w:asciiTheme="minorHAnsi" w:hAnsiTheme="minorHAnsi"/>
                <w:b/>
                <w:bCs/>
                <w:sz w:val="20"/>
                <w:szCs w:val="20"/>
              </w:rPr>
              <w:t> </w:t>
            </w:r>
            <w:r w:rsidRPr="008F4DF9">
              <w:rPr>
                <w:rFonts w:asciiTheme="minorHAnsi" w:hAnsiTheme="minorHAnsi"/>
                <w:b/>
                <w:bCs/>
                <w:sz w:val="20"/>
                <w:szCs w:val="20"/>
              </w:rPr>
              <w:t xml:space="preserve">063 </w:t>
            </w:r>
          </w:p>
        </w:tc>
        <w:tc>
          <w:tcPr>
            <w:tcW w:w="850" w:type="dxa"/>
            <w:tcBorders>
              <w:top w:val="single" w:sz="4" w:space="0" w:color="auto"/>
              <w:left w:val="nil"/>
              <w:bottom w:val="single" w:sz="4" w:space="0" w:color="auto"/>
              <w:right w:val="nil"/>
            </w:tcBorders>
            <w:shd w:val="clear" w:color="000000" w:fill="FFFFFF"/>
            <w:noWrap/>
            <w:vAlign w:val="center"/>
            <w:hideMark/>
          </w:tcPr>
          <w:p w14:paraId="23C0F99A" w14:textId="3A440158"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1</w:t>
            </w:r>
            <w:r w:rsidR="00652E0C" w:rsidRPr="008F4DF9">
              <w:rPr>
                <w:rFonts w:asciiTheme="minorHAnsi" w:hAnsiTheme="minorHAnsi"/>
                <w:b/>
                <w:bCs/>
                <w:sz w:val="20"/>
                <w:szCs w:val="20"/>
              </w:rPr>
              <w:t> </w:t>
            </w:r>
            <w:r w:rsidRPr="008F4DF9">
              <w:rPr>
                <w:rFonts w:asciiTheme="minorHAnsi" w:hAnsiTheme="minorHAnsi"/>
                <w:b/>
                <w:bCs/>
                <w:sz w:val="20"/>
                <w:szCs w:val="20"/>
              </w:rPr>
              <w:t xml:space="preserve">667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1C17FDB4" w14:textId="01A64111"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6</w:t>
            </w:r>
            <w:r w:rsidR="00652E0C" w:rsidRPr="008F4DF9">
              <w:rPr>
                <w:rFonts w:asciiTheme="minorHAnsi" w:hAnsiTheme="minorHAnsi"/>
                <w:b/>
                <w:bCs/>
                <w:sz w:val="20"/>
                <w:szCs w:val="20"/>
              </w:rPr>
              <w:t> </w:t>
            </w:r>
            <w:r w:rsidRPr="008F4DF9">
              <w:rPr>
                <w:rFonts w:asciiTheme="minorHAnsi" w:hAnsiTheme="minorHAnsi"/>
                <w:b/>
                <w:bCs/>
                <w:sz w:val="20"/>
                <w:szCs w:val="20"/>
              </w:rPr>
              <w:t xml:space="preserve">730 </w:t>
            </w:r>
          </w:p>
        </w:tc>
      </w:tr>
      <w:tr w:rsidR="00EB4CBD" w:rsidRPr="008F4DF9" w14:paraId="2182DE1F" w14:textId="77777777" w:rsidTr="00845CBE">
        <w:tc>
          <w:tcPr>
            <w:tcW w:w="3828" w:type="dxa"/>
            <w:tcBorders>
              <w:top w:val="nil"/>
              <w:left w:val="nil"/>
              <w:bottom w:val="nil"/>
              <w:right w:val="nil"/>
            </w:tcBorders>
            <w:shd w:val="clear" w:color="000000" w:fill="FFFFFF"/>
            <w:noWrap/>
            <w:vAlign w:val="center"/>
            <w:hideMark/>
          </w:tcPr>
          <w:p w14:paraId="683923B8" w14:textId="77777777" w:rsidR="00EB4CBD" w:rsidRPr="008F4DF9" w:rsidRDefault="00EB4CBD" w:rsidP="003F135F">
            <w:pPr>
              <w:ind w:left="0" w:firstLine="0"/>
              <w:rPr>
                <w:rFonts w:asciiTheme="minorHAnsi" w:eastAsia="Times New Roman" w:hAnsiTheme="minorHAnsi" w:cstheme="minorHAnsi"/>
                <w:color w:val="000000"/>
                <w:sz w:val="20"/>
                <w:szCs w:val="20"/>
              </w:rPr>
            </w:pPr>
            <w:r w:rsidRPr="008F4DF9">
              <w:rPr>
                <w:rFonts w:asciiTheme="minorHAnsi" w:hAnsiTheme="minorHAnsi"/>
                <w:color w:val="000000"/>
                <w:sz w:val="20"/>
                <w:szCs w:val="20"/>
              </w:rPr>
              <w:t> </w:t>
            </w:r>
          </w:p>
        </w:tc>
        <w:tc>
          <w:tcPr>
            <w:tcW w:w="687" w:type="dxa"/>
            <w:tcBorders>
              <w:top w:val="nil"/>
              <w:left w:val="nil"/>
              <w:bottom w:val="nil"/>
              <w:right w:val="nil"/>
            </w:tcBorders>
            <w:shd w:val="clear" w:color="000000" w:fill="FFFFFF"/>
            <w:noWrap/>
            <w:vAlign w:val="center"/>
            <w:hideMark/>
          </w:tcPr>
          <w:p w14:paraId="731C288D"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A4C99D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53AE31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DD2CF2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B6155B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02346A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0AF40F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8C2BAB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773FA633" w14:textId="77777777" w:rsidTr="00845CBE">
        <w:tc>
          <w:tcPr>
            <w:tcW w:w="3828" w:type="dxa"/>
            <w:tcBorders>
              <w:top w:val="nil"/>
              <w:left w:val="nil"/>
              <w:bottom w:val="nil"/>
              <w:right w:val="nil"/>
            </w:tcBorders>
            <w:shd w:val="clear" w:color="000000" w:fill="FFFFFF"/>
            <w:noWrap/>
            <w:vAlign w:val="center"/>
            <w:hideMark/>
          </w:tcPr>
          <w:p w14:paraId="34900F99" w14:textId="77777777"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Gastos</w:t>
            </w:r>
          </w:p>
        </w:tc>
        <w:tc>
          <w:tcPr>
            <w:tcW w:w="687" w:type="dxa"/>
            <w:tcBorders>
              <w:top w:val="nil"/>
              <w:left w:val="nil"/>
              <w:bottom w:val="nil"/>
              <w:right w:val="nil"/>
            </w:tcBorders>
            <w:shd w:val="clear" w:color="000000" w:fill="FFFFFF"/>
            <w:noWrap/>
            <w:vAlign w:val="center"/>
            <w:hideMark/>
          </w:tcPr>
          <w:p w14:paraId="15B32D3D"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5DB29A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3ADE9C0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E4A5B7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5A3619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7E469D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81FD1A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179585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190D2D9A" w14:textId="77777777" w:rsidTr="00845CBE">
        <w:tc>
          <w:tcPr>
            <w:tcW w:w="3828" w:type="dxa"/>
            <w:tcBorders>
              <w:top w:val="nil"/>
              <w:left w:val="nil"/>
              <w:bottom w:val="nil"/>
              <w:right w:val="nil"/>
            </w:tcBorders>
            <w:shd w:val="clear" w:color="000000" w:fill="FFFFFF"/>
            <w:noWrap/>
            <w:vAlign w:val="center"/>
            <w:hideMark/>
          </w:tcPr>
          <w:p w14:paraId="5FD7D821" w14:textId="77777777" w:rsidR="00EB4CBD" w:rsidRPr="008F4DF9" w:rsidRDefault="00EB4CBD" w:rsidP="003F135F">
            <w:pPr>
              <w:ind w:left="0" w:firstLine="0"/>
              <w:rPr>
                <w:rFonts w:asciiTheme="minorHAnsi" w:eastAsia="Times New Roman" w:hAnsiTheme="minorHAnsi" w:cstheme="minorHAnsi"/>
                <w:i/>
                <w:iCs/>
                <w:color w:val="000000"/>
                <w:sz w:val="20"/>
                <w:szCs w:val="20"/>
              </w:rPr>
            </w:pPr>
            <w:r w:rsidRPr="008F4DF9">
              <w:rPr>
                <w:rFonts w:asciiTheme="minorHAnsi" w:hAnsiTheme="minorHAnsi"/>
                <w:i/>
                <w:iCs/>
                <w:color w:val="000000"/>
                <w:sz w:val="20"/>
                <w:szCs w:val="20"/>
              </w:rPr>
              <w:t>Gastos de funcionamiento:</w:t>
            </w:r>
          </w:p>
        </w:tc>
        <w:tc>
          <w:tcPr>
            <w:tcW w:w="687" w:type="dxa"/>
            <w:tcBorders>
              <w:top w:val="nil"/>
              <w:left w:val="nil"/>
              <w:bottom w:val="nil"/>
              <w:right w:val="nil"/>
            </w:tcBorders>
            <w:shd w:val="clear" w:color="000000" w:fill="FFFFFF"/>
            <w:noWrap/>
            <w:vAlign w:val="center"/>
            <w:hideMark/>
          </w:tcPr>
          <w:p w14:paraId="768B4F83"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5976598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E25CE1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51AD61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2193AEC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9A50FB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BD6B11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A2C1AC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09589BE3" w14:textId="77777777" w:rsidTr="00845CBE">
        <w:tc>
          <w:tcPr>
            <w:tcW w:w="3828" w:type="dxa"/>
            <w:tcBorders>
              <w:top w:val="nil"/>
              <w:left w:val="nil"/>
              <w:bottom w:val="nil"/>
              <w:right w:val="nil"/>
            </w:tcBorders>
            <w:shd w:val="clear" w:color="000000" w:fill="FFFFFF"/>
            <w:noWrap/>
            <w:vAlign w:val="center"/>
            <w:hideMark/>
          </w:tcPr>
          <w:p w14:paraId="299B1B7A" w14:textId="043D0C84"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Movilización de recursos y promoción</w:t>
            </w:r>
          </w:p>
        </w:tc>
        <w:tc>
          <w:tcPr>
            <w:tcW w:w="687" w:type="dxa"/>
            <w:tcBorders>
              <w:top w:val="nil"/>
              <w:left w:val="nil"/>
              <w:bottom w:val="nil"/>
              <w:right w:val="nil"/>
            </w:tcBorders>
            <w:shd w:val="clear" w:color="000000" w:fill="FFFFFF"/>
            <w:noWrap/>
            <w:vAlign w:val="center"/>
            <w:hideMark/>
          </w:tcPr>
          <w:p w14:paraId="3E79E971"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5FD70E3" w14:textId="39C5C66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(319)</w:t>
            </w:r>
          </w:p>
        </w:tc>
        <w:tc>
          <w:tcPr>
            <w:tcW w:w="850" w:type="dxa"/>
            <w:tcBorders>
              <w:top w:val="nil"/>
              <w:left w:val="nil"/>
              <w:bottom w:val="nil"/>
              <w:right w:val="nil"/>
            </w:tcBorders>
            <w:shd w:val="clear" w:color="000000" w:fill="FFFFFF"/>
            <w:noWrap/>
            <w:vAlign w:val="center"/>
            <w:hideMark/>
          </w:tcPr>
          <w:p w14:paraId="300DB484" w14:textId="04DAAE0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(159)</w:t>
            </w:r>
          </w:p>
        </w:tc>
        <w:tc>
          <w:tcPr>
            <w:tcW w:w="854" w:type="dxa"/>
            <w:gridSpan w:val="2"/>
            <w:tcBorders>
              <w:top w:val="nil"/>
              <w:left w:val="nil"/>
              <w:bottom w:val="nil"/>
              <w:right w:val="nil"/>
            </w:tcBorders>
            <w:shd w:val="clear" w:color="000000" w:fill="FFFFFF"/>
            <w:noWrap/>
            <w:vAlign w:val="center"/>
            <w:hideMark/>
          </w:tcPr>
          <w:p w14:paraId="73136898" w14:textId="735819E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(478)</w:t>
            </w:r>
          </w:p>
        </w:tc>
        <w:tc>
          <w:tcPr>
            <w:tcW w:w="239" w:type="dxa"/>
            <w:tcBorders>
              <w:top w:val="nil"/>
              <w:left w:val="nil"/>
              <w:bottom w:val="nil"/>
              <w:right w:val="nil"/>
            </w:tcBorders>
            <w:shd w:val="clear" w:color="000000" w:fill="D9D9D9"/>
            <w:noWrap/>
            <w:vAlign w:val="center"/>
            <w:hideMark/>
          </w:tcPr>
          <w:p w14:paraId="4AA09557"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0D8E09D8" w14:textId="1343CF7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(556)</w:t>
            </w:r>
          </w:p>
        </w:tc>
        <w:tc>
          <w:tcPr>
            <w:tcW w:w="850" w:type="dxa"/>
            <w:tcBorders>
              <w:top w:val="nil"/>
              <w:left w:val="nil"/>
              <w:bottom w:val="nil"/>
              <w:right w:val="nil"/>
            </w:tcBorders>
            <w:shd w:val="clear" w:color="000000" w:fill="FFFFFF"/>
            <w:noWrap/>
            <w:vAlign w:val="center"/>
            <w:hideMark/>
          </w:tcPr>
          <w:p w14:paraId="6279FC82" w14:textId="2EAE061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(321)</w:t>
            </w:r>
          </w:p>
        </w:tc>
        <w:tc>
          <w:tcPr>
            <w:tcW w:w="854" w:type="dxa"/>
            <w:gridSpan w:val="2"/>
            <w:tcBorders>
              <w:top w:val="nil"/>
              <w:left w:val="nil"/>
              <w:bottom w:val="nil"/>
              <w:right w:val="nil"/>
            </w:tcBorders>
            <w:shd w:val="clear" w:color="000000" w:fill="FFFFFF"/>
            <w:noWrap/>
            <w:vAlign w:val="center"/>
            <w:hideMark/>
          </w:tcPr>
          <w:p w14:paraId="298C6056" w14:textId="54F6C25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(877)</w:t>
            </w:r>
          </w:p>
        </w:tc>
      </w:tr>
      <w:tr w:rsidR="00EB4CBD" w:rsidRPr="008F4DF9" w14:paraId="4C710109" w14:textId="77777777" w:rsidTr="00845CBE">
        <w:tc>
          <w:tcPr>
            <w:tcW w:w="3828" w:type="dxa"/>
            <w:tcBorders>
              <w:top w:val="nil"/>
              <w:left w:val="nil"/>
              <w:bottom w:val="nil"/>
              <w:right w:val="nil"/>
            </w:tcBorders>
            <w:shd w:val="clear" w:color="000000" w:fill="FFFFFF"/>
            <w:noWrap/>
            <w:vAlign w:val="center"/>
            <w:hideMark/>
          </w:tcPr>
          <w:p w14:paraId="2761025F" w14:textId="1989AB31"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Asesoramiento, iniciativas y apoyo regionales</w:t>
            </w:r>
          </w:p>
        </w:tc>
        <w:tc>
          <w:tcPr>
            <w:tcW w:w="687" w:type="dxa"/>
            <w:tcBorders>
              <w:top w:val="nil"/>
              <w:left w:val="nil"/>
              <w:bottom w:val="nil"/>
              <w:right w:val="nil"/>
            </w:tcBorders>
            <w:shd w:val="clear" w:color="000000" w:fill="FFFFFF"/>
            <w:noWrap/>
            <w:vAlign w:val="center"/>
            <w:hideMark/>
          </w:tcPr>
          <w:p w14:paraId="4FA4C51C"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F2AB1C3" w14:textId="3DE5A971"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w:t>
            </w:r>
            <w:r w:rsidR="00652E0C" w:rsidRPr="008F4DF9">
              <w:rPr>
                <w:rFonts w:asciiTheme="minorHAnsi" w:hAnsiTheme="minorHAnsi"/>
                <w:sz w:val="20"/>
                <w:szCs w:val="20"/>
              </w:rPr>
              <w:t> </w:t>
            </w:r>
            <w:r w:rsidRPr="008F4DF9">
              <w:rPr>
                <w:rFonts w:asciiTheme="minorHAnsi" w:hAnsiTheme="minorHAnsi"/>
                <w:sz w:val="20"/>
                <w:szCs w:val="20"/>
              </w:rPr>
              <w:t>245)</w:t>
            </w:r>
          </w:p>
        </w:tc>
        <w:tc>
          <w:tcPr>
            <w:tcW w:w="850" w:type="dxa"/>
            <w:tcBorders>
              <w:top w:val="nil"/>
              <w:left w:val="nil"/>
              <w:bottom w:val="nil"/>
              <w:right w:val="nil"/>
            </w:tcBorders>
            <w:shd w:val="clear" w:color="000000" w:fill="FFFFFF"/>
            <w:noWrap/>
            <w:vAlign w:val="center"/>
            <w:hideMark/>
          </w:tcPr>
          <w:p w14:paraId="2AA29F05" w14:textId="25AACC73"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(174)</w:t>
            </w:r>
          </w:p>
        </w:tc>
        <w:tc>
          <w:tcPr>
            <w:tcW w:w="854" w:type="dxa"/>
            <w:gridSpan w:val="2"/>
            <w:tcBorders>
              <w:top w:val="nil"/>
              <w:left w:val="nil"/>
              <w:bottom w:val="nil"/>
              <w:right w:val="nil"/>
            </w:tcBorders>
            <w:shd w:val="clear" w:color="000000" w:fill="FFFFFF"/>
            <w:noWrap/>
            <w:vAlign w:val="center"/>
            <w:hideMark/>
          </w:tcPr>
          <w:p w14:paraId="1B7A2641" w14:textId="1E73F941"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419)</w:t>
            </w:r>
          </w:p>
        </w:tc>
        <w:tc>
          <w:tcPr>
            <w:tcW w:w="239" w:type="dxa"/>
            <w:tcBorders>
              <w:top w:val="nil"/>
              <w:left w:val="nil"/>
              <w:bottom w:val="nil"/>
              <w:right w:val="nil"/>
            </w:tcBorders>
            <w:shd w:val="clear" w:color="000000" w:fill="D9D9D9"/>
            <w:noWrap/>
            <w:vAlign w:val="center"/>
            <w:hideMark/>
          </w:tcPr>
          <w:p w14:paraId="381A3A12"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61328FB1" w14:textId="16792B2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w:t>
            </w:r>
            <w:r w:rsidR="00652E0C" w:rsidRPr="008F4DF9">
              <w:rPr>
                <w:rFonts w:asciiTheme="minorHAnsi" w:hAnsiTheme="minorHAnsi"/>
                <w:sz w:val="20"/>
                <w:szCs w:val="20"/>
              </w:rPr>
              <w:t> </w:t>
            </w:r>
            <w:r w:rsidRPr="008F4DF9">
              <w:rPr>
                <w:rFonts w:asciiTheme="minorHAnsi" w:hAnsiTheme="minorHAnsi"/>
                <w:sz w:val="20"/>
                <w:szCs w:val="20"/>
              </w:rPr>
              <w:t>389)</w:t>
            </w:r>
          </w:p>
        </w:tc>
        <w:tc>
          <w:tcPr>
            <w:tcW w:w="850" w:type="dxa"/>
            <w:tcBorders>
              <w:top w:val="nil"/>
              <w:left w:val="nil"/>
              <w:bottom w:val="nil"/>
              <w:right w:val="nil"/>
            </w:tcBorders>
            <w:shd w:val="clear" w:color="000000" w:fill="FFFFFF"/>
            <w:noWrap/>
            <w:vAlign w:val="center"/>
            <w:hideMark/>
          </w:tcPr>
          <w:p w14:paraId="26F67177" w14:textId="0DFA765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(197)</w:t>
            </w:r>
          </w:p>
        </w:tc>
        <w:tc>
          <w:tcPr>
            <w:tcW w:w="854" w:type="dxa"/>
            <w:gridSpan w:val="2"/>
            <w:tcBorders>
              <w:top w:val="nil"/>
              <w:left w:val="nil"/>
              <w:bottom w:val="nil"/>
              <w:right w:val="nil"/>
            </w:tcBorders>
            <w:shd w:val="clear" w:color="000000" w:fill="FFFFFF"/>
            <w:noWrap/>
            <w:vAlign w:val="center"/>
            <w:hideMark/>
          </w:tcPr>
          <w:p w14:paraId="59DE9E6F" w14:textId="04964CC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w:t>
            </w:r>
            <w:r w:rsidR="00652E0C" w:rsidRPr="008F4DF9">
              <w:rPr>
                <w:rFonts w:asciiTheme="minorHAnsi" w:hAnsiTheme="minorHAnsi"/>
                <w:sz w:val="20"/>
                <w:szCs w:val="20"/>
              </w:rPr>
              <w:t> </w:t>
            </w:r>
            <w:r w:rsidRPr="008F4DF9">
              <w:rPr>
                <w:rFonts w:asciiTheme="minorHAnsi" w:hAnsiTheme="minorHAnsi"/>
                <w:sz w:val="20"/>
                <w:szCs w:val="20"/>
              </w:rPr>
              <w:t>585)</w:t>
            </w:r>
          </w:p>
        </w:tc>
      </w:tr>
      <w:tr w:rsidR="00EB4CBD" w:rsidRPr="008F4DF9" w14:paraId="5488D7FB" w14:textId="77777777" w:rsidTr="00845CBE">
        <w:tc>
          <w:tcPr>
            <w:tcW w:w="3828" w:type="dxa"/>
            <w:tcBorders>
              <w:top w:val="nil"/>
              <w:left w:val="nil"/>
              <w:bottom w:val="nil"/>
              <w:right w:val="nil"/>
            </w:tcBorders>
            <w:shd w:val="clear" w:color="000000" w:fill="FFFFFF"/>
            <w:noWrap/>
            <w:vAlign w:val="center"/>
            <w:hideMark/>
          </w:tcPr>
          <w:p w14:paraId="264181A6" w14:textId="35D13D0C"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Servicios científicos y técnicos</w:t>
            </w:r>
          </w:p>
        </w:tc>
        <w:tc>
          <w:tcPr>
            <w:tcW w:w="687" w:type="dxa"/>
            <w:tcBorders>
              <w:top w:val="nil"/>
              <w:left w:val="nil"/>
              <w:bottom w:val="nil"/>
              <w:right w:val="nil"/>
            </w:tcBorders>
            <w:shd w:val="clear" w:color="000000" w:fill="FFFFFF"/>
            <w:noWrap/>
            <w:vAlign w:val="center"/>
            <w:hideMark/>
          </w:tcPr>
          <w:p w14:paraId="3A178CCE"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48189F6" w14:textId="15E79D2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(640)</w:t>
            </w:r>
          </w:p>
        </w:tc>
        <w:tc>
          <w:tcPr>
            <w:tcW w:w="850" w:type="dxa"/>
            <w:tcBorders>
              <w:top w:val="nil"/>
              <w:left w:val="nil"/>
              <w:bottom w:val="nil"/>
              <w:right w:val="nil"/>
            </w:tcBorders>
            <w:shd w:val="clear" w:color="000000" w:fill="FFFFFF"/>
            <w:noWrap/>
            <w:vAlign w:val="center"/>
            <w:hideMark/>
          </w:tcPr>
          <w:p w14:paraId="6F13DB57" w14:textId="1D47AF5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0 </w:t>
            </w:r>
          </w:p>
        </w:tc>
        <w:tc>
          <w:tcPr>
            <w:tcW w:w="854" w:type="dxa"/>
            <w:gridSpan w:val="2"/>
            <w:tcBorders>
              <w:top w:val="nil"/>
              <w:left w:val="nil"/>
              <w:bottom w:val="nil"/>
              <w:right w:val="nil"/>
            </w:tcBorders>
            <w:shd w:val="clear" w:color="000000" w:fill="FFFFFF"/>
            <w:noWrap/>
            <w:vAlign w:val="center"/>
            <w:hideMark/>
          </w:tcPr>
          <w:p w14:paraId="1137FD3F" w14:textId="5E599B7F"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(640)</w:t>
            </w:r>
          </w:p>
        </w:tc>
        <w:tc>
          <w:tcPr>
            <w:tcW w:w="239" w:type="dxa"/>
            <w:tcBorders>
              <w:top w:val="nil"/>
              <w:left w:val="nil"/>
              <w:bottom w:val="nil"/>
              <w:right w:val="nil"/>
            </w:tcBorders>
            <w:shd w:val="clear" w:color="000000" w:fill="D9D9D9"/>
            <w:noWrap/>
            <w:vAlign w:val="center"/>
            <w:hideMark/>
          </w:tcPr>
          <w:p w14:paraId="2BFB256A"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CD730F1" w14:textId="58C19BB1"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(301)</w:t>
            </w:r>
          </w:p>
        </w:tc>
        <w:tc>
          <w:tcPr>
            <w:tcW w:w="850" w:type="dxa"/>
            <w:tcBorders>
              <w:top w:val="nil"/>
              <w:left w:val="nil"/>
              <w:bottom w:val="nil"/>
              <w:right w:val="nil"/>
            </w:tcBorders>
            <w:shd w:val="clear" w:color="000000" w:fill="FFFFFF"/>
            <w:noWrap/>
            <w:vAlign w:val="center"/>
            <w:hideMark/>
          </w:tcPr>
          <w:p w14:paraId="56DCB781" w14:textId="11AB384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27 </w:t>
            </w:r>
          </w:p>
        </w:tc>
        <w:tc>
          <w:tcPr>
            <w:tcW w:w="854" w:type="dxa"/>
            <w:gridSpan w:val="2"/>
            <w:tcBorders>
              <w:top w:val="nil"/>
              <w:left w:val="nil"/>
              <w:bottom w:val="nil"/>
              <w:right w:val="nil"/>
            </w:tcBorders>
            <w:shd w:val="clear" w:color="000000" w:fill="FFFFFF"/>
            <w:noWrap/>
            <w:vAlign w:val="center"/>
            <w:hideMark/>
          </w:tcPr>
          <w:p w14:paraId="6D078511" w14:textId="1714529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(275)</w:t>
            </w:r>
          </w:p>
        </w:tc>
      </w:tr>
      <w:tr w:rsidR="00EB4CBD" w:rsidRPr="008F4DF9" w14:paraId="2B661FDD" w14:textId="77777777" w:rsidTr="00845CBE">
        <w:tc>
          <w:tcPr>
            <w:tcW w:w="3828" w:type="dxa"/>
            <w:tcBorders>
              <w:top w:val="nil"/>
              <w:left w:val="nil"/>
              <w:bottom w:val="nil"/>
              <w:right w:val="nil"/>
            </w:tcBorders>
            <w:shd w:val="clear" w:color="000000" w:fill="FFFFFF"/>
            <w:noWrap/>
            <w:vAlign w:val="center"/>
            <w:hideMark/>
          </w:tcPr>
          <w:p w14:paraId="20D2AD4C" w14:textId="01B1AE93"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Gestión, funcionamiento y apoyo</w:t>
            </w:r>
          </w:p>
        </w:tc>
        <w:tc>
          <w:tcPr>
            <w:tcW w:w="687" w:type="dxa"/>
            <w:tcBorders>
              <w:top w:val="nil"/>
              <w:left w:val="nil"/>
              <w:bottom w:val="nil"/>
              <w:right w:val="nil"/>
            </w:tcBorders>
            <w:shd w:val="clear" w:color="000000" w:fill="FFFFFF"/>
            <w:noWrap/>
            <w:vAlign w:val="center"/>
            <w:hideMark/>
          </w:tcPr>
          <w:p w14:paraId="4D4F12C7"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single" w:sz="4" w:space="0" w:color="auto"/>
              <w:right w:val="nil"/>
            </w:tcBorders>
            <w:shd w:val="clear" w:color="000000" w:fill="FFFFFF"/>
            <w:noWrap/>
            <w:vAlign w:val="center"/>
            <w:hideMark/>
          </w:tcPr>
          <w:p w14:paraId="6D9031C9" w14:textId="2EA0B65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w:t>
            </w:r>
            <w:r w:rsidR="00652E0C" w:rsidRPr="008F4DF9">
              <w:rPr>
                <w:rFonts w:asciiTheme="minorHAnsi" w:hAnsiTheme="minorHAnsi"/>
                <w:sz w:val="20"/>
                <w:szCs w:val="20"/>
              </w:rPr>
              <w:t> </w:t>
            </w:r>
            <w:r w:rsidRPr="008F4DF9">
              <w:rPr>
                <w:rFonts w:asciiTheme="minorHAnsi" w:hAnsiTheme="minorHAnsi"/>
                <w:sz w:val="20"/>
                <w:szCs w:val="20"/>
              </w:rPr>
              <w:t>025)</w:t>
            </w:r>
          </w:p>
        </w:tc>
        <w:tc>
          <w:tcPr>
            <w:tcW w:w="850" w:type="dxa"/>
            <w:tcBorders>
              <w:top w:val="nil"/>
              <w:left w:val="nil"/>
              <w:bottom w:val="single" w:sz="4" w:space="0" w:color="auto"/>
              <w:right w:val="nil"/>
            </w:tcBorders>
            <w:shd w:val="clear" w:color="000000" w:fill="FFFFFF"/>
            <w:noWrap/>
            <w:vAlign w:val="center"/>
            <w:hideMark/>
          </w:tcPr>
          <w:p w14:paraId="657029E9" w14:textId="621E57C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3 </w:t>
            </w:r>
          </w:p>
        </w:tc>
        <w:tc>
          <w:tcPr>
            <w:tcW w:w="854" w:type="dxa"/>
            <w:gridSpan w:val="2"/>
            <w:tcBorders>
              <w:top w:val="nil"/>
              <w:left w:val="nil"/>
              <w:bottom w:val="single" w:sz="4" w:space="0" w:color="auto"/>
              <w:right w:val="nil"/>
            </w:tcBorders>
            <w:shd w:val="clear" w:color="000000" w:fill="FFFFFF"/>
            <w:noWrap/>
            <w:vAlign w:val="center"/>
            <w:hideMark/>
          </w:tcPr>
          <w:p w14:paraId="1DA7630E" w14:textId="5673F33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w:t>
            </w:r>
            <w:r w:rsidR="00652E0C" w:rsidRPr="008F4DF9">
              <w:rPr>
                <w:rFonts w:asciiTheme="minorHAnsi" w:hAnsiTheme="minorHAnsi"/>
                <w:sz w:val="20"/>
                <w:szCs w:val="20"/>
              </w:rPr>
              <w:t> </w:t>
            </w:r>
            <w:r w:rsidRPr="008F4DF9">
              <w:rPr>
                <w:rFonts w:asciiTheme="minorHAnsi" w:hAnsiTheme="minorHAnsi"/>
                <w:sz w:val="20"/>
                <w:szCs w:val="20"/>
              </w:rPr>
              <w:t>022)</w:t>
            </w:r>
          </w:p>
        </w:tc>
        <w:tc>
          <w:tcPr>
            <w:tcW w:w="239" w:type="dxa"/>
            <w:tcBorders>
              <w:top w:val="nil"/>
              <w:left w:val="nil"/>
              <w:bottom w:val="single" w:sz="4" w:space="0" w:color="auto"/>
              <w:right w:val="nil"/>
            </w:tcBorders>
            <w:shd w:val="clear" w:color="000000" w:fill="D9D9D9"/>
            <w:noWrap/>
            <w:vAlign w:val="center"/>
            <w:hideMark/>
          </w:tcPr>
          <w:p w14:paraId="398FE1E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5FDA689B" w14:textId="5EE3AB1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w:t>
            </w:r>
            <w:r w:rsidR="00652E0C" w:rsidRPr="008F4DF9">
              <w:rPr>
                <w:rFonts w:asciiTheme="minorHAnsi" w:hAnsiTheme="minorHAnsi"/>
                <w:sz w:val="20"/>
                <w:szCs w:val="20"/>
              </w:rPr>
              <w:t> </w:t>
            </w:r>
            <w:r w:rsidRPr="008F4DF9">
              <w:rPr>
                <w:rFonts w:asciiTheme="minorHAnsi" w:hAnsiTheme="minorHAnsi"/>
                <w:sz w:val="20"/>
                <w:szCs w:val="20"/>
              </w:rPr>
              <w:t>446)</w:t>
            </w:r>
          </w:p>
        </w:tc>
        <w:tc>
          <w:tcPr>
            <w:tcW w:w="850" w:type="dxa"/>
            <w:tcBorders>
              <w:top w:val="nil"/>
              <w:left w:val="nil"/>
              <w:bottom w:val="single" w:sz="4" w:space="0" w:color="auto"/>
              <w:right w:val="nil"/>
            </w:tcBorders>
            <w:shd w:val="clear" w:color="000000" w:fill="FFFFFF"/>
            <w:noWrap/>
            <w:vAlign w:val="center"/>
            <w:hideMark/>
          </w:tcPr>
          <w:p w14:paraId="6E2F6F88" w14:textId="19AC6F7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w:t>
            </w:r>
            <w:r w:rsidR="00652E0C" w:rsidRPr="008F4DF9">
              <w:rPr>
                <w:rFonts w:asciiTheme="minorHAnsi" w:hAnsiTheme="minorHAnsi"/>
                <w:sz w:val="20"/>
                <w:szCs w:val="20"/>
              </w:rPr>
              <w:t> </w:t>
            </w:r>
            <w:r w:rsidRPr="008F4DF9">
              <w:rPr>
                <w:rFonts w:asciiTheme="minorHAnsi" w:hAnsiTheme="minorHAnsi"/>
                <w:sz w:val="20"/>
                <w:szCs w:val="20"/>
              </w:rPr>
              <w:t>353)</w:t>
            </w:r>
          </w:p>
        </w:tc>
        <w:tc>
          <w:tcPr>
            <w:tcW w:w="854" w:type="dxa"/>
            <w:gridSpan w:val="2"/>
            <w:tcBorders>
              <w:top w:val="nil"/>
              <w:left w:val="nil"/>
              <w:bottom w:val="single" w:sz="4" w:space="0" w:color="auto"/>
              <w:right w:val="nil"/>
            </w:tcBorders>
            <w:shd w:val="clear" w:color="000000" w:fill="FFFFFF"/>
            <w:noWrap/>
            <w:vAlign w:val="center"/>
            <w:hideMark/>
          </w:tcPr>
          <w:p w14:paraId="40B99A6D" w14:textId="6FB871C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w:t>
            </w:r>
            <w:r w:rsidR="00652E0C" w:rsidRPr="008F4DF9">
              <w:rPr>
                <w:rFonts w:asciiTheme="minorHAnsi" w:hAnsiTheme="minorHAnsi"/>
                <w:sz w:val="20"/>
                <w:szCs w:val="20"/>
              </w:rPr>
              <w:t> </w:t>
            </w:r>
            <w:r w:rsidRPr="008F4DF9">
              <w:rPr>
                <w:rFonts w:asciiTheme="minorHAnsi" w:hAnsiTheme="minorHAnsi"/>
                <w:sz w:val="20"/>
                <w:szCs w:val="20"/>
              </w:rPr>
              <w:t>799)</w:t>
            </w:r>
          </w:p>
        </w:tc>
      </w:tr>
      <w:tr w:rsidR="00EB4CBD" w:rsidRPr="008F4DF9" w14:paraId="38652CD8" w14:textId="77777777" w:rsidTr="00845CBE">
        <w:tc>
          <w:tcPr>
            <w:tcW w:w="3828" w:type="dxa"/>
            <w:tcBorders>
              <w:top w:val="nil"/>
              <w:left w:val="nil"/>
              <w:bottom w:val="nil"/>
              <w:right w:val="nil"/>
            </w:tcBorders>
            <w:shd w:val="clear" w:color="000000" w:fill="FFFFFF"/>
            <w:noWrap/>
            <w:vAlign w:val="center"/>
            <w:hideMark/>
          </w:tcPr>
          <w:p w14:paraId="07E13A14" w14:textId="56710683" w:rsidR="00EB4CBD" w:rsidRPr="008F4DF9" w:rsidRDefault="009154DA" w:rsidP="003F135F">
            <w:pPr>
              <w:ind w:left="0" w:firstLine="0"/>
              <w:rPr>
                <w:rFonts w:asciiTheme="minorHAnsi" w:eastAsia="Times New Roman" w:hAnsiTheme="minorHAnsi" w:cstheme="minorHAnsi"/>
                <w:i/>
                <w:iCs/>
                <w:sz w:val="20"/>
                <w:szCs w:val="20"/>
              </w:rPr>
            </w:pPr>
            <w:r>
              <w:rPr>
                <w:rFonts w:asciiTheme="minorHAnsi" w:hAnsiTheme="minorHAnsi"/>
                <w:i/>
                <w:iCs/>
                <w:sz w:val="20"/>
                <w:szCs w:val="20"/>
              </w:rPr>
              <w:t>Total,</w:t>
            </w:r>
            <w:r w:rsidR="00EB4CBD" w:rsidRPr="008F4DF9">
              <w:rPr>
                <w:rFonts w:asciiTheme="minorHAnsi" w:hAnsiTheme="minorHAnsi"/>
                <w:i/>
                <w:iCs/>
                <w:sz w:val="20"/>
                <w:szCs w:val="20"/>
              </w:rPr>
              <w:t xml:space="preserve"> </w:t>
            </w:r>
            <w:r w:rsidR="006D4727">
              <w:rPr>
                <w:rFonts w:asciiTheme="minorHAnsi" w:hAnsiTheme="minorHAnsi"/>
                <w:i/>
                <w:iCs/>
                <w:sz w:val="20"/>
                <w:szCs w:val="20"/>
              </w:rPr>
              <w:t>G</w:t>
            </w:r>
            <w:r w:rsidR="00EB4CBD" w:rsidRPr="008F4DF9">
              <w:rPr>
                <w:rFonts w:asciiTheme="minorHAnsi" w:hAnsiTheme="minorHAnsi"/>
                <w:i/>
                <w:iCs/>
                <w:sz w:val="20"/>
                <w:szCs w:val="20"/>
              </w:rPr>
              <w:t>astos de funcionamiento</w:t>
            </w:r>
          </w:p>
        </w:tc>
        <w:tc>
          <w:tcPr>
            <w:tcW w:w="687" w:type="dxa"/>
            <w:tcBorders>
              <w:top w:val="nil"/>
              <w:left w:val="nil"/>
              <w:bottom w:val="nil"/>
              <w:right w:val="nil"/>
            </w:tcBorders>
            <w:shd w:val="clear" w:color="000000" w:fill="FFFFFF"/>
            <w:noWrap/>
            <w:vAlign w:val="center"/>
            <w:hideMark/>
          </w:tcPr>
          <w:p w14:paraId="667DCE1B"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358CE89" w14:textId="5F6C45DD"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(4</w:t>
            </w:r>
            <w:r w:rsidR="00652E0C" w:rsidRPr="008F4DF9">
              <w:rPr>
                <w:rFonts w:asciiTheme="minorHAnsi" w:hAnsiTheme="minorHAnsi"/>
                <w:b/>
                <w:bCs/>
                <w:sz w:val="20"/>
                <w:szCs w:val="20"/>
              </w:rPr>
              <w:t> </w:t>
            </w:r>
            <w:r w:rsidRPr="008F4DF9">
              <w:rPr>
                <w:rFonts w:asciiTheme="minorHAnsi" w:hAnsiTheme="minorHAnsi"/>
                <w:b/>
                <w:bCs/>
                <w:sz w:val="20"/>
                <w:szCs w:val="20"/>
              </w:rPr>
              <w:t>230)</w:t>
            </w:r>
          </w:p>
        </w:tc>
        <w:tc>
          <w:tcPr>
            <w:tcW w:w="850" w:type="dxa"/>
            <w:tcBorders>
              <w:top w:val="nil"/>
              <w:left w:val="nil"/>
              <w:bottom w:val="nil"/>
              <w:right w:val="nil"/>
            </w:tcBorders>
            <w:shd w:val="clear" w:color="000000" w:fill="FFFFFF"/>
            <w:noWrap/>
            <w:vAlign w:val="center"/>
            <w:hideMark/>
          </w:tcPr>
          <w:p w14:paraId="4533ACA8" w14:textId="63AE9AC3"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(329)</w:t>
            </w:r>
          </w:p>
        </w:tc>
        <w:tc>
          <w:tcPr>
            <w:tcW w:w="854" w:type="dxa"/>
            <w:gridSpan w:val="2"/>
            <w:tcBorders>
              <w:top w:val="nil"/>
              <w:left w:val="nil"/>
              <w:bottom w:val="nil"/>
              <w:right w:val="nil"/>
            </w:tcBorders>
            <w:shd w:val="clear" w:color="000000" w:fill="FFFFFF"/>
            <w:noWrap/>
            <w:vAlign w:val="center"/>
            <w:hideMark/>
          </w:tcPr>
          <w:p w14:paraId="6D5957AB" w14:textId="288CC87D"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(4</w:t>
            </w:r>
            <w:r w:rsidR="00652E0C" w:rsidRPr="008F4DF9">
              <w:rPr>
                <w:rFonts w:asciiTheme="minorHAnsi" w:hAnsiTheme="minorHAnsi"/>
                <w:b/>
                <w:bCs/>
                <w:sz w:val="20"/>
                <w:szCs w:val="20"/>
              </w:rPr>
              <w:t> </w:t>
            </w:r>
            <w:r w:rsidRPr="008F4DF9">
              <w:rPr>
                <w:rFonts w:asciiTheme="minorHAnsi" w:hAnsiTheme="minorHAnsi"/>
                <w:b/>
                <w:bCs/>
                <w:sz w:val="20"/>
                <w:szCs w:val="20"/>
              </w:rPr>
              <w:t>559)</w:t>
            </w:r>
          </w:p>
        </w:tc>
        <w:tc>
          <w:tcPr>
            <w:tcW w:w="239" w:type="dxa"/>
            <w:tcBorders>
              <w:top w:val="nil"/>
              <w:left w:val="nil"/>
              <w:bottom w:val="nil"/>
              <w:right w:val="nil"/>
            </w:tcBorders>
            <w:shd w:val="clear" w:color="000000" w:fill="D9D9D9"/>
            <w:noWrap/>
            <w:vAlign w:val="center"/>
            <w:hideMark/>
          </w:tcPr>
          <w:p w14:paraId="17853E5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6DB4ABB9" w14:textId="23B373DD"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(4</w:t>
            </w:r>
            <w:r w:rsidR="00652E0C" w:rsidRPr="008F4DF9">
              <w:rPr>
                <w:rFonts w:asciiTheme="minorHAnsi" w:hAnsiTheme="minorHAnsi"/>
                <w:b/>
                <w:bCs/>
                <w:sz w:val="20"/>
                <w:szCs w:val="20"/>
              </w:rPr>
              <w:t> </w:t>
            </w:r>
            <w:r w:rsidRPr="008F4DF9">
              <w:rPr>
                <w:rFonts w:asciiTheme="minorHAnsi" w:hAnsiTheme="minorHAnsi"/>
                <w:b/>
                <w:bCs/>
                <w:sz w:val="20"/>
                <w:szCs w:val="20"/>
              </w:rPr>
              <w:t>693)</w:t>
            </w:r>
          </w:p>
        </w:tc>
        <w:tc>
          <w:tcPr>
            <w:tcW w:w="850" w:type="dxa"/>
            <w:tcBorders>
              <w:top w:val="nil"/>
              <w:left w:val="nil"/>
              <w:bottom w:val="nil"/>
              <w:right w:val="nil"/>
            </w:tcBorders>
            <w:shd w:val="clear" w:color="000000" w:fill="FFFFFF"/>
            <w:noWrap/>
            <w:vAlign w:val="center"/>
            <w:hideMark/>
          </w:tcPr>
          <w:p w14:paraId="1DBC2E60" w14:textId="1C13BAD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(1</w:t>
            </w:r>
            <w:r w:rsidR="00652E0C" w:rsidRPr="008F4DF9">
              <w:rPr>
                <w:rFonts w:asciiTheme="minorHAnsi" w:hAnsiTheme="minorHAnsi"/>
                <w:b/>
                <w:bCs/>
                <w:sz w:val="20"/>
                <w:szCs w:val="20"/>
              </w:rPr>
              <w:t> </w:t>
            </w:r>
            <w:r w:rsidRPr="008F4DF9">
              <w:rPr>
                <w:rFonts w:asciiTheme="minorHAnsi" w:hAnsiTheme="minorHAnsi"/>
                <w:b/>
                <w:bCs/>
                <w:sz w:val="20"/>
                <w:szCs w:val="20"/>
              </w:rPr>
              <w:t>844)</w:t>
            </w:r>
          </w:p>
        </w:tc>
        <w:tc>
          <w:tcPr>
            <w:tcW w:w="854" w:type="dxa"/>
            <w:gridSpan w:val="2"/>
            <w:tcBorders>
              <w:top w:val="nil"/>
              <w:left w:val="nil"/>
              <w:bottom w:val="nil"/>
              <w:right w:val="nil"/>
            </w:tcBorders>
            <w:shd w:val="clear" w:color="000000" w:fill="FFFFFF"/>
            <w:noWrap/>
            <w:vAlign w:val="center"/>
            <w:hideMark/>
          </w:tcPr>
          <w:p w14:paraId="13D6F441" w14:textId="5EF5BDA8"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(6</w:t>
            </w:r>
            <w:r w:rsidR="00652E0C" w:rsidRPr="008F4DF9">
              <w:rPr>
                <w:rFonts w:asciiTheme="minorHAnsi" w:hAnsiTheme="minorHAnsi"/>
                <w:b/>
                <w:bCs/>
                <w:sz w:val="20"/>
                <w:szCs w:val="20"/>
              </w:rPr>
              <w:t> </w:t>
            </w:r>
            <w:r w:rsidRPr="008F4DF9">
              <w:rPr>
                <w:rFonts w:asciiTheme="minorHAnsi" w:hAnsiTheme="minorHAnsi"/>
                <w:b/>
                <w:bCs/>
                <w:sz w:val="20"/>
                <w:szCs w:val="20"/>
              </w:rPr>
              <w:t>537)</w:t>
            </w:r>
          </w:p>
        </w:tc>
      </w:tr>
      <w:tr w:rsidR="00EB4CBD" w:rsidRPr="008F4DF9" w14:paraId="544BBD52" w14:textId="77777777" w:rsidTr="00845CBE">
        <w:tc>
          <w:tcPr>
            <w:tcW w:w="3828" w:type="dxa"/>
            <w:tcBorders>
              <w:top w:val="nil"/>
              <w:left w:val="nil"/>
              <w:bottom w:val="nil"/>
              <w:right w:val="nil"/>
            </w:tcBorders>
            <w:shd w:val="clear" w:color="000000" w:fill="FFFFFF"/>
            <w:noWrap/>
            <w:vAlign w:val="center"/>
            <w:hideMark/>
          </w:tcPr>
          <w:p w14:paraId="1C761C09"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A1E3645"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414ED5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1B3189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A38DC0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25D257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4A7275C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121EA8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9D17A4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47F27602" w14:textId="77777777" w:rsidTr="00845CBE">
        <w:tc>
          <w:tcPr>
            <w:tcW w:w="3828" w:type="dxa"/>
            <w:tcBorders>
              <w:top w:val="nil"/>
              <w:left w:val="nil"/>
              <w:bottom w:val="nil"/>
              <w:right w:val="nil"/>
            </w:tcBorders>
            <w:shd w:val="clear" w:color="000000" w:fill="FFFFFF"/>
            <w:noWrap/>
            <w:vAlign w:val="center"/>
            <w:hideMark/>
          </w:tcPr>
          <w:p w14:paraId="78AAC4FB" w14:textId="23927134"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Excedente/(Déficit) neto antes de otros ingresos/gastos</w:t>
            </w:r>
          </w:p>
        </w:tc>
        <w:tc>
          <w:tcPr>
            <w:tcW w:w="687" w:type="dxa"/>
            <w:tcBorders>
              <w:top w:val="nil"/>
              <w:left w:val="nil"/>
              <w:bottom w:val="nil"/>
              <w:right w:val="nil"/>
            </w:tcBorders>
            <w:shd w:val="clear" w:color="000000" w:fill="FFFFFF"/>
            <w:noWrap/>
            <w:vAlign w:val="center"/>
            <w:hideMark/>
          </w:tcPr>
          <w:p w14:paraId="4A53DB5A"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FFFFFF"/>
            <w:noWrap/>
            <w:vAlign w:val="center"/>
            <w:hideMark/>
          </w:tcPr>
          <w:p w14:paraId="0E12E371" w14:textId="5BF1CD35"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702 </w:t>
            </w:r>
          </w:p>
        </w:tc>
        <w:tc>
          <w:tcPr>
            <w:tcW w:w="850" w:type="dxa"/>
            <w:tcBorders>
              <w:top w:val="single" w:sz="4" w:space="0" w:color="auto"/>
              <w:left w:val="nil"/>
              <w:bottom w:val="single" w:sz="4" w:space="0" w:color="auto"/>
              <w:right w:val="nil"/>
            </w:tcBorders>
            <w:shd w:val="clear" w:color="000000" w:fill="FFFFFF"/>
            <w:noWrap/>
            <w:vAlign w:val="center"/>
            <w:hideMark/>
          </w:tcPr>
          <w:p w14:paraId="34A45581" w14:textId="1378C2FF"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166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4C244437" w14:textId="4EDD4409"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868 </w:t>
            </w:r>
          </w:p>
        </w:tc>
        <w:tc>
          <w:tcPr>
            <w:tcW w:w="239" w:type="dxa"/>
            <w:tcBorders>
              <w:top w:val="single" w:sz="4" w:space="0" w:color="auto"/>
              <w:left w:val="nil"/>
              <w:bottom w:val="single" w:sz="4" w:space="0" w:color="auto"/>
              <w:right w:val="nil"/>
            </w:tcBorders>
            <w:shd w:val="clear" w:color="000000" w:fill="D9D9D9"/>
            <w:noWrap/>
            <w:vAlign w:val="center"/>
            <w:hideMark/>
          </w:tcPr>
          <w:p w14:paraId="2659BF75"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FFFFFF"/>
            <w:noWrap/>
            <w:vAlign w:val="center"/>
            <w:hideMark/>
          </w:tcPr>
          <w:p w14:paraId="5C12BE4C" w14:textId="1E651372"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370 </w:t>
            </w:r>
          </w:p>
        </w:tc>
        <w:tc>
          <w:tcPr>
            <w:tcW w:w="850" w:type="dxa"/>
            <w:tcBorders>
              <w:top w:val="single" w:sz="4" w:space="0" w:color="auto"/>
              <w:left w:val="nil"/>
              <w:bottom w:val="single" w:sz="4" w:space="0" w:color="auto"/>
              <w:right w:val="nil"/>
            </w:tcBorders>
            <w:shd w:val="clear" w:color="000000" w:fill="FFFFFF"/>
            <w:noWrap/>
            <w:vAlign w:val="center"/>
            <w:hideMark/>
          </w:tcPr>
          <w:p w14:paraId="7310953E" w14:textId="0A166F6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(177)</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0FEBF03" w14:textId="7C207B34"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193 </w:t>
            </w:r>
          </w:p>
        </w:tc>
      </w:tr>
      <w:tr w:rsidR="00EB4CBD" w:rsidRPr="008F4DF9" w14:paraId="565C3031" w14:textId="77777777" w:rsidTr="00845CBE">
        <w:tc>
          <w:tcPr>
            <w:tcW w:w="3828" w:type="dxa"/>
            <w:tcBorders>
              <w:top w:val="nil"/>
              <w:left w:val="nil"/>
              <w:bottom w:val="nil"/>
              <w:right w:val="nil"/>
            </w:tcBorders>
            <w:shd w:val="clear" w:color="000000" w:fill="FFFFFF"/>
            <w:noWrap/>
            <w:vAlign w:val="center"/>
            <w:hideMark/>
          </w:tcPr>
          <w:p w14:paraId="3BA6131A"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6D37B2B8"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CD03ABA"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FD384B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8EBE50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6CBF2F0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D7B79A0"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A75350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0C5FBD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65EDAD52" w14:textId="77777777" w:rsidTr="00845CBE">
        <w:tc>
          <w:tcPr>
            <w:tcW w:w="3828" w:type="dxa"/>
            <w:tcBorders>
              <w:top w:val="nil"/>
              <w:left w:val="nil"/>
              <w:bottom w:val="nil"/>
              <w:right w:val="nil"/>
            </w:tcBorders>
            <w:shd w:val="clear" w:color="000000" w:fill="FFFFFF"/>
            <w:noWrap/>
            <w:vAlign w:val="center"/>
            <w:hideMark/>
          </w:tcPr>
          <w:p w14:paraId="29B198A6" w14:textId="0152806D" w:rsidR="00EB4CBD" w:rsidRPr="008F4DF9" w:rsidRDefault="00EB4CBD" w:rsidP="004C00DF">
            <w:pPr>
              <w:ind w:left="0" w:firstLine="0"/>
              <w:rPr>
                <w:rFonts w:asciiTheme="minorHAnsi" w:eastAsia="Times New Roman" w:hAnsiTheme="minorHAnsi" w:cstheme="minorHAnsi"/>
                <w:i/>
                <w:iCs/>
                <w:sz w:val="20"/>
                <w:szCs w:val="20"/>
              </w:rPr>
            </w:pPr>
            <w:r w:rsidRPr="008F4DF9">
              <w:rPr>
                <w:rFonts w:asciiTheme="minorHAnsi" w:hAnsiTheme="minorHAnsi"/>
                <w:i/>
                <w:iCs/>
                <w:sz w:val="20"/>
                <w:szCs w:val="20"/>
              </w:rPr>
              <w:t>Otros ingresos/(gastos):</w:t>
            </w:r>
          </w:p>
        </w:tc>
        <w:tc>
          <w:tcPr>
            <w:tcW w:w="687" w:type="dxa"/>
            <w:tcBorders>
              <w:top w:val="nil"/>
              <w:left w:val="nil"/>
              <w:bottom w:val="nil"/>
              <w:right w:val="nil"/>
            </w:tcBorders>
            <w:shd w:val="clear" w:color="000000" w:fill="FFFFFF"/>
            <w:noWrap/>
            <w:vAlign w:val="center"/>
            <w:hideMark/>
          </w:tcPr>
          <w:p w14:paraId="1D39F1C6"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4</w:t>
            </w:r>
          </w:p>
        </w:tc>
        <w:tc>
          <w:tcPr>
            <w:tcW w:w="849" w:type="dxa"/>
            <w:gridSpan w:val="2"/>
            <w:tcBorders>
              <w:top w:val="nil"/>
              <w:left w:val="nil"/>
              <w:bottom w:val="nil"/>
              <w:right w:val="nil"/>
            </w:tcBorders>
            <w:shd w:val="clear" w:color="000000" w:fill="FFFFFF"/>
            <w:noWrap/>
            <w:vAlign w:val="center"/>
            <w:hideMark/>
          </w:tcPr>
          <w:p w14:paraId="52FCE7C2"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7D4D4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09FAFEE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7D10BCE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62BC87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8CF490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73FCEC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779FCD9E" w14:textId="77777777" w:rsidTr="00845CBE">
        <w:tc>
          <w:tcPr>
            <w:tcW w:w="3828" w:type="dxa"/>
            <w:tcBorders>
              <w:top w:val="nil"/>
              <w:left w:val="nil"/>
              <w:bottom w:val="nil"/>
              <w:right w:val="nil"/>
            </w:tcBorders>
            <w:shd w:val="clear" w:color="000000" w:fill="FFFFFF"/>
            <w:noWrap/>
            <w:vAlign w:val="center"/>
            <w:hideMark/>
          </w:tcPr>
          <w:p w14:paraId="6A1EFF9F" w14:textId="05237DFE"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Ingresos/(gastos) financieros netos</w:t>
            </w:r>
          </w:p>
        </w:tc>
        <w:tc>
          <w:tcPr>
            <w:tcW w:w="687" w:type="dxa"/>
            <w:tcBorders>
              <w:top w:val="nil"/>
              <w:left w:val="nil"/>
              <w:bottom w:val="nil"/>
              <w:right w:val="nil"/>
            </w:tcBorders>
            <w:shd w:val="clear" w:color="000000" w:fill="FFFFFF"/>
            <w:noWrap/>
            <w:vAlign w:val="center"/>
            <w:hideMark/>
          </w:tcPr>
          <w:p w14:paraId="424178FD"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4CB4FE9" w14:textId="665A4EC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(16)</w:t>
            </w:r>
          </w:p>
        </w:tc>
        <w:tc>
          <w:tcPr>
            <w:tcW w:w="850" w:type="dxa"/>
            <w:tcBorders>
              <w:top w:val="nil"/>
              <w:left w:val="nil"/>
              <w:bottom w:val="nil"/>
              <w:right w:val="nil"/>
            </w:tcBorders>
            <w:shd w:val="clear" w:color="000000" w:fill="FFFFFF"/>
            <w:noWrap/>
            <w:vAlign w:val="center"/>
            <w:hideMark/>
          </w:tcPr>
          <w:p w14:paraId="4106FBE6" w14:textId="318E2BE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0 </w:t>
            </w:r>
          </w:p>
        </w:tc>
        <w:tc>
          <w:tcPr>
            <w:tcW w:w="854" w:type="dxa"/>
            <w:gridSpan w:val="2"/>
            <w:tcBorders>
              <w:top w:val="nil"/>
              <w:left w:val="nil"/>
              <w:bottom w:val="nil"/>
              <w:right w:val="nil"/>
            </w:tcBorders>
            <w:shd w:val="clear" w:color="000000" w:fill="FFFFFF"/>
            <w:noWrap/>
            <w:vAlign w:val="center"/>
            <w:hideMark/>
          </w:tcPr>
          <w:p w14:paraId="7CFF8A25" w14:textId="3E3DCD33"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(16)</w:t>
            </w:r>
          </w:p>
        </w:tc>
        <w:tc>
          <w:tcPr>
            <w:tcW w:w="239" w:type="dxa"/>
            <w:tcBorders>
              <w:top w:val="nil"/>
              <w:left w:val="nil"/>
              <w:bottom w:val="nil"/>
              <w:right w:val="nil"/>
            </w:tcBorders>
            <w:shd w:val="clear" w:color="000000" w:fill="D9D9D9"/>
            <w:noWrap/>
            <w:vAlign w:val="center"/>
            <w:hideMark/>
          </w:tcPr>
          <w:p w14:paraId="72639A8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22C6597" w14:textId="02D0128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(32)</w:t>
            </w:r>
          </w:p>
        </w:tc>
        <w:tc>
          <w:tcPr>
            <w:tcW w:w="850" w:type="dxa"/>
            <w:tcBorders>
              <w:top w:val="nil"/>
              <w:left w:val="nil"/>
              <w:bottom w:val="nil"/>
              <w:right w:val="nil"/>
            </w:tcBorders>
            <w:shd w:val="clear" w:color="000000" w:fill="FFFFFF"/>
            <w:noWrap/>
            <w:vAlign w:val="center"/>
            <w:hideMark/>
          </w:tcPr>
          <w:p w14:paraId="03C68411" w14:textId="1ADD647D"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(7)</w:t>
            </w:r>
          </w:p>
        </w:tc>
        <w:tc>
          <w:tcPr>
            <w:tcW w:w="854" w:type="dxa"/>
            <w:gridSpan w:val="2"/>
            <w:tcBorders>
              <w:top w:val="nil"/>
              <w:left w:val="nil"/>
              <w:bottom w:val="nil"/>
              <w:right w:val="nil"/>
            </w:tcBorders>
            <w:shd w:val="clear" w:color="000000" w:fill="FFFFFF"/>
            <w:noWrap/>
            <w:vAlign w:val="center"/>
            <w:hideMark/>
          </w:tcPr>
          <w:p w14:paraId="3604F7B6" w14:textId="5692D685"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(39)</w:t>
            </w:r>
          </w:p>
        </w:tc>
      </w:tr>
      <w:tr w:rsidR="00EB4CBD" w:rsidRPr="008F4DF9" w14:paraId="5FB124A5" w14:textId="77777777" w:rsidTr="00845CBE">
        <w:tc>
          <w:tcPr>
            <w:tcW w:w="3828" w:type="dxa"/>
            <w:tcBorders>
              <w:top w:val="nil"/>
              <w:left w:val="nil"/>
              <w:bottom w:val="nil"/>
              <w:right w:val="nil"/>
            </w:tcBorders>
            <w:shd w:val="clear" w:color="000000" w:fill="FFFFFF"/>
            <w:noWrap/>
            <w:vAlign w:val="center"/>
            <w:hideMark/>
          </w:tcPr>
          <w:p w14:paraId="48A011B2" w14:textId="5A3C95E4"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Gastos no recurrentes o del período anterior</w:t>
            </w:r>
          </w:p>
        </w:tc>
        <w:tc>
          <w:tcPr>
            <w:tcW w:w="687" w:type="dxa"/>
            <w:tcBorders>
              <w:top w:val="nil"/>
              <w:left w:val="nil"/>
              <w:bottom w:val="nil"/>
              <w:right w:val="nil"/>
            </w:tcBorders>
            <w:shd w:val="clear" w:color="000000" w:fill="FFFFFF"/>
            <w:noWrap/>
            <w:vAlign w:val="center"/>
            <w:hideMark/>
          </w:tcPr>
          <w:p w14:paraId="3FD3B7B3"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83B264B" w14:textId="3636E215"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3191107A" w14:textId="2EA898D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(227)</w:t>
            </w:r>
          </w:p>
        </w:tc>
        <w:tc>
          <w:tcPr>
            <w:tcW w:w="854" w:type="dxa"/>
            <w:gridSpan w:val="2"/>
            <w:tcBorders>
              <w:top w:val="nil"/>
              <w:left w:val="nil"/>
              <w:bottom w:val="nil"/>
              <w:right w:val="nil"/>
            </w:tcBorders>
            <w:shd w:val="clear" w:color="000000" w:fill="FFFFFF"/>
            <w:noWrap/>
            <w:vAlign w:val="center"/>
            <w:hideMark/>
          </w:tcPr>
          <w:p w14:paraId="05388232" w14:textId="6CEEF08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(227)</w:t>
            </w:r>
          </w:p>
        </w:tc>
        <w:tc>
          <w:tcPr>
            <w:tcW w:w="239" w:type="dxa"/>
            <w:tcBorders>
              <w:top w:val="nil"/>
              <w:left w:val="nil"/>
              <w:bottom w:val="nil"/>
              <w:right w:val="nil"/>
            </w:tcBorders>
            <w:shd w:val="clear" w:color="000000" w:fill="D9D9D9"/>
            <w:noWrap/>
            <w:vAlign w:val="center"/>
            <w:hideMark/>
          </w:tcPr>
          <w:p w14:paraId="63E7687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FA089A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3714D4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A5811D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3EA7155B" w14:textId="77777777" w:rsidTr="00845CBE">
        <w:tc>
          <w:tcPr>
            <w:tcW w:w="3828" w:type="dxa"/>
            <w:tcBorders>
              <w:top w:val="nil"/>
              <w:left w:val="nil"/>
              <w:bottom w:val="nil"/>
              <w:right w:val="nil"/>
            </w:tcBorders>
            <w:shd w:val="clear" w:color="000000" w:fill="FFFFFF"/>
            <w:noWrap/>
            <w:vAlign w:val="center"/>
            <w:hideMark/>
          </w:tcPr>
          <w:p w14:paraId="29D7A8FB" w14:textId="14FC6A64"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Provisiones y cancelaciones (gastos)</w:t>
            </w:r>
          </w:p>
        </w:tc>
        <w:tc>
          <w:tcPr>
            <w:tcW w:w="687" w:type="dxa"/>
            <w:tcBorders>
              <w:top w:val="nil"/>
              <w:left w:val="nil"/>
              <w:bottom w:val="nil"/>
              <w:right w:val="nil"/>
            </w:tcBorders>
            <w:shd w:val="clear" w:color="000000" w:fill="FFFFFF"/>
            <w:noWrap/>
            <w:vAlign w:val="center"/>
            <w:hideMark/>
          </w:tcPr>
          <w:p w14:paraId="517A7342"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single" w:sz="4" w:space="0" w:color="auto"/>
              <w:right w:val="nil"/>
            </w:tcBorders>
            <w:shd w:val="clear" w:color="000000" w:fill="FFFFFF"/>
            <w:noWrap/>
            <w:vAlign w:val="center"/>
            <w:hideMark/>
          </w:tcPr>
          <w:p w14:paraId="61A48F27" w14:textId="258E5345"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(234)</w:t>
            </w:r>
          </w:p>
        </w:tc>
        <w:tc>
          <w:tcPr>
            <w:tcW w:w="850" w:type="dxa"/>
            <w:tcBorders>
              <w:top w:val="nil"/>
              <w:left w:val="nil"/>
              <w:bottom w:val="single" w:sz="4" w:space="0" w:color="auto"/>
              <w:right w:val="nil"/>
            </w:tcBorders>
            <w:shd w:val="clear" w:color="000000" w:fill="FFFFFF"/>
            <w:noWrap/>
            <w:vAlign w:val="center"/>
            <w:hideMark/>
          </w:tcPr>
          <w:p w14:paraId="14F336E3" w14:textId="601D4B04"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(0)</w:t>
            </w:r>
          </w:p>
        </w:tc>
        <w:tc>
          <w:tcPr>
            <w:tcW w:w="854" w:type="dxa"/>
            <w:gridSpan w:val="2"/>
            <w:tcBorders>
              <w:top w:val="nil"/>
              <w:left w:val="nil"/>
              <w:bottom w:val="single" w:sz="4" w:space="0" w:color="auto"/>
              <w:right w:val="nil"/>
            </w:tcBorders>
            <w:shd w:val="clear" w:color="000000" w:fill="FFFFFF"/>
            <w:noWrap/>
            <w:vAlign w:val="center"/>
            <w:hideMark/>
          </w:tcPr>
          <w:p w14:paraId="3668F8C0" w14:textId="5ED3C73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(234)</w:t>
            </w:r>
          </w:p>
        </w:tc>
        <w:tc>
          <w:tcPr>
            <w:tcW w:w="239" w:type="dxa"/>
            <w:tcBorders>
              <w:top w:val="nil"/>
              <w:left w:val="nil"/>
              <w:bottom w:val="single" w:sz="4" w:space="0" w:color="auto"/>
              <w:right w:val="nil"/>
            </w:tcBorders>
            <w:shd w:val="clear" w:color="000000" w:fill="D9D9D9"/>
            <w:noWrap/>
            <w:vAlign w:val="center"/>
            <w:hideMark/>
          </w:tcPr>
          <w:p w14:paraId="741BB3C4"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65CC541F" w14:textId="3A64DD9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57 </w:t>
            </w:r>
          </w:p>
        </w:tc>
        <w:tc>
          <w:tcPr>
            <w:tcW w:w="850" w:type="dxa"/>
            <w:tcBorders>
              <w:top w:val="nil"/>
              <w:left w:val="nil"/>
              <w:bottom w:val="single" w:sz="4" w:space="0" w:color="auto"/>
              <w:right w:val="nil"/>
            </w:tcBorders>
            <w:shd w:val="clear" w:color="000000" w:fill="FFFFFF"/>
            <w:noWrap/>
            <w:vAlign w:val="center"/>
            <w:hideMark/>
          </w:tcPr>
          <w:p w14:paraId="7F69AF13" w14:textId="728C1D1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6C66CBD8" w14:textId="431B692E"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57 </w:t>
            </w:r>
          </w:p>
        </w:tc>
      </w:tr>
      <w:tr w:rsidR="00EB4CBD" w:rsidRPr="008F4DF9" w14:paraId="6506AF3A" w14:textId="77777777" w:rsidTr="00845CBE">
        <w:tc>
          <w:tcPr>
            <w:tcW w:w="3828" w:type="dxa"/>
            <w:tcBorders>
              <w:top w:val="nil"/>
              <w:left w:val="nil"/>
              <w:bottom w:val="nil"/>
              <w:right w:val="nil"/>
            </w:tcBorders>
            <w:shd w:val="clear" w:color="000000" w:fill="FFFFFF"/>
            <w:noWrap/>
            <w:vAlign w:val="center"/>
            <w:hideMark/>
          </w:tcPr>
          <w:p w14:paraId="2AEB0F83" w14:textId="12747158" w:rsidR="00EB4CBD" w:rsidRPr="008F4DF9" w:rsidRDefault="009154DA" w:rsidP="003F135F">
            <w:pPr>
              <w:ind w:left="0" w:firstLine="0"/>
              <w:rPr>
                <w:rFonts w:asciiTheme="minorHAnsi" w:eastAsia="Times New Roman" w:hAnsiTheme="minorHAnsi" w:cstheme="minorHAnsi"/>
                <w:i/>
                <w:iCs/>
                <w:sz w:val="20"/>
                <w:szCs w:val="20"/>
              </w:rPr>
            </w:pPr>
            <w:r>
              <w:rPr>
                <w:rFonts w:asciiTheme="minorHAnsi" w:hAnsiTheme="minorHAnsi"/>
                <w:i/>
                <w:iCs/>
                <w:sz w:val="20"/>
                <w:szCs w:val="20"/>
              </w:rPr>
              <w:t>Total,</w:t>
            </w:r>
            <w:r w:rsidR="004F058A" w:rsidRPr="008F4DF9">
              <w:rPr>
                <w:rFonts w:asciiTheme="minorHAnsi" w:hAnsiTheme="minorHAnsi"/>
                <w:i/>
                <w:iCs/>
                <w:sz w:val="20"/>
                <w:szCs w:val="20"/>
              </w:rPr>
              <w:t xml:space="preserve"> </w:t>
            </w:r>
            <w:r w:rsidR="006D4727">
              <w:rPr>
                <w:rFonts w:asciiTheme="minorHAnsi" w:hAnsiTheme="minorHAnsi"/>
                <w:i/>
                <w:iCs/>
                <w:sz w:val="20"/>
                <w:szCs w:val="20"/>
              </w:rPr>
              <w:t>O</w:t>
            </w:r>
            <w:r w:rsidR="004F058A" w:rsidRPr="008F4DF9">
              <w:rPr>
                <w:rFonts w:asciiTheme="minorHAnsi" w:hAnsiTheme="minorHAnsi"/>
                <w:i/>
                <w:iCs/>
                <w:sz w:val="20"/>
                <w:szCs w:val="20"/>
              </w:rPr>
              <w:t>tros ingresos/gastos</w:t>
            </w:r>
          </w:p>
        </w:tc>
        <w:tc>
          <w:tcPr>
            <w:tcW w:w="687" w:type="dxa"/>
            <w:tcBorders>
              <w:top w:val="nil"/>
              <w:left w:val="nil"/>
              <w:bottom w:val="nil"/>
              <w:right w:val="nil"/>
            </w:tcBorders>
            <w:shd w:val="clear" w:color="000000" w:fill="FFFFFF"/>
            <w:noWrap/>
            <w:vAlign w:val="center"/>
            <w:hideMark/>
          </w:tcPr>
          <w:p w14:paraId="16BEEB0F"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54C6974" w14:textId="7D8DB4D5"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(250)</w:t>
            </w:r>
          </w:p>
        </w:tc>
        <w:tc>
          <w:tcPr>
            <w:tcW w:w="850" w:type="dxa"/>
            <w:tcBorders>
              <w:top w:val="nil"/>
              <w:left w:val="nil"/>
              <w:bottom w:val="nil"/>
              <w:right w:val="nil"/>
            </w:tcBorders>
            <w:shd w:val="clear" w:color="000000" w:fill="FFFFFF"/>
            <w:noWrap/>
            <w:vAlign w:val="center"/>
            <w:hideMark/>
          </w:tcPr>
          <w:p w14:paraId="0A6DBAA1" w14:textId="3769652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(227)</w:t>
            </w:r>
          </w:p>
        </w:tc>
        <w:tc>
          <w:tcPr>
            <w:tcW w:w="854" w:type="dxa"/>
            <w:gridSpan w:val="2"/>
            <w:tcBorders>
              <w:top w:val="nil"/>
              <w:left w:val="nil"/>
              <w:bottom w:val="nil"/>
              <w:right w:val="nil"/>
            </w:tcBorders>
            <w:shd w:val="clear" w:color="000000" w:fill="FFFFFF"/>
            <w:noWrap/>
            <w:vAlign w:val="center"/>
            <w:hideMark/>
          </w:tcPr>
          <w:p w14:paraId="6601B60C" w14:textId="405F5042"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(477)</w:t>
            </w:r>
          </w:p>
        </w:tc>
        <w:tc>
          <w:tcPr>
            <w:tcW w:w="239" w:type="dxa"/>
            <w:tcBorders>
              <w:top w:val="nil"/>
              <w:left w:val="nil"/>
              <w:bottom w:val="nil"/>
              <w:right w:val="nil"/>
            </w:tcBorders>
            <w:shd w:val="clear" w:color="000000" w:fill="D9D9D9"/>
            <w:noWrap/>
            <w:vAlign w:val="center"/>
            <w:hideMark/>
          </w:tcPr>
          <w:p w14:paraId="6AB1EA0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466C48E4" w14:textId="0D9EEA39"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25 </w:t>
            </w:r>
          </w:p>
        </w:tc>
        <w:tc>
          <w:tcPr>
            <w:tcW w:w="850" w:type="dxa"/>
            <w:tcBorders>
              <w:top w:val="nil"/>
              <w:left w:val="nil"/>
              <w:bottom w:val="nil"/>
              <w:right w:val="nil"/>
            </w:tcBorders>
            <w:shd w:val="clear" w:color="000000" w:fill="FFFFFF"/>
            <w:noWrap/>
            <w:vAlign w:val="center"/>
            <w:hideMark/>
          </w:tcPr>
          <w:p w14:paraId="68811EFE" w14:textId="248C3E63"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(7)</w:t>
            </w:r>
          </w:p>
        </w:tc>
        <w:tc>
          <w:tcPr>
            <w:tcW w:w="854" w:type="dxa"/>
            <w:gridSpan w:val="2"/>
            <w:tcBorders>
              <w:top w:val="nil"/>
              <w:left w:val="nil"/>
              <w:bottom w:val="nil"/>
              <w:right w:val="nil"/>
            </w:tcBorders>
            <w:shd w:val="clear" w:color="000000" w:fill="FFFFFF"/>
            <w:noWrap/>
            <w:vAlign w:val="center"/>
            <w:hideMark/>
          </w:tcPr>
          <w:p w14:paraId="4F6807F9" w14:textId="33421FDA"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18 </w:t>
            </w:r>
          </w:p>
        </w:tc>
      </w:tr>
      <w:tr w:rsidR="00EB4CBD" w:rsidRPr="008F4DF9" w14:paraId="10D148F5" w14:textId="77777777" w:rsidTr="00845CBE">
        <w:tc>
          <w:tcPr>
            <w:tcW w:w="3828" w:type="dxa"/>
            <w:tcBorders>
              <w:top w:val="nil"/>
              <w:left w:val="nil"/>
              <w:bottom w:val="nil"/>
              <w:right w:val="nil"/>
            </w:tcBorders>
            <w:shd w:val="clear" w:color="000000" w:fill="FFFFFF"/>
            <w:noWrap/>
            <w:vAlign w:val="center"/>
            <w:hideMark/>
          </w:tcPr>
          <w:p w14:paraId="4C7D20C2"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75E8066" w14:textId="77777777" w:rsidR="00EB4CBD" w:rsidRPr="008F4DF9" w:rsidRDefault="00EB4CBD" w:rsidP="003F135F">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F70C5A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F0550E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90C841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0351AE9"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0563657"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5B60C7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9085C7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6FDF131F" w14:textId="77777777" w:rsidTr="00845CBE">
        <w:tc>
          <w:tcPr>
            <w:tcW w:w="3828" w:type="dxa"/>
            <w:tcBorders>
              <w:top w:val="nil"/>
              <w:left w:val="nil"/>
              <w:bottom w:val="nil"/>
              <w:right w:val="nil"/>
            </w:tcBorders>
            <w:shd w:val="clear" w:color="000000" w:fill="FFFFFF"/>
            <w:noWrap/>
            <w:vAlign w:val="center"/>
            <w:hideMark/>
          </w:tcPr>
          <w:p w14:paraId="47E8AA28" w14:textId="009B2E97"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Excedente/(Déficit) neto después de otros ingresos/gastos</w:t>
            </w:r>
          </w:p>
        </w:tc>
        <w:tc>
          <w:tcPr>
            <w:tcW w:w="687" w:type="dxa"/>
            <w:tcBorders>
              <w:top w:val="nil"/>
              <w:left w:val="nil"/>
              <w:bottom w:val="nil"/>
              <w:right w:val="nil"/>
            </w:tcBorders>
            <w:shd w:val="clear" w:color="000000" w:fill="FFFFFF"/>
            <w:noWrap/>
            <w:vAlign w:val="center"/>
            <w:hideMark/>
          </w:tcPr>
          <w:p w14:paraId="43D4A17D"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C5D9F1"/>
            <w:noWrap/>
            <w:vAlign w:val="center"/>
            <w:hideMark/>
          </w:tcPr>
          <w:p w14:paraId="4F4413E6" w14:textId="0443DC1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452 </w:t>
            </w:r>
          </w:p>
        </w:tc>
        <w:tc>
          <w:tcPr>
            <w:tcW w:w="850" w:type="dxa"/>
            <w:tcBorders>
              <w:top w:val="single" w:sz="4" w:space="0" w:color="auto"/>
              <w:left w:val="nil"/>
              <w:bottom w:val="single" w:sz="4" w:space="0" w:color="auto"/>
              <w:right w:val="nil"/>
            </w:tcBorders>
            <w:shd w:val="clear" w:color="000000" w:fill="C5D9F1"/>
            <w:noWrap/>
            <w:vAlign w:val="center"/>
            <w:hideMark/>
          </w:tcPr>
          <w:p w14:paraId="2B8D3AB8" w14:textId="0ACCB76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(60)</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34118E12" w14:textId="680FC2E0"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392 </w:t>
            </w:r>
          </w:p>
        </w:tc>
        <w:tc>
          <w:tcPr>
            <w:tcW w:w="239" w:type="dxa"/>
            <w:tcBorders>
              <w:top w:val="single" w:sz="4" w:space="0" w:color="auto"/>
              <w:left w:val="nil"/>
              <w:bottom w:val="single" w:sz="4" w:space="0" w:color="auto"/>
              <w:right w:val="nil"/>
            </w:tcBorders>
            <w:shd w:val="clear" w:color="000000" w:fill="D9D9D9"/>
            <w:noWrap/>
            <w:vAlign w:val="center"/>
            <w:hideMark/>
          </w:tcPr>
          <w:p w14:paraId="2084127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EBF1DE"/>
            <w:noWrap/>
            <w:vAlign w:val="center"/>
            <w:hideMark/>
          </w:tcPr>
          <w:p w14:paraId="05C65055" w14:textId="13A44DA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395 </w:t>
            </w:r>
          </w:p>
        </w:tc>
        <w:tc>
          <w:tcPr>
            <w:tcW w:w="850" w:type="dxa"/>
            <w:tcBorders>
              <w:top w:val="single" w:sz="4" w:space="0" w:color="auto"/>
              <w:left w:val="nil"/>
              <w:bottom w:val="single" w:sz="4" w:space="0" w:color="auto"/>
              <w:right w:val="nil"/>
            </w:tcBorders>
            <w:shd w:val="clear" w:color="000000" w:fill="EBF1DE"/>
            <w:noWrap/>
            <w:vAlign w:val="center"/>
            <w:hideMark/>
          </w:tcPr>
          <w:p w14:paraId="5A5E4482" w14:textId="3DFCFB73"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(184)</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0B2D9CA5" w14:textId="30E5D0A1"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211 </w:t>
            </w:r>
          </w:p>
        </w:tc>
      </w:tr>
      <w:tr w:rsidR="00EB4CBD" w:rsidRPr="008F4DF9" w14:paraId="49888106" w14:textId="77777777" w:rsidTr="00845CBE">
        <w:tc>
          <w:tcPr>
            <w:tcW w:w="3828" w:type="dxa"/>
            <w:tcBorders>
              <w:top w:val="nil"/>
              <w:left w:val="nil"/>
              <w:bottom w:val="nil"/>
              <w:right w:val="nil"/>
            </w:tcBorders>
            <w:shd w:val="clear" w:color="000000" w:fill="FFFFFF"/>
            <w:noWrap/>
            <w:vAlign w:val="center"/>
            <w:hideMark/>
          </w:tcPr>
          <w:p w14:paraId="5BED7A68"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407DC238"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390C166"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C55BD53"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83D108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49B001E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045001D"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0DFED7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24844EA"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32100802" w14:textId="77777777" w:rsidTr="00845CBE">
        <w:tc>
          <w:tcPr>
            <w:tcW w:w="3828" w:type="dxa"/>
            <w:tcBorders>
              <w:top w:val="nil"/>
              <w:left w:val="nil"/>
              <w:bottom w:val="nil"/>
              <w:right w:val="nil"/>
            </w:tcBorders>
            <w:shd w:val="clear" w:color="000000" w:fill="FFFFFF"/>
            <w:noWrap/>
            <w:vAlign w:val="center"/>
            <w:hideMark/>
          </w:tcPr>
          <w:p w14:paraId="674250F5"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628A3C3"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01F6B1A"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54C379A"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CC7FE87"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2F7C5AB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0B1A20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448F19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D098A6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158F219B" w14:textId="77777777" w:rsidTr="00845CBE">
        <w:tc>
          <w:tcPr>
            <w:tcW w:w="3828" w:type="dxa"/>
            <w:tcBorders>
              <w:top w:val="nil"/>
              <w:left w:val="nil"/>
              <w:bottom w:val="nil"/>
              <w:right w:val="nil"/>
            </w:tcBorders>
            <w:shd w:val="clear" w:color="000000" w:fill="FFFFFF"/>
            <w:noWrap/>
            <w:vAlign w:val="center"/>
            <w:hideMark/>
          </w:tcPr>
          <w:p w14:paraId="196ABF15" w14:textId="77777777"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ESTADO DE LOS SALDOS DE LOS FONDOS</w:t>
            </w:r>
          </w:p>
        </w:tc>
        <w:tc>
          <w:tcPr>
            <w:tcW w:w="687" w:type="dxa"/>
            <w:tcBorders>
              <w:top w:val="nil"/>
              <w:left w:val="nil"/>
              <w:bottom w:val="nil"/>
              <w:right w:val="nil"/>
            </w:tcBorders>
            <w:shd w:val="clear" w:color="000000" w:fill="FFFFFF"/>
            <w:noWrap/>
            <w:vAlign w:val="center"/>
            <w:hideMark/>
          </w:tcPr>
          <w:p w14:paraId="2F3135BD"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DE7547A"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F02DEE4"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17D16E6"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16E45385"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064C040"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84DEBBB"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2A6015C"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090F2DB3" w14:textId="77777777" w:rsidTr="00845CBE">
        <w:tc>
          <w:tcPr>
            <w:tcW w:w="3828" w:type="dxa"/>
            <w:tcBorders>
              <w:top w:val="nil"/>
              <w:left w:val="nil"/>
              <w:bottom w:val="nil"/>
              <w:right w:val="nil"/>
            </w:tcBorders>
            <w:shd w:val="clear" w:color="000000" w:fill="FFFFFF"/>
            <w:noWrap/>
            <w:vAlign w:val="center"/>
            <w:hideMark/>
          </w:tcPr>
          <w:p w14:paraId="2F090277" w14:textId="77777777" w:rsidR="00EB4CBD" w:rsidRPr="008F4DF9" w:rsidRDefault="00EB4CBD" w:rsidP="003F135F">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 xml:space="preserve">del ejercicio finalizado el 31 de diciembre </w:t>
            </w:r>
          </w:p>
        </w:tc>
        <w:tc>
          <w:tcPr>
            <w:tcW w:w="687" w:type="dxa"/>
            <w:tcBorders>
              <w:top w:val="nil"/>
              <w:left w:val="nil"/>
              <w:bottom w:val="nil"/>
              <w:right w:val="nil"/>
            </w:tcBorders>
            <w:shd w:val="clear" w:color="000000" w:fill="FFFFFF"/>
            <w:noWrap/>
            <w:vAlign w:val="center"/>
            <w:hideMark/>
          </w:tcPr>
          <w:p w14:paraId="07B049D4"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10CFF25"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13CB465"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67F76B0"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32F8EAAC"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24F8CD2"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B2E906D"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B35C68E" w14:textId="77777777" w:rsidR="00EB4CBD" w:rsidRPr="008F4DF9" w:rsidRDefault="00EB4CBD" w:rsidP="003F135F">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r>
      <w:tr w:rsidR="00C07DBD" w:rsidRPr="008F4DF9" w14:paraId="2F9A9B33" w14:textId="198662E8" w:rsidTr="00845CBE">
        <w:tc>
          <w:tcPr>
            <w:tcW w:w="3828" w:type="dxa"/>
            <w:tcBorders>
              <w:top w:val="nil"/>
              <w:left w:val="nil"/>
              <w:bottom w:val="nil"/>
              <w:right w:val="nil"/>
            </w:tcBorders>
            <w:shd w:val="clear" w:color="000000" w:fill="FFFFFF"/>
            <w:noWrap/>
            <w:vAlign w:val="center"/>
            <w:hideMark/>
          </w:tcPr>
          <w:p w14:paraId="2658E619" w14:textId="77777777" w:rsidR="00C07DBD" w:rsidRPr="008F4DF9" w:rsidRDefault="00C07D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3B801E28" w14:textId="77777777" w:rsidR="00C07DBD" w:rsidRPr="008F4DF9" w:rsidRDefault="00C07D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2553" w:type="dxa"/>
            <w:gridSpan w:val="5"/>
            <w:tcBorders>
              <w:top w:val="nil"/>
              <w:left w:val="nil"/>
              <w:bottom w:val="nil"/>
              <w:right w:val="nil"/>
            </w:tcBorders>
            <w:shd w:val="clear" w:color="auto" w:fill="95B3D7" w:themeFill="accent1" w:themeFillTint="99"/>
            <w:noWrap/>
            <w:vAlign w:val="center"/>
            <w:hideMark/>
          </w:tcPr>
          <w:p w14:paraId="40B9B67C" w14:textId="7D7FF036" w:rsidR="00C07DBD" w:rsidRPr="008F4DF9" w:rsidRDefault="008F027B" w:rsidP="00EB4CBD">
            <w:pPr>
              <w:ind w:left="0" w:firstLine="0"/>
              <w:jc w:val="center"/>
              <w:rPr>
                <w:rFonts w:asciiTheme="minorHAnsi" w:eastAsia="Times New Roman" w:hAnsiTheme="minorHAnsi" w:cstheme="minorHAnsi"/>
                <w:b/>
                <w:bCs/>
                <w:sz w:val="20"/>
                <w:szCs w:val="20"/>
              </w:rPr>
            </w:pPr>
            <w:r>
              <w:rPr>
                <w:rFonts w:asciiTheme="minorHAnsi" w:hAnsiTheme="minorHAnsi"/>
                <w:b/>
                <w:bCs/>
                <w:sz w:val="20"/>
                <w:szCs w:val="20"/>
              </w:rPr>
              <w:t>2019</w:t>
            </w:r>
          </w:p>
        </w:tc>
        <w:tc>
          <w:tcPr>
            <w:tcW w:w="239" w:type="dxa"/>
            <w:shd w:val="clear" w:color="auto" w:fill="D9D9D9" w:themeFill="background1" w:themeFillShade="D9"/>
            <w:vAlign w:val="center"/>
          </w:tcPr>
          <w:p w14:paraId="538D0DA3" w14:textId="6E50F835" w:rsidR="00C07DBD" w:rsidRPr="008F4DF9" w:rsidRDefault="00C07DBD" w:rsidP="00EB4CBD">
            <w:pPr>
              <w:rPr>
                <w:rFonts w:asciiTheme="minorHAnsi" w:eastAsia="Times New Roman" w:hAnsiTheme="minorHAnsi" w:cstheme="minorHAnsi"/>
                <w:sz w:val="20"/>
                <w:szCs w:val="20"/>
              </w:rPr>
            </w:pPr>
            <w:r w:rsidRPr="008F4DF9">
              <w:rPr>
                <w:rFonts w:asciiTheme="minorHAnsi" w:hAnsiTheme="minorHAnsi"/>
                <w:b/>
                <w:bCs/>
                <w:sz w:val="20"/>
                <w:szCs w:val="20"/>
              </w:rPr>
              <w:t> </w:t>
            </w:r>
          </w:p>
        </w:tc>
        <w:tc>
          <w:tcPr>
            <w:tcW w:w="2554" w:type="dxa"/>
            <w:gridSpan w:val="5"/>
            <w:shd w:val="clear" w:color="auto" w:fill="C2D69B" w:themeFill="accent3" w:themeFillTint="99"/>
            <w:vAlign w:val="center"/>
          </w:tcPr>
          <w:p w14:paraId="6550F842" w14:textId="334EE93D" w:rsidR="00C07DBD" w:rsidRPr="008F4DF9" w:rsidRDefault="00C07DBD" w:rsidP="004C00DF">
            <w:pPr>
              <w:jc w:val="center"/>
              <w:rPr>
                <w:rFonts w:asciiTheme="minorHAnsi" w:eastAsia="Times New Roman" w:hAnsiTheme="minorHAnsi" w:cstheme="minorHAnsi"/>
                <w:sz w:val="20"/>
                <w:szCs w:val="20"/>
              </w:rPr>
            </w:pPr>
            <w:r w:rsidRPr="008F4DF9">
              <w:rPr>
                <w:rFonts w:asciiTheme="minorHAnsi" w:hAnsiTheme="minorHAnsi"/>
                <w:b/>
                <w:bCs/>
                <w:sz w:val="20"/>
                <w:szCs w:val="20"/>
              </w:rPr>
              <w:t>2018</w:t>
            </w:r>
          </w:p>
        </w:tc>
      </w:tr>
      <w:tr w:rsidR="00EB4CBD" w:rsidRPr="008F4DF9" w14:paraId="7C07D150" w14:textId="77777777" w:rsidTr="00845CBE">
        <w:tc>
          <w:tcPr>
            <w:tcW w:w="3828" w:type="dxa"/>
            <w:tcBorders>
              <w:top w:val="nil"/>
              <w:left w:val="nil"/>
              <w:bottom w:val="single" w:sz="8" w:space="0" w:color="auto"/>
              <w:right w:val="nil"/>
            </w:tcBorders>
            <w:shd w:val="clear" w:color="000000" w:fill="FFFFFF"/>
            <w:noWrap/>
            <w:vAlign w:val="bottom"/>
            <w:hideMark/>
          </w:tcPr>
          <w:p w14:paraId="5940B96F" w14:textId="77777777" w:rsidR="00EB4CBD" w:rsidRPr="008F4DF9" w:rsidRDefault="00EB4CBD" w:rsidP="00EB4CBD">
            <w:pPr>
              <w:ind w:left="0" w:firstLine="0"/>
              <w:rPr>
                <w:rFonts w:asciiTheme="minorHAnsi" w:eastAsia="Times New Roman" w:hAnsiTheme="minorHAnsi" w:cstheme="minorHAnsi"/>
                <w:i/>
                <w:iCs/>
                <w:sz w:val="20"/>
                <w:szCs w:val="20"/>
              </w:rPr>
            </w:pPr>
            <w:r w:rsidRPr="008F4DF9">
              <w:rPr>
                <w:rFonts w:asciiTheme="minorHAnsi" w:hAnsiTheme="minorHAnsi"/>
                <w:i/>
                <w:iCs/>
                <w:sz w:val="20"/>
                <w:szCs w:val="20"/>
              </w:rPr>
              <w:t>en miles de francos suizos</w:t>
            </w:r>
          </w:p>
        </w:tc>
        <w:tc>
          <w:tcPr>
            <w:tcW w:w="687" w:type="dxa"/>
            <w:tcBorders>
              <w:top w:val="nil"/>
              <w:left w:val="nil"/>
              <w:bottom w:val="single" w:sz="8" w:space="0" w:color="auto"/>
              <w:right w:val="nil"/>
            </w:tcBorders>
            <w:shd w:val="clear" w:color="000000" w:fill="FFFFFF"/>
            <w:noWrap/>
            <w:vAlign w:val="center"/>
            <w:hideMark/>
          </w:tcPr>
          <w:p w14:paraId="2316C339"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731" w:type="dxa"/>
            <w:tcBorders>
              <w:top w:val="nil"/>
              <w:left w:val="nil"/>
              <w:bottom w:val="single" w:sz="8" w:space="0" w:color="auto"/>
              <w:right w:val="nil"/>
            </w:tcBorders>
            <w:shd w:val="clear" w:color="000000" w:fill="FFFFFF"/>
            <w:vAlign w:val="center"/>
            <w:hideMark/>
          </w:tcPr>
          <w:p w14:paraId="3B4C2AC3" w14:textId="77777777" w:rsidR="00EB4CBD" w:rsidRPr="008F4DF9" w:rsidRDefault="00EB4CBD" w:rsidP="00EB4CBD">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Fondos básicos</w:t>
            </w:r>
          </w:p>
        </w:tc>
        <w:tc>
          <w:tcPr>
            <w:tcW w:w="1134" w:type="dxa"/>
            <w:gridSpan w:val="3"/>
            <w:tcBorders>
              <w:top w:val="nil"/>
              <w:left w:val="nil"/>
              <w:bottom w:val="single" w:sz="8" w:space="0" w:color="auto"/>
              <w:right w:val="nil"/>
            </w:tcBorders>
            <w:shd w:val="clear" w:color="000000" w:fill="FFFFFF"/>
            <w:vAlign w:val="center"/>
            <w:hideMark/>
          </w:tcPr>
          <w:p w14:paraId="587D0249" w14:textId="77777777" w:rsidR="00EB4CBD" w:rsidRPr="008F4DF9" w:rsidRDefault="00EB4CBD" w:rsidP="00EB4CBD">
            <w:pPr>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Proyectos no financiados con cargo al presupuesto básico</w:t>
            </w:r>
          </w:p>
        </w:tc>
        <w:tc>
          <w:tcPr>
            <w:tcW w:w="688" w:type="dxa"/>
            <w:tcBorders>
              <w:top w:val="nil"/>
              <w:left w:val="nil"/>
              <w:bottom w:val="single" w:sz="8" w:space="0" w:color="auto"/>
              <w:right w:val="nil"/>
            </w:tcBorders>
            <w:shd w:val="clear" w:color="000000" w:fill="FFFFFF"/>
            <w:noWrap/>
            <w:vAlign w:val="center"/>
            <w:hideMark/>
          </w:tcPr>
          <w:p w14:paraId="404CAD36" w14:textId="77777777" w:rsidR="00EB4CBD" w:rsidRPr="008F4DF9" w:rsidRDefault="00EB4CBD" w:rsidP="00EB4CBD">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Total</w:t>
            </w:r>
          </w:p>
        </w:tc>
        <w:tc>
          <w:tcPr>
            <w:tcW w:w="239" w:type="dxa"/>
            <w:tcBorders>
              <w:top w:val="nil"/>
              <w:left w:val="nil"/>
              <w:bottom w:val="single" w:sz="8" w:space="0" w:color="auto"/>
              <w:right w:val="nil"/>
            </w:tcBorders>
            <w:shd w:val="clear" w:color="000000" w:fill="D9D9D9"/>
            <w:noWrap/>
            <w:vAlign w:val="center"/>
            <w:hideMark/>
          </w:tcPr>
          <w:p w14:paraId="589DC476" w14:textId="77777777" w:rsidR="00EB4CBD" w:rsidRPr="008F4DF9" w:rsidRDefault="00EB4CBD" w:rsidP="00EB4CBD">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774" w:type="dxa"/>
            <w:tcBorders>
              <w:top w:val="nil"/>
              <w:left w:val="nil"/>
              <w:bottom w:val="single" w:sz="8" w:space="0" w:color="auto"/>
              <w:right w:val="nil"/>
            </w:tcBorders>
            <w:shd w:val="clear" w:color="000000" w:fill="FFFFFF"/>
            <w:vAlign w:val="center"/>
            <w:hideMark/>
          </w:tcPr>
          <w:p w14:paraId="3786C686" w14:textId="77777777" w:rsidR="00EB4CBD" w:rsidRPr="008F4DF9" w:rsidRDefault="00EB4CBD" w:rsidP="00EB4CBD">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Fondos básicos</w:t>
            </w:r>
          </w:p>
        </w:tc>
        <w:tc>
          <w:tcPr>
            <w:tcW w:w="992" w:type="dxa"/>
            <w:gridSpan w:val="3"/>
            <w:tcBorders>
              <w:top w:val="nil"/>
              <w:left w:val="nil"/>
              <w:bottom w:val="single" w:sz="8" w:space="0" w:color="auto"/>
              <w:right w:val="nil"/>
            </w:tcBorders>
            <w:shd w:val="clear" w:color="000000" w:fill="FFFFFF"/>
            <w:vAlign w:val="center"/>
            <w:hideMark/>
          </w:tcPr>
          <w:p w14:paraId="2A0387AA" w14:textId="77777777" w:rsidR="00EB4CBD" w:rsidRPr="008F4DF9" w:rsidRDefault="00EB4CBD" w:rsidP="00EB4CBD">
            <w:pPr>
              <w:ind w:left="0" w:firstLine="0"/>
              <w:jc w:val="center"/>
              <w:rPr>
                <w:rFonts w:asciiTheme="minorHAnsi" w:eastAsia="Times New Roman" w:hAnsiTheme="minorHAnsi" w:cstheme="minorHAnsi"/>
                <w:b/>
                <w:bCs/>
                <w:sz w:val="15"/>
                <w:szCs w:val="15"/>
              </w:rPr>
            </w:pPr>
            <w:r w:rsidRPr="008F4DF9">
              <w:rPr>
                <w:rFonts w:asciiTheme="minorHAnsi" w:hAnsiTheme="minorHAnsi"/>
                <w:b/>
                <w:bCs/>
                <w:sz w:val="15"/>
                <w:szCs w:val="15"/>
              </w:rPr>
              <w:t>Proyectos no financiados con cargo al presupuesto básico</w:t>
            </w:r>
          </w:p>
        </w:tc>
        <w:tc>
          <w:tcPr>
            <w:tcW w:w="788" w:type="dxa"/>
            <w:tcBorders>
              <w:top w:val="nil"/>
              <w:left w:val="nil"/>
              <w:bottom w:val="single" w:sz="8" w:space="0" w:color="auto"/>
              <w:right w:val="nil"/>
            </w:tcBorders>
            <w:shd w:val="clear" w:color="000000" w:fill="FFFFFF"/>
            <w:noWrap/>
            <w:vAlign w:val="center"/>
            <w:hideMark/>
          </w:tcPr>
          <w:p w14:paraId="78AF66CD" w14:textId="77777777" w:rsidR="00EB4CBD" w:rsidRPr="008F4DF9" w:rsidRDefault="00EB4CBD" w:rsidP="00EB4CBD">
            <w:pPr>
              <w:ind w:left="0" w:firstLine="0"/>
              <w:jc w:val="center"/>
              <w:rPr>
                <w:rFonts w:asciiTheme="minorHAnsi" w:eastAsia="Times New Roman" w:hAnsiTheme="minorHAnsi" w:cstheme="minorHAnsi"/>
                <w:b/>
                <w:bCs/>
                <w:sz w:val="20"/>
                <w:szCs w:val="20"/>
              </w:rPr>
            </w:pPr>
            <w:r w:rsidRPr="008F4DF9">
              <w:rPr>
                <w:rFonts w:asciiTheme="minorHAnsi" w:hAnsiTheme="minorHAnsi"/>
                <w:b/>
                <w:bCs/>
                <w:sz w:val="20"/>
                <w:szCs w:val="20"/>
              </w:rPr>
              <w:t>Total</w:t>
            </w:r>
          </w:p>
        </w:tc>
      </w:tr>
      <w:tr w:rsidR="00EB4CBD" w:rsidRPr="008F4DF9" w14:paraId="5F734205" w14:textId="77777777" w:rsidTr="00845CBE">
        <w:tc>
          <w:tcPr>
            <w:tcW w:w="3828" w:type="dxa"/>
            <w:tcBorders>
              <w:top w:val="nil"/>
              <w:left w:val="nil"/>
              <w:bottom w:val="nil"/>
              <w:right w:val="nil"/>
            </w:tcBorders>
            <w:shd w:val="clear" w:color="000000" w:fill="FFFFFF"/>
            <w:noWrap/>
            <w:vAlign w:val="center"/>
            <w:hideMark/>
          </w:tcPr>
          <w:p w14:paraId="52F5DA3B"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3CC1E020"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4C00B8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FB23388"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CD634A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50ADE3C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A08E4BF"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F43120B"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3D9A3F1"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r>
      <w:tr w:rsidR="00EB4CBD" w:rsidRPr="008F4DF9" w14:paraId="136EF968" w14:textId="77777777" w:rsidTr="00845CBE">
        <w:tc>
          <w:tcPr>
            <w:tcW w:w="3828" w:type="dxa"/>
            <w:tcBorders>
              <w:top w:val="nil"/>
              <w:left w:val="nil"/>
              <w:bottom w:val="nil"/>
              <w:right w:val="nil"/>
            </w:tcBorders>
            <w:shd w:val="clear" w:color="000000" w:fill="FFFFFF"/>
            <w:noWrap/>
            <w:vAlign w:val="center"/>
            <w:hideMark/>
          </w:tcPr>
          <w:p w14:paraId="63B8A21D"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Saldo del fondo al inicio del ejercicio</w:t>
            </w:r>
          </w:p>
        </w:tc>
        <w:tc>
          <w:tcPr>
            <w:tcW w:w="687" w:type="dxa"/>
            <w:tcBorders>
              <w:top w:val="nil"/>
              <w:left w:val="nil"/>
              <w:bottom w:val="nil"/>
              <w:right w:val="nil"/>
            </w:tcBorders>
            <w:shd w:val="clear" w:color="000000" w:fill="FFFFFF"/>
            <w:noWrap/>
            <w:vAlign w:val="center"/>
            <w:hideMark/>
          </w:tcPr>
          <w:p w14:paraId="3D302CBE"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C3158AD" w14:textId="1DF4D1D0"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w:t>
            </w:r>
            <w:r w:rsidR="00652E0C" w:rsidRPr="008F4DF9">
              <w:rPr>
                <w:rFonts w:asciiTheme="minorHAnsi" w:hAnsiTheme="minorHAnsi"/>
                <w:sz w:val="20"/>
                <w:szCs w:val="20"/>
              </w:rPr>
              <w:t> </w:t>
            </w:r>
            <w:r w:rsidRPr="008F4DF9">
              <w:rPr>
                <w:rFonts w:asciiTheme="minorHAnsi" w:hAnsiTheme="minorHAnsi"/>
                <w:sz w:val="20"/>
                <w:szCs w:val="20"/>
              </w:rPr>
              <w:t xml:space="preserve">196 </w:t>
            </w:r>
          </w:p>
        </w:tc>
        <w:tc>
          <w:tcPr>
            <w:tcW w:w="850" w:type="dxa"/>
            <w:tcBorders>
              <w:top w:val="nil"/>
              <w:left w:val="nil"/>
              <w:bottom w:val="nil"/>
              <w:right w:val="nil"/>
            </w:tcBorders>
            <w:shd w:val="clear" w:color="000000" w:fill="FFFFFF"/>
            <w:noWrap/>
            <w:vAlign w:val="center"/>
            <w:hideMark/>
          </w:tcPr>
          <w:p w14:paraId="55AFD125" w14:textId="309D41CC"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2</w:t>
            </w:r>
            <w:r w:rsidR="00652E0C" w:rsidRPr="008F4DF9">
              <w:rPr>
                <w:rFonts w:asciiTheme="minorHAnsi" w:hAnsiTheme="minorHAnsi"/>
                <w:sz w:val="20"/>
                <w:szCs w:val="20"/>
              </w:rPr>
              <w:t> </w:t>
            </w:r>
            <w:r w:rsidRPr="008F4DF9">
              <w:rPr>
                <w:rFonts w:asciiTheme="minorHAnsi" w:hAnsiTheme="minorHAnsi"/>
                <w:sz w:val="20"/>
                <w:szCs w:val="20"/>
              </w:rPr>
              <w:t xml:space="preserve">133 </w:t>
            </w:r>
          </w:p>
        </w:tc>
        <w:tc>
          <w:tcPr>
            <w:tcW w:w="854" w:type="dxa"/>
            <w:gridSpan w:val="2"/>
            <w:tcBorders>
              <w:top w:val="nil"/>
              <w:left w:val="nil"/>
              <w:bottom w:val="nil"/>
              <w:right w:val="nil"/>
            </w:tcBorders>
            <w:shd w:val="clear" w:color="000000" w:fill="FFFFFF"/>
            <w:noWrap/>
            <w:vAlign w:val="center"/>
            <w:hideMark/>
          </w:tcPr>
          <w:p w14:paraId="30053B5B" w14:textId="2C03E9D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4</w:t>
            </w:r>
            <w:r w:rsidR="00652E0C" w:rsidRPr="008F4DF9">
              <w:rPr>
                <w:rFonts w:asciiTheme="minorHAnsi" w:hAnsiTheme="minorHAnsi"/>
                <w:sz w:val="20"/>
                <w:szCs w:val="20"/>
              </w:rPr>
              <w:t> </w:t>
            </w:r>
            <w:r w:rsidRPr="008F4DF9">
              <w:rPr>
                <w:rFonts w:asciiTheme="minorHAnsi" w:hAnsiTheme="minorHAnsi"/>
                <w:sz w:val="20"/>
                <w:szCs w:val="20"/>
              </w:rPr>
              <w:t xml:space="preserve">329 </w:t>
            </w:r>
          </w:p>
        </w:tc>
        <w:tc>
          <w:tcPr>
            <w:tcW w:w="239" w:type="dxa"/>
            <w:tcBorders>
              <w:top w:val="nil"/>
              <w:left w:val="nil"/>
              <w:bottom w:val="nil"/>
              <w:right w:val="nil"/>
            </w:tcBorders>
            <w:shd w:val="clear" w:color="000000" w:fill="D9D9D9"/>
            <w:noWrap/>
            <w:vAlign w:val="center"/>
            <w:hideMark/>
          </w:tcPr>
          <w:p w14:paraId="53C2D08C"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3C7776D" w14:textId="76D674EF"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w:t>
            </w:r>
            <w:r w:rsidR="00652E0C" w:rsidRPr="008F4DF9">
              <w:rPr>
                <w:rFonts w:asciiTheme="minorHAnsi" w:hAnsiTheme="minorHAnsi"/>
                <w:sz w:val="20"/>
                <w:szCs w:val="20"/>
              </w:rPr>
              <w:t> </w:t>
            </w:r>
            <w:r w:rsidRPr="008F4DF9">
              <w:rPr>
                <w:rFonts w:asciiTheme="minorHAnsi" w:hAnsiTheme="minorHAnsi"/>
                <w:sz w:val="20"/>
                <w:szCs w:val="20"/>
              </w:rPr>
              <w:t xml:space="preserve">801 </w:t>
            </w:r>
          </w:p>
        </w:tc>
        <w:tc>
          <w:tcPr>
            <w:tcW w:w="850" w:type="dxa"/>
            <w:tcBorders>
              <w:top w:val="nil"/>
              <w:left w:val="nil"/>
              <w:bottom w:val="nil"/>
              <w:right w:val="nil"/>
            </w:tcBorders>
            <w:shd w:val="clear" w:color="000000" w:fill="FFFFFF"/>
            <w:noWrap/>
            <w:vAlign w:val="center"/>
            <w:hideMark/>
          </w:tcPr>
          <w:p w14:paraId="440B2D15" w14:textId="66201E88"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2</w:t>
            </w:r>
            <w:r w:rsidR="00652E0C" w:rsidRPr="008F4DF9">
              <w:rPr>
                <w:rFonts w:asciiTheme="minorHAnsi" w:hAnsiTheme="minorHAnsi"/>
                <w:sz w:val="20"/>
                <w:szCs w:val="20"/>
              </w:rPr>
              <w:t> </w:t>
            </w:r>
            <w:r w:rsidRPr="008F4DF9">
              <w:rPr>
                <w:rFonts w:asciiTheme="minorHAnsi" w:hAnsiTheme="minorHAnsi"/>
                <w:sz w:val="20"/>
                <w:szCs w:val="20"/>
              </w:rPr>
              <w:t xml:space="preserve">317 </w:t>
            </w:r>
          </w:p>
        </w:tc>
        <w:tc>
          <w:tcPr>
            <w:tcW w:w="854" w:type="dxa"/>
            <w:gridSpan w:val="2"/>
            <w:tcBorders>
              <w:top w:val="nil"/>
              <w:left w:val="nil"/>
              <w:bottom w:val="nil"/>
              <w:right w:val="nil"/>
            </w:tcBorders>
            <w:shd w:val="clear" w:color="000000" w:fill="FFFFFF"/>
            <w:noWrap/>
            <w:vAlign w:val="center"/>
            <w:hideMark/>
          </w:tcPr>
          <w:p w14:paraId="1093DC16" w14:textId="2DA9CFA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4</w:t>
            </w:r>
            <w:r w:rsidR="00652E0C" w:rsidRPr="008F4DF9">
              <w:rPr>
                <w:rFonts w:asciiTheme="minorHAnsi" w:hAnsiTheme="minorHAnsi"/>
                <w:sz w:val="20"/>
                <w:szCs w:val="20"/>
              </w:rPr>
              <w:t> </w:t>
            </w:r>
            <w:r w:rsidRPr="008F4DF9">
              <w:rPr>
                <w:rFonts w:asciiTheme="minorHAnsi" w:hAnsiTheme="minorHAnsi"/>
                <w:sz w:val="20"/>
                <w:szCs w:val="20"/>
              </w:rPr>
              <w:t xml:space="preserve">118 </w:t>
            </w:r>
          </w:p>
        </w:tc>
      </w:tr>
      <w:tr w:rsidR="00EB4CBD" w:rsidRPr="008F4DF9" w14:paraId="6E79F192" w14:textId="77777777" w:rsidTr="00845CBE">
        <w:tc>
          <w:tcPr>
            <w:tcW w:w="3828" w:type="dxa"/>
            <w:tcBorders>
              <w:top w:val="nil"/>
              <w:left w:val="nil"/>
              <w:bottom w:val="nil"/>
              <w:right w:val="nil"/>
            </w:tcBorders>
            <w:shd w:val="clear" w:color="000000" w:fill="FFFFFF"/>
            <w:noWrap/>
            <w:vAlign w:val="center"/>
            <w:hideMark/>
          </w:tcPr>
          <w:p w14:paraId="2362D437" w14:textId="77777777" w:rsidR="00EB4CBD" w:rsidRPr="008F4DF9" w:rsidRDefault="00EB4CBD" w:rsidP="00EB4CBD">
            <w:pPr>
              <w:ind w:left="0" w:firstLine="0"/>
              <w:rPr>
                <w:rFonts w:asciiTheme="minorHAnsi" w:eastAsia="Times New Roman" w:hAnsiTheme="minorHAnsi" w:cstheme="minorHAnsi"/>
                <w:sz w:val="20"/>
                <w:szCs w:val="20"/>
              </w:rPr>
            </w:pPr>
            <w:r w:rsidRPr="008F4DF9">
              <w:rPr>
                <w:rFonts w:asciiTheme="minorHAnsi" w:hAnsiTheme="minorHAnsi"/>
                <w:sz w:val="20"/>
                <w:szCs w:val="20"/>
              </w:rPr>
              <w:t>Ingresos/(gastos) netos del ejercicio</w:t>
            </w:r>
          </w:p>
        </w:tc>
        <w:tc>
          <w:tcPr>
            <w:tcW w:w="687" w:type="dxa"/>
            <w:tcBorders>
              <w:top w:val="nil"/>
              <w:left w:val="nil"/>
              <w:bottom w:val="nil"/>
              <w:right w:val="nil"/>
            </w:tcBorders>
            <w:shd w:val="clear" w:color="000000" w:fill="FFFFFF"/>
            <w:noWrap/>
            <w:vAlign w:val="center"/>
            <w:hideMark/>
          </w:tcPr>
          <w:p w14:paraId="2173F5C2" w14:textId="77777777" w:rsidR="00EB4CBD" w:rsidRPr="008F4DF9" w:rsidRDefault="00EB4CBD" w:rsidP="00EB4CBD">
            <w:pPr>
              <w:ind w:left="0" w:firstLine="0"/>
              <w:jc w:val="center"/>
              <w:rPr>
                <w:rFonts w:asciiTheme="minorHAnsi" w:eastAsia="Times New Roman" w:hAnsiTheme="minorHAnsi" w:cstheme="minorHAnsi"/>
                <w:sz w:val="20"/>
                <w:szCs w:val="20"/>
              </w:rPr>
            </w:pPr>
            <w:r w:rsidRPr="008F4DF9">
              <w:rPr>
                <w:rFonts w:asciiTheme="minorHAnsi" w:hAnsiTheme="minorHAnsi"/>
                <w:sz w:val="20"/>
                <w:szCs w:val="20"/>
              </w:rPr>
              <w:t>11</w:t>
            </w:r>
          </w:p>
        </w:tc>
        <w:tc>
          <w:tcPr>
            <w:tcW w:w="849" w:type="dxa"/>
            <w:gridSpan w:val="2"/>
            <w:tcBorders>
              <w:top w:val="nil"/>
              <w:left w:val="nil"/>
              <w:bottom w:val="nil"/>
              <w:right w:val="nil"/>
            </w:tcBorders>
            <w:shd w:val="clear" w:color="000000" w:fill="FFFFFF"/>
            <w:noWrap/>
            <w:vAlign w:val="center"/>
            <w:hideMark/>
          </w:tcPr>
          <w:p w14:paraId="78A7DAA8" w14:textId="430C446B"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452 </w:t>
            </w:r>
          </w:p>
        </w:tc>
        <w:tc>
          <w:tcPr>
            <w:tcW w:w="850" w:type="dxa"/>
            <w:tcBorders>
              <w:top w:val="nil"/>
              <w:left w:val="nil"/>
              <w:bottom w:val="nil"/>
              <w:right w:val="nil"/>
            </w:tcBorders>
            <w:shd w:val="clear" w:color="000000" w:fill="FFFFFF"/>
            <w:noWrap/>
            <w:vAlign w:val="center"/>
            <w:hideMark/>
          </w:tcPr>
          <w:p w14:paraId="6DD4AFC5" w14:textId="4AF36D3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(60)</w:t>
            </w:r>
          </w:p>
        </w:tc>
        <w:tc>
          <w:tcPr>
            <w:tcW w:w="854" w:type="dxa"/>
            <w:gridSpan w:val="2"/>
            <w:tcBorders>
              <w:top w:val="nil"/>
              <w:left w:val="nil"/>
              <w:bottom w:val="nil"/>
              <w:right w:val="nil"/>
            </w:tcBorders>
            <w:shd w:val="clear" w:color="000000" w:fill="FFFFFF"/>
            <w:noWrap/>
            <w:vAlign w:val="center"/>
            <w:hideMark/>
          </w:tcPr>
          <w:p w14:paraId="185D93D7" w14:textId="6BE8681A"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392 </w:t>
            </w:r>
          </w:p>
        </w:tc>
        <w:tc>
          <w:tcPr>
            <w:tcW w:w="239" w:type="dxa"/>
            <w:tcBorders>
              <w:top w:val="nil"/>
              <w:left w:val="nil"/>
              <w:bottom w:val="nil"/>
              <w:right w:val="nil"/>
            </w:tcBorders>
            <w:shd w:val="clear" w:color="000000" w:fill="D9D9D9"/>
            <w:noWrap/>
            <w:vAlign w:val="center"/>
            <w:hideMark/>
          </w:tcPr>
          <w:p w14:paraId="58FD617E" w14:textId="7777777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B91F612" w14:textId="673EE032"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395 </w:t>
            </w:r>
          </w:p>
        </w:tc>
        <w:tc>
          <w:tcPr>
            <w:tcW w:w="850" w:type="dxa"/>
            <w:tcBorders>
              <w:top w:val="nil"/>
              <w:left w:val="nil"/>
              <w:bottom w:val="nil"/>
              <w:right w:val="nil"/>
            </w:tcBorders>
            <w:shd w:val="clear" w:color="000000" w:fill="FFFFFF"/>
            <w:noWrap/>
            <w:vAlign w:val="center"/>
            <w:hideMark/>
          </w:tcPr>
          <w:p w14:paraId="18C598DD" w14:textId="13E55D07"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  (184)</w:t>
            </w:r>
          </w:p>
        </w:tc>
        <w:tc>
          <w:tcPr>
            <w:tcW w:w="854" w:type="dxa"/>
            <w:gridSpan w:val="2"/>
            <w:tcBorders>
              <w:top w:val="nil"/>
              <w:left w:val="nil"/>
              <w:bottom w:val="nil"/>
              <w:right w:val="nil"/>
            </w:tcBorders>
            <w:shd w:val="clear" w:color="000000" w:fill="FFFFFF"/>
            <w:noWrap/>
            <w:vAlign w:val="center"/>
            <w:hideMark/>
          </w:tcPr>
          <w:p w14:paraId="064DB734" w14:textId="425003A6" w:rsidR="00EB4CBD" w:rsidRPr="008F4DF9" w:rsidRDefault="00EB4CBD" w:rsidP="00E84205">
            <w:pPr>
              <w:ind w:left="0" w:firstLine="0"/>
              <w:jc w:val="right"/>
              <w:rPr>
                <w:rFonts w:asciiTheme="minorHAnsi" w:eastAsia="Times New Roman" w:hAnsiTheme="minorHAnsi" w:cstheme="minorHAnsi"/>
                <w:sz w:val="20"/>
                <w:szCs w:val="20"/>
              </w:rPr>
            </w:pPr>
            <w:r w:rsidRPr="008F4DF9">
              <w:rPr>
                <w:rFonts w:asciiTheme="minorHAnsi" w:hAnsiTheme="minorHAnsi"/>
                <w:sz w:val="20"/>
                <w:szCs w:val="20"/>
              </w:rPr>
              <w:t xml:space="preserve">211 </w:t>
            </w:r>
          </w:p>
        </w:tc>
      </w:tr>
      <w:tr w:rsidR="00EB4CBD" w:rsidRPr="008F4DF9" w14:paraId="48BABC04" w14:textId="77777777" w:rsidTr="00845CBE">
        <w:tc>
          <w:tcPr>
            <w:tcW w:w="3828" w:type="dxa"/>
            <w:tcBorders>
              <w:top w:val="nil"/>
              <w:left w:val="nil"/>
              <w:bottom w:val="nil"/>
              <w:right w:val="nil"/>
            </w:tcBorders>
            <w:shd w:val="clear" w:color="000000" w:fill="FFFFFF"/>
            <w:noWrap/>
            <w:vAlign w:val="center"/>
            <w:hideMark/>
          </w:tcPr>
          <w:p w14:paraId="57356A45" w14:textId="77777777" w:rsidR="00EB4CBD" w:rsidRPr="008F4DF9" w:rsidRDefault="00EB4CBD" w:rsidP="00EB4CBD">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687" w:type="dxa"/>
            <w:tcBorders>
              <w:top w:val="nil"/>
              <w:left w:val="nil"/>
              <w:bottom w:val="nil"/>
              <w:right w:val="nil"/>
            </w:tcBorders>
            <w:shd w:val="clear" w:color="000000" w:fill="FFFFFF"/>
            <w:noWrap/>
            <w:vAlign w:val="center"/>
            <w:hideMark/>
          </w:tcPr>
          <w:p w14:paraId="373AB933" w14:textId="77777777" w:rsidR="00EB4CBD" w:rsidRPr="008F4DF9" w:rsidRDefault="00EB4CBD" w:rsidP="00EB4CBD">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49" w:type="dxa"/>
            <w:gridSpan w:val="2"/>
            <w:tcBorders>
              <w:top w:val="nil"/>
              <w:left w:val="nil"/>
              <w:bottom w:val="nil"/>
              <w:right w:val="nil"/>
            </w:tcBorders>
            <w:shd w:val="clear" w:color="000000" w:fill="FFFFFF"/>
            <w:noWrap/>
            <w:vAlign w:val="center"/>
            <w:hideMark/>
          </w:tcPr>
          <w:p w14:paraId="62DFB517"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tcBorders>
              <w:top w:val="nil"/>
              <w:left w:val="nil"/>
              <w:bottom w:val="nil"/>
              <w:right w:val="nil"/>
            </w:tcBorders>
            <w:shd w:val="clear" w:color="000000" w:fill="FFFFFF"/>
            <w:noWrap/>
            <w:vAlign w:val="center"/>
            <w:hideMark/>
          </w:tcPr>
          <w:p w14:paraId="305A4B2A"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4" w:type="dxa"/>
            <w:gridSpan w:val="2"/>
            <w:tcBorders>
              <w:top w:val="nil"/>
              <w:left w:val="nil"/>
              <w:bottom w:val="nil"/>
              <w:right w:val="nil"/>
            </w:tcBorders>
            <w:shd w:val="clear" w:color="000000" w:fill="FFFFFF"/>
            <w:noWrap/>
            <w:vAlign w:val="center"/>
            <w:hideMark/>
          </w:tcPr>
          <w:p w14:paraId="5D53E9ED"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239" w:type="dxa"/>
            <w:tcBorders>
              <w:top w:val="nil"/>
              <w:left w:val="nil"/>
              <w:bottom w:val="nil"/>
              <w:right w:val="nil"/>
            </w:tcBorders>
            <w:shd w:val="clear" w:color="000000" w:fill="D9D9D9"/>
            <w:noWrap/>
            <w:vAlign w:val="center"/>
            <w:hideMark/>
          </w:tcPr>
          <w:p w14:paraId="77420DE0"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3C1B2FFA"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tcBorders>
              <w:top w:val="nil"/>
              <w:left w:val="nil"/>
              <w:bottom w:val="nil"/>
              <w:right w:val="nil"/>
            </w:tcBorders>
            <w:shd w:val="clear" w:color="000000" w:fill="FFFFFF"/>
            <w:noWrap/>
            <w:vAlign w:val="center"/>
            <w:hideMark/>
          </w:tcPr>
          <w:p w14:paraId="4A1887E4"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4" w:type="dxa"/>
            <w:gridSpan w:val="2"/>
            <w:tcBorders>
              <w:top w:val="nil"/>
              <w:left w:val="nil"/>
              <w:bottom w:val="nil"/>
              <w:right w:val="nil"/>
            </w:tcBorders>
            <w:shd w:val="clear" w:color="000000" w:fill="FFFFFF"/>
            <w:noWrap/>
            <w:vAlign w:val="center"/>
            <w:hideMark/>
          </w:tcPr>
          <w:p w14:paraId="7918D545"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r>
      <w:tr w:rsidR="00EB4CBD" w:rsidRPr="008F4DF9" w14:paraId="0036A837" w14:textId="77777777" w:rsidTr="00845CBE">
        <w:tc>
          <w:tcPr>
            <w:tcW w:w="3828" w:type="dxa"/>
            <w:tcBorders>
              <w:top w:val="nil"/>
              <w:left w:val="nil"/>
              <w:bottom w:val="nil"/>
              <w:right w:val="nil"/>
            </w:tcBorders>
            <w:shd w:val="clear" w:color="000000" w:fill="FFFFFF"/>
            <w:noWrap/>
            <w:vAlign w:val="center"/>
            <w:hideMark/>
          </w:tcPr>
          <w:p w14:paraId="3ECBBA59" w14:textId="77777777" w:rsidR="00EB4CBD" w:rsidRPr="008F4DF9" w:rsidRDefault="00EB4CBD" w:rsidP="00EB4CBD">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Saldo del fondo al cierre del ejercicio</w:t>
            </w:r>
          </w:p>
        </w:tc>
        <w:tc>
          <w:tcPr>
            <w:tcW w:w="687" w:type="dxa"/>
            <w:tcBorders>
              <w:top w:val="nil"/>
              <w:left w:val="nil"/>
              <w:bottom w:val="nil"/>
              <w:right w:val="nil"/>
            </w:tcBorders>
            <w:shd w:val="clear" w:color="000000" w:fill="FFFFFF"/>
            <w:noWrap/>
            <w:vAlign w:val="center"/>
            <w:hideMark/>
          </w:tcPr>
          <w:p w14:paraId="28B8BA75" w14:textId="77777777" w:rsidR="00EB4CBD" w:rsidRPr="008F4DF9" w:rsidRDefault="00EB4CBD" w:rsidP="00EB4CBD">
            <w:pPr>
              <w:ind w:left="0" w:firstLine="0"/>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49" w:type="dxa"/>
            <w:gridSpan w:val="2"/>
            <w:tcBorders>
              <w:top w:val="single" w:sz="4" w:space="0" w:color="auto"/>
              <w:left w:val="nil"/>
              <w:bottom w:val="single" w:sz="4" w:space="0" w:color="auto"/>
              <w:right w:val="nil"/>
            </w:tcBorders>
            <w:shd w:val="clear" w:color="000000" w:fill="C5D9F1"/>
            <w:noWrap/>
            <w:vAlign w:val="center"/>
            <w:hideMark/>
          </w:tcPr>
          <w:p w14:paraId="51D5D0FA" w14:textId="3F0182A4"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2</w:t>
            </w:r>
            <w:r w:rsidR="00652E0C" w:rsidRPr="008F4DF9">
              <w:rPr>
                <w:rFonts w:asciiTheme="minorHAnsi" w:hAnsiTheme="minorHAnsi"/>
                <w:b/>
                <w:bCs/>
                <w:sz w:val="20"/>
                <w:szCs w:val="20"/>
              </w:rPr>
              <w:t> </w:t>
            </w:r>
            <w:r w:rsidRPr="008F4DF9">
              <w:rPr>
                <w:rFonts w:asciiTheme="minorHAnsi" w:hAnsiTheme="minorHAnsi"/>
                <w:b/>
                <w:bCs/>
                <w:sz w:val="20"/>
                <w:szCs w:val="20"/>
              </w:rPr>
              <w:t xml:space="preserve">648 </w:t>
            </w:r>
          </w:p>
        </w:tc>
        <w:tc>
          <w:tcPr>
            <w:tcW w:w="850" w:type="dxa"/>
            <w:tcBorders>
              <w:top w:val="single" w:sz="4" w:space="0" w:color="auto"/>
              <w:left w:val="nil"/>
              <w:bottom w:val="single" w:sz="4" w:space="0" w:color="auto"/>
              <w:right w:val="nil"/>
            </w:tcBorders>
            <w:shd w:val="clear" w:color="000000" w:fill="C5D9F1"/>
            <w:noWrap/>
            <w:vAlign w:val="center"/>
            <w:hideMark/>
          </w:tcPr>
          <w:p w14:paraId="400B2193" w14:textId="1A65760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2</w:t>
            </w:r>
            <w:r w:rsidR="00652E0C" w:rsidRPr="008F4DF9">
              <w:rPr>
                <w:rFonts w:asciiTheme="minorHAnsi" w:hAnsiTheme="minorHAnsi"/>
                <w:b/>
                <w:bCs/>
                <w:sz w:val="20"/>
                <w:szCs w:val="20"/>
              </w:rPr>
              <w:t> </w:t>
            </w:r>
            <w:r w:rsidRPr="008F4DF9">
              <w:rPr>
                <w:rFonts w:asciiTheme="minorHAnsi" w:hAnsiTheme="minorHAnsi"/>
                <w:b/>
                <w:bCs/>
                <w:sz w:val="20"/>
                <w:szCs w:val="20"/>
              </w:rPr>
              <w:t xml:space="preserve">073 </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43C31C60" w14:textId="25E3B106"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4</w:t>
            </w:r>
            <w:r w:rsidR="00652E0C" w:rsidRPr="008F4DF9">
              <w:rPr>
                <w:rFonts w:asciiTheme="minorHAnsi" w:hAnsiTheme="minorHAnsi"/>
                <w:b/>
                <w:bCs/>
                <w:sz w:val="20"/>
                <w:szCs w:val="20"/>
              </w:rPr>
              <w:t> </w:t>
            </w:r>
            <w:r w:rsidRPr="008F4DF9">
              <w:rPr>
                <w:rFonts w:asciiTheme="minorHAnsi" w:hAnsiTheme="minorHAnsi"/>
                <w:b/>
                <w:bCs/>
                <w:sz w:val="20"/>
                <w:szCs w:val="20"/>
              </w:rPr>
              <w:t xml:space="preserve">721 </w:t>
            </w:r>
          </w:p>
        </w:tc>
        <w:tc>
          <w:tcPr>
            <w:tcW w:w="239" w:type="dxa"/>
            <w:tcBorders>
              <w:top w:val="single" w:sz="4" w:space="0" w:color="auto"/>
              <w:left w:val="nil"/>
              <w:bottom w:val="single" w:sz="4" w:space="0" w:color="auto"/>
              <w:right w:val="nil"/>
            </w:tcBorders>
            <w:shd w:val="clear" w:color="000000" w:fill="D9D9D9"/>
            <w:noWrap/>
            <w:vAlign w:val="center"/>
            <w:hideMark/>
          </w:tcPr>
          <w:p w14:paraId="2F246EA2" w14:textId="77777777"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w:t>
            </w:r>
          </w:p>
        </w:tc>
        <w:tc>
          <w:tcPr>
            <w:tcW w:w="850" w:type="dxa"/>
            <w:gridSpan w:val="2"/>
            <w:tcBorders>
              <w:top w:val="single" w:sz="4" w:space="0" w:color="auto"/>
              <w:left w:val="nil"/>
              <w:bottom w:val="single" w:sz="4" w:space="0" w:color="auto"/>
              <w:right w:val="nil"/>
            </w:tcBorders>
            <w:shd w:val="clear" w:color="000000" w:fill="EBF1DE"/>
            <w:noWrap/>
            <w:vAlign w:val="center"/>
            <w:hideMark/>
          </w:tcPr>
          <w:p w14:paraId="23B51BF0" w14:textId="5FCBE3D6"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2</w:t>
            </w:r>
            <w:r w:rsidR="00652E0C" w:rsidRPr="008F4DF9">
              <w:rPr>
                <w:rFonts w:asciiTheme="minorHAnsi" w:hAnsiTheme="minorHAnsi"/>
                <w:b/>
                <w:bCs/>
                <w:sz w:val="20"/>
                <w:szCs w:val="20"/>
              </w:rPr>
              <w:t> </w:t>
            </w:r>
            <w:r w:rsidRPr="008F4DF9">
              <w:rPr>
                <w:rFonts w:asciiTheme="minorHAnsi" w:hAnsiTheme="minorHAnsi"/>
                <w:b/>
                <w:bCs/>
                <w:sz w:val="20"/>
                <w:szCs w:val="20"/>
              </w:rPr>
              <w:t xml:space="preserve">196 </w:t>
            </w:r>
          </w:p>
        </w:tc>
        <w:tc>
          <w:tcPr>
            <w:tcW w:w="850" w:type="dxa"/>
            <w:tcBorders>
              <w:top w:val="single" w:sz="4" w:space="0" w:color="auto"/>
              <w:left w:val="nil"/>
              <w:bottom w:val="single" w:sz="4" w:space="0" w:color="auto"/>
              <w:right w:val="nil"/>
            </w:tcBorders>
            <w:shd w:val="clear" w:color="000000" w:fill="EBF1DE"/>
            <w:noWrap/>
            <w:vAlign w:val="center"/>
            <w:hideMark/>
          </w:tcPr>
          <w:p w14:paraId="1B13FF32" w14:textId="4041FCF5"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2</w:t>
            </w:r>
            <w:r w:rsidR="00652E0C" w:rsidRPr="008F4DF9">
              <w:rPr>
                <w:rFonts w:asciiTheme="minorHAnsi" w:hAnsiTheme="minorHAnsi"/>
                <w:b/>
                <w:bCs/>
                <w:sz w:val="20"/>
                <w:szCs w:val="20"/>
              </w:rPr>
              <w:t> </w:t>
            </w:r>
            <w:r w:rsidRPr="008F4DF9">
              <w:rPr>
                <w:rFonts w:asciiTheme="minorHAnsi" w:hAnsiTheme="minorHAnsi"/>
                <w:b/>
                <w:bCs/>
                <w:sz w:val="20"/>
                <w:szCs w:val="20"/>
              </w:rPr>
              <w:t xml:space="preserve">133 </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39EACFE7" w14:textId="044174FA" w:rsidR="00EB4CBD" w:rsidRPr="008F4DF9" w:rsidRDefault="00EB4CBD" w:rsidP="00E84205">
            <w:pPr>
              <w:ind w:left="0" w:firstLine="0"/>
              <w:jc w:val="right"/>
              <w:rPr>
                <w:rFonts w:asciiTheme="minorHAnsi" w:eastAsia="Times New Roman" w:hAnsiTheme="minorHAnsi" w:cstheme="minorHAnsi"/>
                <w:b/>
                <w:bCs/>
                <w:sz w:val="20"/>
                <w:szCs w:val="20"/>
              </w:rPr>
            </w:pPr>
            <w:r w:rsidRPr="008F4DF9">
              <w:rPr>
                <w:rFonts w:asciiTheme="minorHAnsi" w:hAnsiTheme="minorHAnsi"/>
                <w:b/>
                <w:bCs/>
                <w:sz w:val="20"/>
                <w:szCs w:val="20"/>
              </w:rPr>
              <w:t xml:space="preserve"> 4</w:t>
            </w:r>
            <w:r w:rsidR="00652E0C" w:rsidRPr="008F4DF9">
              <w:rPr>
                <w:rFonts w:asciiTheme="minorHAnsi" w:hAnsiTheme="minorHAnsi"/>
                <w:b/>
                <w:bCs/>
                <w:sz w:val="20"/>
                <w:szCs w:val="20"/>
              </w:rPr>
              <w:t> </w:t>
            </w:r>
            <w:r w:rsidRPr="008F4DF9">
              <w:rPr>
                <w:rFonts w:asciiTheme="minorHAnsi" w:hAnsiTheme="minorHAnsi"/>
                <w:b/>
                <w:bCs/>
                <w:sz w:val="20"/>
                <w:szCs w:val="20"/>
              </w:rPr>
              <w:t xml:space="preserve">329 </w:t>
            </w:r>
          </w:p>
        </w:tc>
      </w:tr>
    </w:tbl>
    <w:p w14:paraId="6C7E7A10" w14:textId="72A8F533" w:rsidR="003F135F" w:rsidRDefault="003F135F" w:rsidP="00633DD5">
      <w:pPr>
        <w:pStyle w:val="NoSpacing"/>
        <w:rPr>
          <w:rFonts w:eastAsia="Times New Roman" w:cs="Arial"/>
          <w:b/>
          <w:bCs/>
          <w:lang w:eastAsia="en-GB"/>
        </w:rPr>
      </w:pPr>
    </w:p>
    <w:p w14:paraId="6E733272" w14:textId="5C8784A2" w:rsidR="00F96BA5" w:rsidRPr="008F4DF9" w:rsidRDefault="001C5386" w:rsidP="00F96BA5">
      <w:pPr>
        <w:pStyle w:val="NoSpacing"/>
        <w:rPr>
          <w:rFonts w:eastAsia="Times New Roman" w:cs="Arial"/>
          <w:b/>
          <w:bCs/>
        </w:rPr>
      </w:pPr>
      <w:r w:rsidRPr="008F4DF9">
        <w:rPr>
          <w:b/>
        </w:rPr>
        <w:lastRenderedPageBreak/>
        <w:t xml:space="preserve"> </w:t>
      </w:r>
      <w:r w:rsidRPr="008F4DF9">
        <w:rPr>
          <w:b/>
          <w:bCs/>
        </w:rPr>
        <w:t>III.</w:t>
      </w:r>
      <w:r w:rsidRPr="008F4DF9">
        <w:rPr>
          <w:b/>
          <w:bCs/>
        </w:rPr>
        <w:tab/>
        <w:t>Estado de los flujos de tesorería para el ejercicio finalizado el 31 de diciembre de 2019</w:t>
      </w:r>
    </w:p>
    <w:p w14:paraId="5A700D26" w14:textId="70530081" w:rsidR="00F62368" w:rsidRPr="008F4DF9" w:rsidRDefault="00F62368" w:rsidP="00F96BA5">
      <w:pPr>
        <w:pStyle w:val="NoSpacing"/>
        <w:rPr>
          <w:rFonts w:eastAsia="Times New Roman" w:cs="Arial"/>
          <w:b/>
          <w:bCs/>
          <w:lang w:eastAsia="en-GB"/>
        </w:rPr>
      </w:pPr>
    </w:p>
    <w:tbl>
      <w:tblPr>
        <w:tblW w:w="9207" w:type="dxa"/>
        <w:tblLook w:val="04A0" w:firstRow="1" w:lastRow="0" w:firstColumn="1" w:lastColumn="0" w:noHBand="0" w:noVBand="1"/>
      </w:tblPr>
      <w:tblGrid>
        <w:gridCol w:w="6237"/>
        <w:gridCol w:w="1219"/>
        <w:gridCol w:w="266"/>
        <w:gridCol w:w="266"/>
        <w:gridCol w:w="1219"/>
      </w:tblGrid>
      <w:tr w:rsidR="003F135F" w:rsidRPr="008F4DF9" w14:paraId="42D783B2" w14:textId="77777777" w:rsidTr="005315C8">
        <w:trPr>
          <w:trHeight w:val="324"/>
        </w:trPr>
        <w:tc>
          <w:tcPr>
            <w:tcW w:w="6237" w:type="dxa"/>
            <w:tcBorders>
              <w:top w:val="nil"/>
              <w:left w:val="nil"/>
              <w:bottom w:val="single" w:sz="8" w:space="0" w:color="auto"/>
              <w:right w:val="nil"/>
            </w:tcBorders>
            <w:shd w:val="clear" w:color="000000" w:fill="FFFFFF"/>
            <w:noWrap/>
            <w:vAlign w:val="bottom"/>
            <w:hideMark/>
          </w:tcPr>
          <w:p w14:paraId="5195A11C" w14:textId="77777777" w:rsidR="003F135F" w:rsidRPr="008F4DF9" w:rsidRDefault="003F135F" w:rsidP="003F135F">
            <w:pPr>
              <w:ind w:left="0" w:firstLine="0"/>
              <w:rPr>
                <w:rFonts w:eastAsia="Times New Roman" w:cs="Calibri"/>
                <w:i/>
                <w:iCs/>
                <w:sz w:val="20"/>
                <w:szCs w:val="20"/>
              </w:rPr>
            </w:pPr>
            <w:r w:rsidRPr="008F4DF9">
              <w:rPr>
                <w:i/>
                <w:iCs/>
                <w:sz w:val="20"/>
                <w:szCs w:val="20"/>
              </w:rPr>
              <w:t>en miles de francos suizos</w:t>
            </w:r>
          </w:p>
        </w:tc>
        <w:tc>
          <w:tcPr>
            <w:tcW w:w="1219" w:type="dxa"/>
            <w:tcBorders>
              <w:top w:val="nil"/>
              <w:left w:val="nil"/>
              <w:bottom w:val="single" w:sz="8" w:space="0" w:color="auto"/>
              <w:right w:val="nil"/>
            </w:tcBorders>
            <w:shd w:val="clear" w:color="000000" w:fill="8DB4E2"/>
            <w:noWrap/>
            <w:vAlign w:val="center"/>
            <w:hideMark/>
          </w:tcPr>
          <w:p w14:paraId="74527F6B" w14:textId="77777777" w:rsidR="003F135F" w:rsidRPr="008F4DF9" w:rsidRDefault="003F135F" w:rsidP="003F135F">
            <w:pPr>
              <w:ind w:left="0" w:firstLine="0"/>
              <w:jc w:val="center"/>
              <w:rPr>
                <w:rFonts w:eastAsia="Times New Roman" w:cs="Calibri"/>
                <w:b/>
                <w:bCs/>
              </w:rPr>
            </w:pPr>
            <w:r w:rsidRPr="008F4DF9">
              <w:rPr>
                <w:b/>
                <w:bCs/>
              </w:rPr>
              <w:t>2019</w:t>
            </w:r>
          </w:p>
        </w:tc>
        <w:tc>
          <w:tcPr>
            <w:tcW w:w="266" w:type="dxa"/>
            <w:tcBorders>
              <w:top w:val="nil"/>
              <w:left w:val="nil"/>
              <w:bottom w:val="single" w:sz="8" w:space="0" w:color="auto"/>
              <w:right w:val="nil"/>
            </w:tcBorders>
            <w:shd w:val="clear" w:color="000000" w:fill="8DB4E2"/>
            <w:noWrap/>
            <w:vAlign w:val="center"/>
            <w:hideMark/>
          </w:tcPr>
          <w:p w14:paraId="1BEF1A51" w14:textId="77777777" w:rsidR="003F135F" w:rsidRPr="008F4DF9" w:rsidRDefault="003F135F" w:rsidP="003F135F">
            <w:pPr>
              <w:ind w:left="0" w:firstLine="0"/>
              <w:jc w:val="center"/>
              <w:rPr>
                <w:rFonts w:eastAsia="Times New Roman" w:cs="Calibri"/>
                <w:b/>
                <w:bCs/>
              </w:rPr>
            </w:pPr>
            <w:r w:rsidRPr="008F4DF9">
              <w:rPr>
                <w:b/>
                <w:bCs/>
              </w:rPr>
              <w:t> </w:t>
            </w:r>
          </w:p>
        </w:tc>
        <w:tc>
          <w:tcPr>
            <w:tcW w:w="266" w:type="dxa"/>
            <w:tcBorders>
              <w:top w:val="nil"/>
              <w:left w:val="nil"/>
              <w:bottom w:val="single" w:sz="8" w:space="0" w:color="auto"/>
              <w:right w:val="nil"/>
            </w:tcBorders>
            <w:shd w:val="clear" w:color="000000" w:fill="D9D9D9"/>
            <w:noWrap/>
            <w:vAlign w:val="center"/>
            <w:hideMark/>
          </w:tcPr>
          <w:p w14:paraId="3ED16560" w14:textId="77777777" w:rsidR="003F135F" w:rsidRPr="008F4DF9" w:rsidRDefault="003F135F" w:rsidP="003F135F">
            <w:pPr>
              <w:ind w:left="0" w:firstLine="0"/>
              <w:jc w:val="center"/>
              <w:rPr>
                <w:rFonts w:eastAsia="Times New Roman" w:cs="Calibri"/>
                <w:b/>
                <w:bCs/>
              </w:rPr>
            </w:pPr>
            <w:r w:rsidRPr="008F4DF9">
              <w:rPr>
                <w:b/>
                <w:bCs/>
              </w:rPr>
              <w:t> </w:t>
            </w:r>
          </w:p>
        </w:tc>
        <w:tc>
          <w:tcPr>
            <w:tcW w:w="1219" w:type="dxa"/>
            <w:tcBorders>
              <w:top w:val="nil"/>
              <w:left w:val="nil"/>
              <w:bottom w:val="single" w:sz="8" w:space="0" w:color="auto"/>
              <w:right w:val="nil"/>
            </w:tcBorders>
            <w:shd w:val="clear" w:color="000000" w:fill="D8E4BC"/>
            <w:noWrap/>
            <w:vAlign w:val="center"/>
            <w:hideMark/>
          </w:tcPr>
          <w:p w14:paraId="022AE673" w14:textId="77777777" w:rsidR="003F135F" w:rsidRPr="008F4DF9" w:rsidRDefault="003F135F" w:rsidP="003F135F">
            <w:pPr>
              <w:ind w:left="0" w:firstLine="0"/>
              <w:jc w:val="center"/>
              <w:rPr>
                <w:rFonts w:eastAsia="Times New Roman" w:cs="Calibri"/>
                <w:b/>
                <w:bCs/>
              </w:rPr>
            </w:pPr>
            <w:r w:rsidRPr="008F4DF9">
              <w:rPr>
                <w:b/>
                <w:bCs/>
              </w:rPr>
              <w:t>2018</w:t>
            </w:r>
          </w:p>
        </w:tc>
      </w:tr>
      <w:tr w:rsidR="003F135F" w:rsidRPr="008F4DF9" w14:paraId="7342E728" w14:textId="77777777" w:rsidTr="005315C8">
        <w:trPr>
          <w:trHeight w:val="288"/>
        </w:trPr>
        <w:tc>
          <w:tcPr>
            <w:tcW w:w="6237" w:type="dxa"/>
            <w:tcBorders>
              <w:top w:val="nil"/>
              <w:left w:val="nil"/>
              <w:bottom w:val="nil"/>
              <w:right w:val="nil"/>
            </w:tcBorders>
            <w:shd w:val="clear" w:color="000000" w:fill="FFFFFF"/>
            <w:noWrap/>
            <w:vAlign w:val="center"/>
            <w:hideMark/>
          </w:tcPr>
          <w:p w14:paraId="60E42D2A" w14:textId="77777777" w:rsidR="003F135F" w:rsidRPr="008F4DF9" w:rsidRDefault="003F135F" w:rsidP="003F135F">
            <w:pPr>
              <w:ind w:left="0" w:firstLine="0"/>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2CA58B83"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65E5DF9A"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3EC00DEF" w14:textId="77777777" w:rsidR="003F135F" w:rsidRPr="008F4DF9" w:rsidRDefault="003F135F" w:rsidP="003F135F">
            <w:pPr>
              <w:ind w:left="0" w:firstLine="0"/>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68E34E62" w14:textId="77777777" w:rsidR="003F135F" w:rsidRPr="008F4DF9" w:rsidRDefault="003F135F" w:rsidP="003F135F">
            <w:pPr>
              <w:ind w:left="0" w:firstLine="0"/>
              <w:rPr>
                <w:rFonts w:eastAsia="Times New Roman" w:cs="Calibri"/>
              </w:rPr>
            </w:pPr>
            <w:r w:rsidRPr="008F4DF9">
              <w:t> </w:t>
            </w:r>
          </w:p>
        </w:tc>
      </w:tr>
      <w:tr w:rsidR="003F135F" w:rsidRPr="008F4DF9" w14:paraId="7095D1B5" w14:textId="77777777" w:rsidTr="005315C8">
        <w:trPr>
          <w:trHeight w:val="288"/>
        </w:trPr>
        <w:tc>
          <w:tcPr>
            <w:tcW w:w="6237" w:type="dxa"/>
            <w:tcBorders>
              <w:top w:val="nil"/>
              <w:left w:val="nil"/>
              <w:bottom w:val="nil"/>
              <w:right w:val="nil"/>
            </w:tcBorders>
            <w:shd w:val="clear" w:color="000000" w:fill="FFFFFF"/>
            <w:noWrap/>
            <w:vAlign w:val="center"/>
            <w:hideMark/>
          </w:tcPr>
          <w:p w14:paraId="68AAD666" w14:textId="77777777" w:rsidR="003F135F" w:rsidRPr="008F4DF9" w:rsidRDefault="003F135F" w:rsidP="005315C8">
            <w:pPr>
              <w:ind w:left="0" w:firstLine="0"/>
              <w:rPr>
                <w:rFonts w:eastAsia="Times New Roman" w:cs="Calibri"/>
                <w:b/>
                <w:bCs/>
              </w:rPr>
            </w:pPr>
            <w:r w:rsidRPr="008F4DF9">
              <w:rPr>
                <w:b/>
                <w:bCs/>
              </w:rPr>
              <w:t>Flujos de tesorería operativos</w:t>
            </w:r>
          </w:p>
        </w:tc>
        <w:tc>
          <w:tcPr>
            <w:tcW w:w="1219" w:type="dxa"/>
            <w:tcBorders>
              <w:top w:val="nil"/>
              <w:left w:val="nil"/>
              <w:bottom w:val="nil"/>
              <w:right w:val="nil"/>
            </w:tcBorders>
            <w:shd w:val="clear" w:color="000000" w:fill="FFFFFF"/>
            <w:noWrap/>
            <w:vAlign w:val="center"/>
            <w:hideMark/>
          </w:tcPr>
          <w:p w14:paraId="7CF00468"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1EE60591"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797041D9" w14:textId="77777777" w:rsidR="003F135F" w:rsidRPr="008F4DF9" w:rsidRDefault="003F135F" w:rsidP="003F135F">
            <w:pPr>
              <w:ind w:left="0" w:firstLine="0"/>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629B082F" w14:textId="77777777" w:rsidR="003F135F" w:rsidRPr="008F4DF9" w:rsidRDefault="003F135F" w:rsidP="003F135F">
            <w:pPr>
              <w:ind w:left="0" w:firstLine="0"/>
              <w:rPr>
                <w:rFonts w:eastAsia="Times New Roman" w:cs="Calibri"/>
              </w:rPr>
            </w:pPr>
            <w:r w:rsidRPr="008F4DF9">
              <w:t> </w:t>
            </w:r>
          </w:p>
        </w:tc>
      </w:tr>
      <w:tr w:rsidR="003F135F" w:rsidRPr="008F4DF9" w14:paraId="20F5E3B9" w14:textId="77777777" w:rsidTr="005315C8">
        <w:trPr>
          <w:trHeight w:val="288"/>
        </w:trPr>
        <w:tc>
          <w:tcPr>
            <w:tcW w:w="6237" w:type="dxa"/>
            <w:tcBorders>
              <w:top w:val="nil"/>
              <w:left w:val="nil"/>
              <w:bottom w:val="nil"/>
              <w:right w:val="nil"/>
            </w:tcBorders>
            <w:shd w:val="clear" w:color="000000" w:fill="FFFFFF"/>
            <w:noWrap/>
            <w:vAlign w:val="center"/>
            <w:hideMark/>
          </w:tcPr>
          <w:p w14:paraId="3E9AF667"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59EBABC0"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4128D8E4" w14:textId="77777777" w:rsidR="003F135F" w:rsidRPr="008F4DF9" w:rsidRDefault="003F135F" w:rsidP="003F135F">
            <w:pPr>
              <w:ind w:left="0" w:firstLine="0"/>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57156B22" w14:textId="77777777" w:rsidR="003F135F" w:rsidRPr="008F4DF9" w:rsidRDefault="003F135F" w:rsidP="003F135F">
            <w:pPr>
              <w:ind w:left="0" w:firstLine="0"/>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6BBBDC0E" w14:textId="77777777" w:rsidR="003F135F" w:rsidRPr="008F4DF9" w:rsidRDefault="003F135F" w:rsidP="003F135F">
            <w:pPr>
              <w:ind w:left="0" w:firstLine="0"/>
              <w:rPr>
                <w:rFonts w:eastAsia="Times New Roman" w:cs="Calibri"/>
              </w:rPr>
            </w:pPr>
            <w:r w:rsidRPr="008F4DF9">
              <w:t> </w:t>
            </w:r>
          </w:p>
        </w:tc>
      </w:tr>
      <w:tr w:rsidR="003F135F" w:rsidRPr="008F4DF9" w14:paraId="63ADAA2E" w14:textId="77777777" w:rsidTr="005315C8">
        <w:trPr>
          <w:trHeight w:val="288"/>
        </w:trPr>
        <w:tc>
          <w:tcPr>
            <w:tcW w:w="6237" w:type="dxa"/>
            <w:tcBorders>
              <w:top w:val="nil"/>
              <w:left w:val="nil"/>
              <w:bottom w:val="nil"/>
              <w:right w:val="nil"/>
            </w:tcBorders>
            <w:shd w:val="clear" w:color="000000" w:fill="FFFFFF"/>
            <w:noWrap/>
            <w:vAlign w:val="center"/>
            <w:hideMark/>
          </w:tcPr>
          <w:p w14:paraId="142DF392" w14:textId="77777777" w:rsidR="003F135F" w:rsidRPr="008F4DF9" w:rsidRDefault="003F135F" w:rsidP="005315C8">
            <w:pPr>
              <w:ind w:left="0" w:firstLine="0"/>
              <w:rPr>
                <w:rFonts w:eastAsia="Times New Roman" w:cs="Calibri"/>
                <w:b/>
                <w:bCs/>
              </w:rPr>
            </w:pPr>
            <w:r w:rsidRPr="008F4DF9">
              <w:rPr>
                <w:b/>
                <w:bCs/>
              </w:rPr>
              <w:t>Excedente/(Déficit) de las operaciones</w:t>
            </w:r>
          </w:p>
        </w:tc>
        <w:tc>
          <w:tcPr>
            <w:tcW w:w="1219" w:type="dxa"/>
            <w:tcBorders>
              <w:top w:val="nil"/>
              <w:left w:val="nil"/>
              <w:bottom w:val="single" w:sz="4" w:space="0" w:color="auto"/>
              <w:right w:val="nil"/>
            </w:tcBorders>
            <w:shd w:val="clear" w:color="000000" w:fill="FFFFFF"/>
            <w:noWrap/>
            <w:vAlign w:val="center"/>
            <w:hideMark/>
          </w:tcPr>
          <w:p w14:paraId="41E5E6D4" w14:textId="77777777" w:rsidR="003F135F" w:rsidRPr="008F4DF9" w:rsidRDefault="003F135F" w:rsidP="005315C8">
            <w:pPr>
              <w:ind w:left="0" w:firstLine="0"/>
              <w:jc w:val="right"/>
              <w:rPr>
                <w:rFonts w:eastAsia="Times New Roman" w:cs="Calibri"/>
                <w:b/>
                <w:bCs/>
              </w:rPr>
            </w:pPr>
            <w:r w:rsidRPr="008F4DF9">
              <w:rPr>
                <w:b/>
                <w:bCs/>
              </w:rPr>
              <w:t>392</w:t>
            </w:r>
          </w:p>
        </w:tc>
        <w:tc>
          <w:tcPr>
            <w:tcW w:w="266" w:type="dxa"/>
            <w:tcBorders>
              <w:top w:val="nil"/>
              <w:left w:val="nil"/>
              <w:bottom w:val="single" w:sz="4" w:space="0" w:color="auto"/>
              <w:right w:val="nil"/>
            </w:tcBorders>
            <w:shd w:val="clear" w:color="000000" w:fill="FFFFFF"/>
            <w:noWrap/>
            <w:vAlign w:val="center"/>
            <w:hideMark/>
          </w:tcPr>
          <w:p w14:paraId="2BD53519"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nil"/>
              <w:left w:val="nil"/>
              <w:bottom w:val="single" w:sz="4" w:space="0" w:color="auto"/>
              <w:right w:val="nil"/>
            </w:tcBorders>
            <w:shd w:val="clear" w:color="000000" w:fill="D9D9D9"/>
            <w:noWrap/>
            <w:vAlign w:val="center"/>
            <w:hideMark/>
          </w:tcPr>
          <w:p w14:paraId="2D62D102"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nil"/>
              <w:left w:val="nil"/>
              <w:bottom w:val="single" w:sz="4" w:space="0" w:color="auto"/>
              <w:right w:val="nil"/>
            </w:tcBorders>
            <w:shd w:val="clear" w:color="000000" w:fill="FFFFFF"/>
            <w:noWrap/>
            <w:vAlign w:val="center"/>
            <w:hideMark/>
          </w:tcPr>
          <w:p w14:paraId="42F8F3CC" w14:textId="77777777" w:rsidR="003F135F" w:rsidRPr="008F4DF9" w:rsidRDefault="003F135F" w:rsidP="005315C8">
            <w:pPr>
              <w:ind w:left="0" w:firstLine="0"/>
              <w:jc w:val="right"/>
              <w:rPr>
                <w:rFonts w:eastAsia="Times New Roman" w:cs="Calibri"/>
                <w:b/>
                <w:bCs/>
              </w:rPr>
            </w:pPr>
            <w:r w:rsidRPr="008F4DF9">
              <w:rPr>
                <w:b/>
                <w:bCs/>
              </w:rPr>
              <w:t>211</w:t>
            </w:r>
          </w:p>
        </w:tc>
      </w:tr>
      <w:tr w:rsidR="003F135F" w:rsidRPr="008F4DF9" w14:paraId="64F21FFA" w14:textId="77777777" w:rsidTr="005315C8">
        <w:trPr>
          <w:trHeight w:val="288"/>
        </w:trPr>
        <w:tc>
          <w:tcPr>
            <w:tcW w:w="6237" w:type="dxa"/>
            <w:tcBorders>
              <w:top w:val="nil"/>
              <w:left w:val="nil"/>
              <w:bottom w:val="nil"/>
              <w:right w:val="nil"/>
            </w:tcBorders>
            <w:shd w:val="clear" w:color="000000" w:fill="FFFFFF"/>
            <w:noWrap/>
            <w:vAlign w:val="center"/>
            <w:hideMark/>
          </w:tcPr>
          <w:p w14:paraId="18669515"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32720F76"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nil"/>
              <w:left w:val="nil"/>
              <w:bottom w:val="nil"/>
              <w:right w:val="nil"/>
            </w:tcBorders>
            <w:shd w:val="clear" w:color="000000" w:fill="FFFFFF"/>
            <w:noWrap/>
            <w:vAlign w:val="center"/>
            <w:hideMark/>
          </w:tcPr>
          <w:p w14:paraId="5CC7EA9F"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nil"/>
              <w:left w:val="nil"/>
              <w:bottom w:val="nil"/>
              <w:right w:val="nil"/>
            </w:tcBorders>
            <w:shd w:val="clear" w:color="000000" w:fill="D9D9D9"/>
            <w:noWrap/>
            <w:vAlign w:val="center"/>
            <w:hideMark/>
          </w:tcPr>
          <w:p w14:paraId="7C80BDE9"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72027FEA" w14:textId="77777777" w:rsidR="003F135F" w:rsidRPr="008F4DF9" w:rsidRDefault="003F135F" w:rsidP="005315C8">
            <w:pPr>
              <w:ind w:left="0" w:firstLine="0"/>
              <w:jc w:val="right"/>
              <w:rPr>
                <w:rFonts w:eastAsia="Times New Roman" w:cs="Calibri"/>
                <w:b/>
                <w:bCs/>
              </w:rPr>
            </w:pPr>
            <w:r w:rsidRPr="008F4DF9">
              <w:rPr>
                <w:b/>
                <w:bCs/>
              </w:rPr>
              <w:t> </w:t>
            </w:r>
          </w:p>
        </w:tc>
      </w:tr>
      <w:tr w:rsidR="003F135F" w:rsidRPr="008F4DF9" w14:paraId="72779AB8" w14:textId="77777777" w:rsidTr="005315C8">
        <w:trPr>
          <w:trHeight w:val="288"/>
        </w:trPr>
        <w:tc>
          <w:tcPr>
            <w:tcW w:w="6237" w:type="dxa"/>
            <w:tcBorders>
              <w:top w:val="nil"/>
              <w:left w:val="nil"/>
              <w:bottom w:val="nil"/>
              <w:right w:val="nil"/>
            </w:tcBorders>
            <w:shd w:val="clear" w:color="000000" w:fill="FFFFFF"/>
            <w:noWrap/>
            <w:vAlign w:val="center"/>
            <w:hideMark/>
          </w:tcPr>
          <w:p w14:paraId="37C1B048" w14:textId="5A91966F" w:rsidR="003F135F" w:rsidRPr="008F4DF9" w:rsidRDefault="003F135F" w:rsidP="005315C8">
            <w:pPr>
              <w:ind w:left="0" w:firstLine="0"/>
              <w:rPr>
                <w:rFonts w:eastAsia="Times New Roman" w:cs="Calibri"/>
                <w:color w:val="000000"/>
              </w:rPr>
            </w:pPr>
            <w:r w:rsidRPr="008F4DF9">
              <w:rPr>
                <w:color w:val="000000"/>
              </w:rPr>
              <w:t>Amortización del inmovilizado</w:t>
            </w:r>
          </w:p>
        </w:tc>
        <w:tc>
          <w:tcPr>
            <w:tcW w:w="1219" w:type="dxa"/>
            <w:tcBorders>
              <w:top w:val="nil"/>
              <w:left w:val="nil"/>
              <w:bottom w:val="nil"/>
              <w:right w:val="nil"/>
            </w:tcBorders>
            <w:shd w:val="clear" w:color="000000" w:fill="FFFFFF"/>
            <w:noWrap/>
            <w:vAlign w:val="center"/>
            <w:hideMark/>
          </w:tcPr>
          <w:p w14:paraId="1C949AAB" w14:textId="77777777" w:rsidR="003F135F" w:rsidRPr="008F4DF9" w:rsidRDefault="003F135F" w:rsidP="005315C8">
            <w:pPr>
              <w:ind w:left="0" w:firstLine="0"/>
              <w:jc w:val="right"/>
              <w:rPr>
                <w:rFonts w:eastAsia="Times New Roman" w:cs="Calibri"/>
              </w:rPr>
            </w:pPr>
            <w:r w:rsidRPr="008F4DF9">
              <w:t>8</w:t>
            </w:r>
          </w:p>
        </w:tc>
        <w:tc>
          <w:tcPr>
            <w:tcW w:w="266" w:type="dxa"/>
            <w:tcBorders>
              <w:top w:val="nil"/>
              <w:left w:val="nil"/>
              <w:bottom w:val="nil"/>
              <w:right w:val="nil"/>
            </w:tcBorders>
            <w:shd w:val="clear" w:color="000000" w:fill="FFFFFF"/>
            <w:noWrap/>
            <w:vAlign w:val="center"/>
            <w:hideMark/>
          </w:tcPr>
          <w:p w14:paraId="0BFE43CD"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347BD35C"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0D6839A1" w14:textId="77777777" w:rsidR="003F135F" w:rsidRPr="008F4DF9" w:rsidRDefault="003F135F" w:rsidP="005315C8">
            <w:pPr>
              <w:ind w:left="0" w:firstLine="0"/>
              <w:jc w:val="right"/>
              <w:rPr>
                <w:rFonts w:eastAsia="Times New Roman" w:cs="Calibri"/>
              </w:rPr>
            </w:pPr>
            <w:r w:rsidRPr="008F4DF9">
              <w:t>10</w:t>
            </w:r>
          </w:p>
        </w:tc>
      </w:tr>
      <w:tr w:rsidR="003F135F" w:rsidRPr="008F4DF9" w14:paraId="7143E45C" w14:textId="77777777" w:rsidTr="005315C8">
        <w:trPr>
          <w:trHeight w:val="288"/>
        </w:trPr>
        <w:tc>
          <w:tcPr>
            <w:tcW w:w="6237" w:type="dxa"/>
            <w:tcBorders>
              <w:top w:val="nil"/>
              <w:left w:val="nil"/>
              <w:bottom w:val="nil"/>
              <w:right w:val="nil"/>
            </w:tcBorders>
            <w:shd w:val="clear" w:color="000000" w:fill="FFFFFF"/>
            <w:noWrap/>
            <w:vAlign w:val="center"/>
            <w:hideMark/>
          </w:tcPr>
          <w:p w14:paraId="71777EC0" w14:textId="1E450541" w:rsidR="003F135F" w:rsidRPr="008F4DF9" w:rsidRDefault="003F135F" w:rsidP="005315C8">
            <w:pPr>
              <w:ind w:left="0" w:firstLine="0"/>
              <w:rPr>
                <w:rFonts w:eastAsia="Times New Roman" w:cs="Calibri"/>
              </w:rPr>
            </w:pPr>
            <w:r w:rsidRPr="008F4DF9">
              <w:t>Incremento / (disminución) de las provisiones en caso de mora de las contribuciones de los miembros</w:t>
            </w:r>
          </w:p>
        </w:tc>
        <w:tc>
          <w:tcPr>
            <w:tcW w:w="1219" w:type="dxa"/>
            <w:tcBorders>
              <w:top w:val="nil"/>
              <w:left w:val="nil"/>
              <w:bottom w:val="nil"/>
              <w:right w:val="nil"/>
            </w:tcBorders>
            <w:shd w:val="clear" w:color="000000" w:fill="FFFFFF"/>
            <w:noWrap/>
            <w:vAlign w:val="center"/>
            <w:hideMark/>
          </w:tcPr>
          <w:p w14:paraId="104679F9" w14:textId="77777777" w:rsidR="003F135F" w:rsidRPr="008F4DF9" w:rsidRDefault="003F135F" w:rsidP="005315C8">
            <w:pPr>
              <w:ind w:left="0" w:firstLine="0"/>
              <w:jc w:val="right"/>
              <w:rPr>
                <w:rFonts w:eastAsia="Times New Roman" w:cs="Calibri"/>
              </w:rPr>
            </w:pPr>
            <w:r w:rsidRPr="008F4DF9">
              <w:t>233</w:t>
            </w:r>
          </w:p>
        </w:tc>
        <w:tc>
          <w:tcPr>
            <w:tcW w:w="266" w:type="dxa"/>
            <w:tcBorders>
              <w:top w:val="nil"/>
              <w:left w:val="nil"/>
              <w:bottom w:val="nil"/>
              <w:right w:val="nil"/>
            </w:tcBorders>
            <w:shd w:val="clear" w:color="000000" w:fill="FFFFFF"/>
            <w:noWrap/>
            <w:vAlign w:val="center"/>
            <w:hideMark/>
          </w:tcPr>
          <w:p w14:paraId="7AC2006C"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7F972D8F"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65BBD0BE" w14:textId="77777777" w:rsidR="003F135F" w:rsidRPr="008F4DF9" w:rsidRDefault="003F135F" w:rsidP="005315C8">
            <w:pPr>
              <w:ind w:left="0" w:firstLine="0"/>
              <w:jc w:val="right"/>
              <w:rPr>
                <w:rFonts w:eastAsia="Times New Roman" w:cs="Calibri"/>
              </w:rPr>
            </w:pPr>
            <w:r w:rsidRPr="008F4DF9">
              <w:t>(57)</w:t>
            </w:r>
          </w:p>
        </w:tc>
      </w:tr>
      <w:tr w:rsidR="003F135F" w:rsidRPr="008F4DF9" w14:paraId="077971A9" w14:textId="77777777" w:rsidTr="005315C8">
        <w:trPr>
          <w:trHeight w:val="312"/>
        </w:trPr>
        <w:tc>
          <w:tcPr>
            <w:tcW w:w="6237" w:type="dxa"/>
            <w:tcBorders>
              <w:top w:val="nil"/>
              <w:left w:val="nil"/>
              <w:bottom w:val="nil"/>
              <w:right w:val="nil"/>
            </w:tcBorders>
            <w:shd w:val="clear" w:color="000000" w:fill="FFFFFF"/>
            <w:noWrap/>
            <w:vAlign w:val="center"/>
            <w:hideMark/>
          </w:tcPr>
          <w:p w14:paraId="549C875F" w14:textId="58E75BCA" w:rsidR="003F135F" w:rsidRPr="008F4DF9" w:rsidRDefault="003F135F" w:rsidP="005315C8">
            <w:pPr>
              <w:ind w:left="0" w:firstLine="0"/>
              <w:rPr>
                <w:rFonts w:eastAsia="Times New Roman" w:cs="Calibri"/>
              </w:rPr>
            </w:pPr>
            <w:r w:rsidRPr="008F4DF9">
              <w:t>Incremento / (disminución) del pasivo correspondiente a vacaciones y repatriación del personal</w:t>
            </w:r>
          </w:p>
        </w:tc>
        <w:tc>
          <w:tcPr>
            <w:tcW w:w="1219" w:type="dxa"/>
            <w:tcBorders>
              <w:top w:val="nil"/>
              <w:left w:val="nil"/>
              <w:bottom w:val="nil"/>
              <w:right w:val="nil"/>
            </w:tcBorders>
            <w:shd w:val="clear" w:color="000000" w:fill="FFFFFF"/>
            <w:noWrap/>
            <w:vAlign w:val="center"/>
            <w:hideMark/>
          </w:tcPr>
          <w:p w14:paraId="14021B5C" w14:textId="77777777" w:rsidR="003F135F" w:rsidRPr="008F4DF9" w:rsidRDefault="003F135F" w:rsidP="005315C8">
            <w:pPr>
              <w:ind w:left="0" w:firstLine="0"/>
              <w:jc w:val="right"/>
              <w:rPr>
                <w:rFonts w:eastAsia="Times New Roman" w:cs="Calibri"/>
              </w:rPr>
            </w:pPr>
            <w:r w:rsidRPr="008F4DF9">
              <w:t>(17)</w:t>
            </w:r>
          </w:p>
        </w:tc>
        <w:tc>
          <w:tcPr>
            <w:tcW w:w="266" w:type="dxa"/>
            <w:tcBorders>
              <w:top w:val="nil"/>
              <w:left w:val="nil"/>
              <w:bottom w:val="nil"/>
              <w:right w:val="nil"/>
            </w:tcBorders>
            <w:shd w:val="clear" w:color="000000" w:fill="FFFFFF"/>
            <w:noWrap/>
            <w:vAlign w:val="center"/>
            <w:hideMark/>
          </w:tcPr>
          <w:p w14:paraId="2FE055B7"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4C451749"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119B2224" w14:textId="77777777" w:rsidR="003F135F" w:rsidRPr="008F4DF9" w:rsidRDefault="003F135F" w:rsidP="005315C8">
            <w:pPr>
              <w:ind w:left="0" w:firstLine="0"/>
              <w:jc w:val="right"/>
              <w:rPr>
                <w:rFonts w:eastAsia="Times New Roman" w:cs="Calibri"/>
              </w:rPr>
            </w:pPr>
            <w:r w:rsidRPr="008F4DF9">
              <w:t>31</w:t>
            </w:r>
          </w:p>
        </w:tc>
      </w:tr>
      <w:tr w:rsidR="003F135F" w:rsidRPr="008F4DF9" w14:paraId="7A8F9642" w14:textId="77777777" w:rsidTr="005315C8">
        <w:trPr>
          <w:trHeight w:val="312"/>
        </w:trPr>
        <w:tc>
          <w:tcPr>
            <w:tcW w:w="6237" w:type="dxa"/>
            <w:tcBorders>
              <w:top w:val="nil"/>
              <w:left w:val="nil"/>
              <w:bottom w:val="nil"/>
              <w:right w:val="nil"/>
            </w:tcBorders>
            <w:shd w:val="clear" w:color="000000" w:fill="FFFFFF"/>
            <w:noWrap/>
            <w:vAlign w:val="center"/>
            <w:hideMark/>
          </w:tcPr>
          <w:p w14:paraId="590A04CF" w14:textId="3EB931AB" w:rsidR="003F135F" w:rsidRPr="008F4DF9" w:rsidRDefault="003F135F" w:rsidP="005315C8">
            <w:pPr>
              <w:ind w:left="0" w:firstLine="0"/>
              <w:rPr>
                <w:rFonts w:eastAsia="Times New Roman" w:cs="Calibri"/>
              </w:rPr>
            </w:pPr>
            <w:r w:rsidRPr="008F4DF9">
              <w:t>Incremento / (disminución) de la provisión para la separación del personal</w:t>
            </w:r>
          </w:p>
        </w:tc>
        <w:tc>
          <w:tcPr>
            <w:tcW w:w="1219" w:type="dxa"/>
            <w:tcBorders>
              <w:top w:val="nil"/>
              <w:left w:val="nil"/>
              <w:bottom w:val="nil"/>
              <w:right w:val="nil"/>
            </w:tcBorders>
            <w:shd w:val="clear" w:color="000000" w:fill="FFFFFF"/>
            <w:noWrap/>
            <w:vAlign w:val="center"/>
            <w:hideMark/>
          </w:tcPr>
          <w:p w14:paraId="70675DAD" w14:textId="77777777" w:rsidR="003F135F" w:rsidRPr="008F4DF9" w:rsidRDefault="003F135F" w:rsidP="005315C8">
            <w:pPr>
              <w:ind w:left="0" w:firstLine="0"/>
              <w:jc w:val="right"/>
              <w:rPr>
                <w:rFonts w:eastAsia="Times New Roman" w:cs="Calibri"/>
              </w:rPr>
            </w:pPr>
            <w:r w:rsidRPr="008F4DF9">
              <w:t>7</w:t>
            </w:r>
          </w:p>
        </w:tc>
        <w:tc>
          <w:tcPr>
            <w:tcW w:w="266" w:type="dxa"/>
            <w:tcBorders>
              <w:top w:val="nil"/>
              <w:left w:val="nil"/>
              <w:bottom w:val="nil"/>
              <w:right w:val="nil"/>
            </w:tcBorders>
            <w:shd w:val="clear" w:color="000000" w:fill="FFFFFF"/>
            <w:noWrap/>
            <w:vAlign w:val="center"/>
            <w:hideMark/>
          </w:tcPr>
          <w:p w14:paraId="4881A5F1"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30C7DE33"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7EA42796" w14:textId="77777777" w:rsidR="003F135F" w:rsidRPr="008F4DF9" w:rsidRDefault="003F135F" w:rsidP="005315C8">
            <w:pPr>
              <w:ind w:left="0" w:firstLine="0"/>
              <w:jc w:val="right"/>
              <w:rPr>
                <w:rFonts w:eastAsia="Times New Roman" w:cs="Calibri"/>
              </w:rPr>
            </w:pPr>
            <w:r w:rsidRPr="008F4DF9">
              <w:t>24</w:t>
            </w:r>
          </w:p>
        </w:tc>
      </w:tr>
      <w:tr w:rsidR="003F135F" w:rsidRPr="008F4DF9" w14:paraId="7DDC0B2D" w14:textId="77777777" w:rsidTr="005315C8">
        <w:trPr>
          <w:trHeight w:val="312"/>
        </w:trPr>
        <w:tc>
          <w:tcPr>
            <w:tcW w:w="6237" w:type="dxa"/>
            <w:tcBorders>
              <w:top w:val="nil"/>
              <w:left w:val="nil"/>
              <w:bottom w:val="nil"/>
              <w:right w:val="nil"/>
            </w:tcBorders>
            <w:shd w:val="clear" w:color="000000" w:fill="FFFFFF"/>
            <w:noWrap/>
            <w:vAlign w:val="center"/>
            <w:hideMark/>
          </w:tcPr>
          <w:p w14:paraId="71844A0D" w14:textId="61B34C6E" w:rsidR="003F135F" w:rsidRPr="008F4DF9" w:rsidRDefault="003F135F" w:rsidP="005315C8">
            <w:pPr>
              <w:ind w:left="0" w:firstLine="0"/>
              <w:rPr>
                <w:rFonts w:eastAsia="Times New Roman" w:cs="Calibri"/>
              </w:rPr>
            </w:pPr>
            <w:r w:rsidRPr="008F4DF9">
              <w:t>(Incremento) / disminución de las contribuciones de los miembros por cobrar (importe bruto)</w:t>
            </w:r>
          </w:p>
        </w:tc>
        <w:tc>
          <w:tcPr>
            <w:tcW w:w="1219" w:type="dxa"/>
            <w:tcBorders>
              <w:top w:val="nil"/>
              <w:left w:val="nil"/>
              <w:bottom w:val="nil"/>
              <w:right w:val="nil"/>
            </w:tcBorders>
            <w:shd w:val="clear" w:color="000000" w:fill="FFFFFF"/>
            <w:noWrap/>
            <w:vAlign w:val="center"/>
            <w:hideMark/>
          </w:tcPr>
          <w:p w14:paraId="7B19BA19" w14:textId="225C64E4" w:rsidR="003F135F" w:rsidRPr="008F4DF9" w:rsidRDefault="003F135F" w:rsidP="005315C8">
            <w:pPr>
              <w:ind w:left="0" w:firstLine="0"/>
              <w:jc w:val="right"/>
              <w:rPr>
                <w:rFonts w:eastAsia="Times New Roman" w:cs="Calibri"/>
              </w:rPr>
            </w:pPr>
            <w:r w:rsidRPr="008F4DF9">
              <w:t>(1</w:t>
            </w:r>
            <w:r w:rsidR="00652E0C" w:rsidRPr="008F4DF9">
              <w:t> </w:t>
            </w:r>
            <w:r w:rsidRPr="008F4DF9">
              <w:t>764)</w:t>
            </w:r>
          </w:p>
        </w:tc>
        <w:tc>
          <w:tcPr>
            <w:tcW w:w="266" w:type="dxa"/>
            <w:tcBorders>
              <w:top w:val="nil"/>
              <w:left w:val="nil"/>
              <w:bottom w:val="nil"/>
              <w:right w:val="nil"/>
            </w:tcBorders>
            <w:shd w:val="clear" w:color="000000" w:fill="FFFFFF"/>
            <w:noWrap/>
            <w:vAlign w:val="center"/>
            <w:hideMark/>
          </w:tcPr>
          <w:p w14:paraId="25054825"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56AD7F0B"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58EFAD66" w14:textId="77777777" w:rsidR="003F135F" w:rsidRPr="008F4DF9" w:rsidRDefault="003F135F" w:rsidP="005315C8">
            <w:pPr>
              <w:ind w:left="0" w:firstLine="0"/>
              <w:jc w:val="right"/>
              <w:rPr>
                <w:rFonts w:eastAsia="Times New Roman" w:cs="Calibri"/>
              </w:rPr>
            </w:pPr>
            <w:r w:rsidRPr="008F4DF9">
              <w:t>390</w:t>
            </w:r>
          </w:p>
        </w:tc>
      </w:tr>
      <w:tr w:rsidR="003F135F" w:rsidRPr="008F4DF9" w14:paraId="3208D023" w14:textId="77777777" w:rsidTr="005315C8">
        <w:trPr>
          <w:trHeight w:val="288"/>
        </w:trPr>
        <w:tc>
          <w:tcPr>
            <w:tcW w:w="6237" w:type="dxa"/>
            <w:tcBorders>
              <w:top w:val="nil"/>
              <w:left w:val="nil"/>
              <w:bottom w:val="nil"/>
              <w:right w:val="nil"/>
            </w:tcBorders>
            <w:shd w:val="clear" w:color="000000" w:fill="FFFFFF"/>
            <w:noWrap/>
            <w:vAlign w:val="center"/>
            <w:hideMark/>
          </w:tcPr>
          <w:p w14:paraId="7DA5B77A" w14:textId="3687F399" w:rsidR="003F135F" w:rsidRPr="008F4DF9" w:rsidRDefault="003F135F" w:rsidP="005315C8">
            <w:pPr>
              <w:ind w:left="0" w:firstLine="0"/>
              <w:rPr>
                <w:rFonts w:eastAsia="Times New Roman" w:cs="Calibri"/>
              </w:rPr>
            </w:pPr>
            <w:r w:rsidRPr="008F4DF9">
              <w:t>Incremento / (disminución) de las asociaciones de colaboración acreedoras</w:t>
            </w:r>
          </w:p>
        </w:tc>
        <w:tc>
          <w:tcPr>
            <w:tcW w:w="1219" w:type="dxa"/>
            <w:tcBorders>
              <w:top w:val="nil"/>
              <w:left w:val="nil"/>
              <w:bottom w:val="nil"/>
              <w:right w:val="nil"/>
            </w:tcBorders>
            <w:shd w:val="clear" w:color="000000" w:fill="FFFFFF"/>
            <w:noWrap/>
            <w:vAlign w:val="center"/>
            <w:hideMark/>
          </w:tcPr>
          <w:p w14:paraId="597CC685" w14:textId="77777777" w:rsidR="003F135F" w:rsidRPr="008F4DF9" w:rsidRDefault="003F135F" w:rsidP="005315C8">
            <w:pPr>
              <w:ind w:left="0" w:firstLine="0"/>
              <w:jc w:val="right"/>
              <w:rPr>
                <w:rFonts w:eastAsia="Times New Roman" w:cs="Calibri"/>
              </w:rPr>
            </w:pPr>
            <w:r w:rsidRPr="008F4DF9">
              <w:t>29</w:t>
            </w:r>
          </w:p>
        </w:tc>
        <w:tc>
          <w:tcPr>
            <w:tcW w:w="266" w:type="dxa"/>
            <w:tcBorders>
              <w:top w:val="nil"/>
              <w:left w:val="nil"/>
              <w:bottom w:val="nil"/>
              <w:right w:val="nil"/>
            </w:tcBorders>
            <w:shd w:val="clear" w:color="000000" w:fill="FFFFFF"/>
            <w:noWrap/>
            <w:vAlign w:val="center"/>
            <w:hideMark/>
          </w:tcPr>
          <w:p w14:paraId="22D8B841"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6F216A94"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7002AF37" w14:textId="77777777" w:rsidR="003F135F" w:rsidRPr="008F4DF9" w:rsidRDefault="003F135F" w:rsidP="005315C8">
            <w:pPr>
              <w:ind w:left="0" w:firstLine="0"/>
              <w:jc w:val="right"/>
              <w:rPr>
                <w:rFonts w:eastAsia="Times New Roman" w:cs="Calibri"/>
              </w:rPr>
            </w:pPr>
            <w:r w:rsidRPr="008F4DF9">
              <w:t>(137)</w:t>
            </w:r>
          </w:p>
        </w:tc>
      </w:tr>
      <w:tr w:rsidR="003F135F" w:rsidRPr="008F4DF9" w14:paraId="67546694" w14:textId="77777777" w:rsidTr="005315C8">
        <w:trPr>
          <w:trHeight w:val="288"/>
        </w:trPr>
        <w:tc>
          <w:tcPr>
            <w:tcW w:w="6237" w:type="dxa"/>
            <w:tcBorders>
              <w:top w:val="nil"/>
              <w:left w:val="nil"/>
              <w:bottom w:val="nil"/>
              <w:right w:val="nil"/>
            </w:tcBorders>
            <w:shd w:val="clear" w:color="000000" w:fill="FFFFFF"/>
            <w:noWrap/>
            <w:vAlign w:val="center"/>
            <w:hideMark/>
          </w:tcPr>
          <w:p w14:paraId="17258BA2" w14:textId="1899140B" w:rsidR="003F135F" w:rsidRPr="008F4DF9" w:rsidRDefault="003F135F" w:rsidP="005315C8">
            <w:pPr>
              <w:ind w:left="0" w:firstLine="0"/>
              <w:rPr>
                <w:rFonts w:eastAsia="Times New Roman" w:cs="Calibri"/>
              </w:rPr>
            </w:pPr>
            <w:r w:rsidRPr="008F4DF9">
              <w:t>(Incremento) / disminución de otras cuentas por cobrar</w:t>
            </w:r>
          </w:p>
        </w:tc>
        <w:tc>
          <w:tcPr>
            <w:tcW w:w="1219" w:type="dxa"/>
            <w:tcBorders>
              <w:top w:val="nil"/>
              <w:left w:val="nil"/>
              <w:bottom w:val="nil"/>
              <w:right w:val="nil"/>
            </w:tcBorders>
            <w:shd w:val="clear" w:color="000000" w:fill="FFFFFF"/>
            <w:noWrap/>
            <w:vAlign w:val="center"/>
            <w:hideMark/>
          </w:tcPr>
          <w:p w14:paraId="166A932E" w14:textId="77777777" w:rsidR="003F135F" w:rsidRPr="008F4DF9" w:rsidRDefault="003F135F" w:rsidP="005315C8">
            <w:pPr>
              <w:ind w:left="0" w:firstLine="0"/>
              <w:jc w:val="right"/>
              <w:rPr>
                <w:rFonts w:eastAsia="Times New Roman" w:cs="Calibri"/>
              </w:rPr>
            </w:pPr>
            <w:r w:rsidRPr="008F4DF9">
              <w:t>(88)</w:t>
            </w:r>
          </w:p>
        </w:tc>
        <w:tc>
          <w:tcPr>
            <w:tcW w:w="266" w:type="dxa"/>
            <w:tcBorders>
              <w:top w:val="nil"/>
              <w:left w:val="nil"/>
              <w:bottom w:val="nil"/>
              <w:right w:val="nil"/>
            </w:tcBorders>
            <w:shd w:val="clear" w:color="000000" w:fill="FFFFFF"/>
            <w:noWrap/>
            <w:vAlign w:val="center"/>
            <w:hideMark/>
          </w:tcPr>
          <w:p w14:paraId="119D1093"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5191881B"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571F5032" w14:textId="77777777" w:rsidR="003F135F" w:rsidRPr="008F4DF9" w:rsidRDefault="003F135F" w:rsidP="005315C8">
            <w:pPr>
              <w:ind w:left="0" w:firstLine="0"/>
              <w:jc w:val="right"/>
              <w:rPr>
                <w:rFonts w:eastAsia="Times New Roman" w:cs="Calibri"/>
              </w:rPr>
            </w:pPr>
            <w:r w:rsidRPr="008F4DF9">
              <w:t>20</w:t>
            </w:r>
          </w:p>
        </w:tc>
      </w:tr>
      <w:tr w:rsidR="003F135F" w:rsidRPr="008F4DF9" w14:paraId="098CBD6A" w14:textId="77777777" w:rsidTr="005315C8">
        <w:trPr>
          <w:trHeight w:val="288"/>
        </w:trPr>
        <w:tc>
          <w:tcPr>
            <w:tcW w:w="6237" w:type="dxa"/>
            <w:tcBorders>
              <w:top w:val="nil"/>
              <w:left w:val="nil"/>
              <w:bottom w:val="nil"/>
              <w:right w:val="nil"/>
            </w:tcBorders>
            <w:shd w:val="clear" w:color="000000" w:fill="FFFFFF"/>
            <w:noWrap/>
            <w:vAlign w:val="center"/>
            <w:hideMark/>
          </w:tcPr>
          <w:p w14:paraId="2BF0227E" w14:textId="43A2AD35" w:rsidR="003F135F" w:rsidRPr="008F4DF9" w:rsidRDefault="003F135F" w:rsidP="005315C8">
            <w:pPr>
              <w:ind w:left="0" w:firstLine="0"/>
              <w:rPr>
                <w:rFonts w:eastAsia="Times New Roman" w:cs="Calibri"/>
              </w:rPr>
            </w:pPr>
            <w:r w:rsidRPr="008F4DF9">
              <w:t>Incremento / (disminución) de las contribuciones de los miembros pagadas con antelación</w:t>
            </w:r>
          </w:p>
        </w:tc>
        <w:tc>
          <w:tcPr>
            <w:tcW w:w="1219" w:type="dxa"/>
            <w:tcBorders>
              <w:top w:val="nil"/>
              <w:left w:val="nil"/>
              <w:bottom w:val="nil"/>
              <w:right w:val="nil"/>
            </w:tcBorders>
            <w:shd w:val="clear" w:color="000000" w:fill="FFFFFF"/>
            <w:noWrap/>
            <w:vAlign w:val="center"/>
            <w:hideMark/>
          </w:tcPr>
          <w:p w14:paraId="366816BD" w14:textId="77777777" w:rsidR="003F135F" w:rsidRPr="008F4DF9" w:rsidRDefault="003F135F" w:rsidP="005315C8">
            <w:pPr>
              <w:ind w:left="0" w:firstLine="0"/>
              <w:jc w:val="right"/>
              <w:rPr>
                <w:rFonts w:eastAsia="Times New Roman" w:cs="Calibri"/>
              </w:rPr>
            </w:pPr>
            <w:r w:rsidRPr="008F4DF9">
              <w:t>10</w:t>
            </w:r>
          </w:p>
        </w:tc>
        <w:tc>
          <w:tcPr>
            <w:tcW w:w="266" w:type="dxa"/>
            <w:tcBorders>
              <w:top w:val="nil"/>
              <w:left w:val="nil"/>
              <w:bottom w:val="nil"/>
              <w:right w:val="nil"/>
            </w:tcBorders>
            <w:shd w:val="clear" w:color="000000" w:fill="FFFFFF"/>
            <w:noWrap/>
            <w:vAlign w:val="center"/>
            <w:hideMark/>
          </w:tcPr>
          <w:p w14:paraId="523D17C4"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0CC5A282"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14F802B6" w14:textId="77777777" w:rsidR="003F135F" w:rsidRPr="008F4DF9" w:rsidRDefault="003F135F" w:rsidP="005315C8">
            <w:pPr>
              <w:ind w:left="0" w:firstLine="0"/>
              <w:jc w:val="right"/>
              <w:rPr>
                <w:rFonts w:eastAsia="Times New Roman" w:cs="Calibri"/>
              </w:rPr>
            </w:pPr>
            <w:r w:rsidRPr="008F4DF9">
              <w:t>280</w:t>
            </w:r>
          </w:p>
        </w:tc>
      </w:tr>
      <w:tr w:rsidR="003F135F" w:rsidRPr="008F4DF9" w14:paraId="56126666" w14:textId="77777777" w:rsidTr="005315C8">
        <w:trPr>
          <w:trHeight w:val="288"/>
        </w:trPr>
        <w:tc>
          <w:tcPr>
            <w:tcW w:w="6237" w:type="dxa"/>
            <w:tcBorders>
              <w:top w:val="nil"/>
              <w:left w:val="nil"/>
              <w:bottom w:val="nil"/>
              <w:right w:val="nil"/>
            </w:tcBorders>
            <w:shd w:val="clear" w:color="000000" w:fill="FFFFFF"/>
            <w:noWrap/>
            <w:vAlign w:val="center"/>
            <w:hideMark/>
          </w:tcPr>
          <w:p w14:paraId="774B2EF2" w14:textId="52DBA178" w:rsidR="003F135F" w:rsidRPr="008F4DF9" w:rsidRDefault="003F135F" w:rsidP="005315C8">
            <w:pPr>
              <w:ind w:left="0" w:firstLine="0"/>
              <w:rPr>
                <w:rFonts w:eastAsia="Times New Roman" w:cs="Calibri"/>
              </w:rPr>
            </w:pPr>
            <w:r w:rsidRPr="008F4DF9">
              <w:t>Incremento / (disminución) de las cuentas por pagar y pasivos acumulados</w:t>
            </w:r>
          </w:p>
        </w:tc>
        <w:tc>
          <w:tcPr>
            <w:tcW w:w="1219" w:type="dxa"/>
            <w:tcBorders>
              <w:top w:val="nil"/>
              <w:left w:val="nil"/>
              <w:bottom w:val="nil"/>
              <w:right w:val="nil"/>
            </w:tcBorders>
            <w:shd w:val="clear" w:color="000000" w:fill="FFFFFF"/>
            <w:noWrap/>
            <w:vAlign w:val="center"/>
            <w:hideMark/>
          </w:tcPr>
          <w:p w14:paraId="1A54F6E6" w14:textId="77777777" w:rsidR="003F135F" w:rsidRPr="008F4DF9" w:rsidRDefault="003F135F" w:rsidP="005315C8">
            <w:pPr>
              <w:ind w:left="0" w:firstLine="0"/>
              <w:jc w:val="right"/>
              <w:rPr>
                <w:rFonts w:eastAsia="Times New Roman" w:cs="Calibri"/>
              </w:rPr>
            </w:pPr>
            <w:r w:rsidRPr="008F4DF9">
              <w:t>(129)</w:t>
            </w:r>
          </w:p>
        </w:tc>
        <w:tc>
          <w:tcPr>
            <w:tcW w:w="266" w:type="dxa"/>
            <w:tcBorders>
              <w:top w:val="nil"/>
              <w:left w:val="nil"/>
              <w:bottom w:val="nil"/>
              <w:right w:val="nil"/>
            </w:tcBorders>
            <w:shd w:val="clear" w:color="000000" w:fill="FFFFFF"/>
            <w:noWrap/>
            <w:vAlign w:val="center"/>
            <w:hideMark/>
          </w:tcPr>
          <w:p w14:paraId="48908822"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6BC34B21"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3E261578" w14:textId="77777777" w:rsidR="003F135F" w:rsidRPr="008F4DF9" w:rsidRDefault="003F135F" w:rsidP="005315C8">
            <w:pPr>
              <w:ind w:left="0" w:firstLine="0"/>
              <w:jc w:val="right"/>
              <w:rPr>
                <w:rFonts w:eastAsia="Times New Roman" w:cs="Calibri"/>
              </w:rPr>
            </w:pPr>
            <w:r w:rsidRPr="008F4DF9">
              <w:t>(46)</w:t>
            </w:r>
          </w:p>
        </w:tc>
      </w:tr>
      <w:tr w:rsidR="003F135F" w:rsidRPr="008F4DF9" w14:paraId="2C2D337F" w14:textId="77777777" w:rsidTr="005315C8">
        <w:trPr>
          <w:trHeight w:val="288"/>
        </w:trPr>
        <w:tc>
          <w:tcPr>
            <w:tcW w:w="6237" w:type="dxa"/>
            <w:tcBorders>
              <w:top w:val="nil"/>
              <w:left w:val="nil"/>
              <w:bottom w:val="nil"/>
              <w:right w:val="nil"/>
            </w:tcBorders>
            <w:shd w:val="clear" w:color="000000" w:fill="FFFFFF"/>
            <w:noWrap/>
            <w:vAlign w:val="center"/>
            <w:hideMark/>
          </w:tcPr>
          <w:p w14:paraId="1AEF2DAD" w14:textId="4ECE62EB" w:rsidR="003F135F" w:rsidRPr="008F4DF9" w:rsidRDefault="003F135F" w:rsidP="005315C8">
            <w:pPr>
              <w:ind w:left="0" w:firstLine="0"/>
              <w:rPr>
                <w:rFonts w:eastAsia="Times New Roman" w:cs="Calibri"/>
              </w:rPr>
            </w:pPr>
            <w:r w:rsidRPr="008F4DF9">
              <w:t>Incremento / (disminución) de las cargas sociales por pagar</w:t>
            </w:r>
          </w:p>
        </w:tc>
        <w:tc>
          <w:tcPr>
            <w:tcW w:w="1219" w:type="dxa"/>
            <w:tcBorders>
              <w:top w:val="nil"/>
              <w:left w:val="nil"/>
              <w:bottom w:val="nil"/>
              <w:right w:val="nil"/>
            </w:tcBorders>
            <w:shd w:val="clear" w:color="000000" w:fill="FFFFFF"/>
            <w:noWrap/>
            <w:vAlign w:val="center"/>
            <w:hideMark/>
          </w:tcPr>
          <w:p w14:paraId="64B7F86C" w14:textId="77777777" w:rsidR="003F135F" w:rsidRPr="008F4DF9" w:rsidRDefault="003F135F" w:rsidP="005315C8">
            <w:pPr>
              <w:ind w:left="0" w:firstLine="0"/>
              <w:jc w:val="right"/>
              <w:rPr>
                <w:rFonts w:eastAsia="Times New Roman" w:cs="Calibri"/>
              </w:rPr>
            </w:pPr>
            <w:r w:rsidRPr="008F4DF9">
              <w:t>(44)</w:t>
            </w:r>
          </w:p>
        </w:tc>
        <w:tc>
          <w:tcPr>
            <w:tcW w:w="266" w:type="dxa"/>
            <w:tcBorders>
              <w:top w:val="nil"/>
              <w:left w:val="nil"/>
              <w:bottom w:val="nil"/>
              <w:right w:val="nil"/>
            </w:tcBorders>
            <w:shd w:val="clear" w:color="000000" w:fill="FFFFFF"/>
            <w:noWrap/>
            <w:vAlign w:val="center"/>
            <w:hideMark/>
          </w:tcPr>
          <w:p w14:paraId="00C23861"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35F99F5B"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44632FCA" w14:textId="77777777" w:rsidR="003F135F" w:rsidRPr="008F4DF9" w:rsidRDefault="003F135F" w:rsidP="005315C8">
            <w:pPr>
              <w:ind w:left="0" w:firstLine="0"/>
              <w:jc w:val="right"/>
              <w:rPr>
                <w:rFonts w:eastAsia="Times New Roman" w:cs="Calibri"/>
              </w:rPr>
            </w:pPr>
            <w:r w:rsidRPr="008F4DF9">
              <w:t>10</w:t>
            </w:r>
          </w:p>
        </w:tc>
      </w:tr>
      <w:tr w:rsidR="003F135F" w:rsidRPr="008F4DF9" w14:paraId="65090270" w14:textId="77777777" w:rsidTr="005315C8">
        <w:trPr>
          <w:trHeight w:val="288"/>
        </w:trPr>
        <w:tc>
          <w:tcPr>
            <w:tcW w:w="6237" w:type="dxa"/>
            <w:tcBorders>
              <w:top w:val="nil"/>
              <w:left w:val="nil"/>
              <w:bottom w:val="nil"/>
              <w:right w:val="nil"/>
            </w:tcBorders>
            <w:shd w:val="clear" w:color="000000" w:fill="FFFFFF"/>
            <w:noWrap/>
            <w:vAlign w:val="center"/>
            <w:hideMark/>
          </w:tcPr>
          <w:p w14:paraId="5D1D642E"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4B9918C5"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4B581229"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0CBD8B82"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5E9DC12F" w14:textId="77777777" w:rsidR="003F135F" w:rsidRPr="008F4DF9" w:rsidRDefault="003F135F" w:rsidP="005315C8">
            <w:pPr>
              <w:ind w:left="0" w:firstLine="0"/>
              <w:jc w:val="right"/>
              <w:rPr>
                <w:rFonts w:eastAsia="Times New Roman" w:cs="Calibri"/>
              </w:rPr>
            </w:pPr>
            <w:r w:rsidRPr="008F4DF9">
              <w:t> </w:t>
            </w:r>
          </w:p>
        </w:tc>
      </w:tr>
      <w:tr w:rsidR="003F135F" w:rsidRPr="008F4DF9" w14:paraId="2F6B58EC" w14:textId="77777777" w:rsidTr="005315C8">
        <w:trPr>
          <w:trHeight w:val="492"/>
        </w:trPr>
        <w:tc>
          <w:tcPr>
            <w:tcW w:w="6237" w:type="dxa"/>
            <w:tcBorders>
              <w:top w:val="nil"/>
              <w:left w:val="nil"/>
              <w:bottom w:val="nil"/>
              <w:right w:val="nil"/>
            </w:tcBorders>
            <w:shd w:val="clear" w:color="000000" w:fill="FFFFFF"/>
            <w:noWrap/>
            <w:vAlign w:val="center"/>
            <w:hideMark/>
          </w:tcPr>
          <w:p w14:paraId="25AF5EC7" w14:textId="03286B6F" w:rsidR="003F135F" w:rsidRPr="008F4DF9" w:rsidRDefault="009154DA" w:rsidP="005315C8">
            <w:pPr>
              <w:ind w:left="0" w:firstLine="0"/>
              <w:rPr>
                <w:rFonts w:eastAsia="Times New Roman" w:cs="Calibri"/>
                <w:b/>
                <w:bCs/>
              </w:rPr>
            </w:pPr>
            <w:r>
              <w:rPr>
                <w:b/>
                <w:bCs/>
              </w:rPr>
              <w:t>Total,</w:t>
            </w:r>
            <w:r w:rsidR="003F135F" w:rsidRPr="008F4DF9">
              <w:rPr>
                <w:b/>
                <w:bCs/>
              </w:rPr>
              <w:t xml:space="preserve"> </w:t>
            </w:r>
            <w:r w:rsidR="006D4727">
              <w:rPr>
                <w:b/>
                <w:bCs/>
              </w:rPr>
              <w:t>F</w:t>
            </w:r>
            <w:r w:rsidR="003F135F" w:rsidRPr="008F4DF9">
              <w:rPr>
                <w:b/>
                <w:bCs/>
              </w:rPr>
              <w:t>lujos de tesorería operativos</w:t>
            </w:r>
          </w:p>
        </w:tc>
        <w:tc>
          <w:tcPr>
            <w:tcW w:w="1219" w:type="dxa"/>
            <w:tcBorders>
              <w:top w:val="single" w:sz="4" w:space="0" w:color="auto"/>
              <w:left w:val="nil"/>
              <w:bottom w:val="nil"/>
              <w:right w:val="nil"/>
            </w:tcBorders>
            <w:shd w:val="clear" w:color="000000" w:fill="FFFFFF"/>
            <w:noWrap/>
            <w:vAlign w:val="center"/>
            <w:hideMark/>
          </w:tcPr>
          <w:p w14:paraId="53D3B4D6" w14:textId="3DED1AF0" w:rsidR="003F135F" w:rsidRPr="008F4DF9" w:rsidRDefault="003F135F" w:rsidP="005315C8">
            <w:pPr>
              <w:ind w:left="0" w:firstLine="0"/>
              <w:jc w:val="right"/>
              <w:rPr>
                <w:rFonts w:eastAsia="Times New Roman" w:cs="Calibri"/>
                <w:b/>
                <w:bCs/>
              </w:rPr>
            </w:pPr>
            <w:r w:rsidRPr="008F4DF9">
              <w:rPr>
                <w:b/>
                <w:bCs/>
              </w:rPr>
              <w:t>(1</w:t>
            </w:r>
            <w:r w:rsidR="00652E0C" w:rsidRPr="008F4DF9">
              <w:rPr>
                <w:b/>
                <w:bCs/>
              </w:rPr>
              <w:t> </w:t>
            </w:r>
            <w:r w:rsidRPr="008F4DF9">
              <w:rPr>
                <w:b/>
                <w:bCs/>
              </w:rPr>
              <w:t>363)</w:t>
            </w:r>
          </w:p>
        </w:tc>
        <w:tc>
          <w:tcPr>
            <w:tcW w:w="266" w:type="dxa"/>
            <w:tcBorders>
              <w:top w:val="single" w:sz="4" w:space="0" w:color="auto"/>
              <w:left w:val="nil"/>
              <w:bottom w:val="nil"/>
              <w:right w:val="nil"/>
            </w:tcBorders>
            <w:shd w:val="clear" w:color="000000" w:fill="FFFFFF"/>
            <w:noWrap/>
            <w:vAlign w:val="center"/>
            <w:hideMark/>
          </w:tcPr>
          <w:p w14:paraId="7BCD4696"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single" w:sz="4" w:space="0" w:color="auto"/>
              <w:left w:val="nil"/>
              <w:bottom w:val="nil"/>
              <w:right w:val="nil"/>
            </w:tcBorders>
            <w:shd w:val="clear" w:color="000000" w:fill="D9D9D9"/>
            <w:noWrap/>
            <w:vAlign w:val="center"/>
            <w:hideMark/>
          </w:tcPr>
          <w:p w14:paraId="0D19E853"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single" w:sz="4" w:space="0" w:color="auto"/>
              <w:left w:val="nil"/>
              <w:bottom w:val="nil"/>
              <w:right w:val="nil"/>
            </w:tcBorders>
            <w:shd w:val="clear" w:color="000000" w:fill="FFFFFF"/>
            <w:noWrap/>
            <w:vAlign w:val="center"/>
            <w:hideMark/>
          </w:tcPr>
          <w:p w14:paraId="35F26722" w14:textId="77777777" w:rsidR="003F135F" w:rsidRPr="008F4DF9" w:rsidRDefault="003F135F" w:rsidP="005315C8">
            <w:pPr>
              <w:ind w:left="0" w:firstLine="0"/>
              <w:jc w:val="right"/>
              <w:rPr>
                <w:rFonts w:eastAsia="Times New Roman" w:cs="Calibri"/>
                <w:b/>
                <w:bCs/>
              </w:rPr>
            </w:pPr>
            <w:r w:rsidRPr="008F4DF9">
              <w:rPr>
                <w:b/>
                <w:bCs/>
              </w:rPr>
              <w:t>737</w:t>
            </w:r>
          </w:p>
        </w:tc>
      </w:tr>
      <w:tr w:rsidR="003F135F" w:rsidRPr="008F4DF9" w14:paraId="17DD293B" w14:textId="77777777" w:rsidTr="005315C8">
        <w:trPr>
          <w:trHeight w:val="288"/>
        </w:trPr>
        <w:tc>
          <w:tcPr>
            <w:tcW w:w="6237" w:type="dxa"/>
            <w:tcBorders>
              <w:top w:val="nil"/>
              <w:left w:val="nil"/>
              <w:bottom w:val="nil"/>
              <w:right w:val="nil"/>
            </w:tcBorders>
            <w:shd w:val="clear" w:color="000000" w:fill="FFFFFF"/>
            <w:noWrap/>
            <w:vAlign w:val="center"/>
            <w:hideMark/>
          </w:tcPr>
          <w:p w14:paraId="443F19D8"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43CF5194"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03797A01"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664A26AB"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45BA51B3" w14:textId="77777777" w:rsidR="003F135F" w:rsidRPr="008F4DF9" w:rsidRDefault="003F135F" w:rsidP="005315C8">
            <w:pPr>
              <w:ind w:left="0" w:firstLine="0"/>
              <w:jc w:val="right"/>
              <w:rPr>
                <w:rFonts w:eastAsia="Times New Roman" w:cs="Calibri"/>
              </w:rPr>
            </w:pPr>
            <w:r w:rsidRPr="008F4DF9">
              <w:t> </w:t>
            </w:r>
          </w:p>
        </w:tc>
      </w:tr>
      <w:tr w:rsidR="003F135F" w:rsidRPr="008F4DF9" w14:paraId="0D62CE98" w14:textId="77777777" w:rsidTr="005315C8">
        <w:trPr>
          <w:trHeight w:val="288"/>
        </w:trPr>
        <w:tc>
          <w:tcPr>
            <w:tcW w:w="6237" w:type="dxa"/>
            <w:tcBorders>
              <w:top w:val="nil"/>
              <w:left w:val="nil"/>
              <w:bottom w:val="nil"/>
              <w:right w:val="nil"/>
            </w:tcBorders>
            <w:shd w:val="clear" w:color="000000" w:fill="FFFFFF"/>
            <w:noWrap/>
            <w:vAlign w:val="center"/>
            <w:hideMark/>
          </w:tcPr>
          <w:p w14:paraId="1A8370D0" w14:textId="77777777" w:rsidR="003F135F" w:rsidRPr="008F4DF9" w:rsidRDefault="003F135F" w:rsidP="005315C8">
            <w:pPr>
              <w:ind w:left="0" w:firstLine="0"/>
              <w:rPr>
                <w:rFonts w:eastAsia="Times New Roman" w:cs="Calibri"/>
                <w:b/>
                <w:bCs/>
              </w:rPr>
            </w:pPr>
            <w:r w:rsidRPr="008F4DF9">
              <w:rPr>
                <w:b/>
                <w:bCs/>
              </w:rPr>
              <w:t>Flujos de tesorería de las actividades de inversión</w:t>
            </w:r>
          </w:p>
        </w:tc>
        <w:tc>
          <w:tcPr>
            <w:tcW w:w="1219" w:type="dxa"/>
            <w:tcBorders>
              <w:top w:val="nil"/>
              <w:left w:val="nil"/>
              <w:bottom w:val="nil"/>
              <w:right w:val="nil"/>
            </w:tcBorders>
            <w:shd w:val="clear" w:color="000000" w:fill="FFFFFF"/>
            <w:noWrap/>
            <w:vAlign w:val="center"/>
            <w:hideMark/>
          </w:tcPr>
          <w:p w14:paraId="3F8B8DC4"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67CA6680"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5ACB3595"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40D38359" w14:textId="77777777" w:rsidR="003F135F" w:rsidRPr="008F4DF9" w:rsidRDefault="003F135F" w:rsidP="005315C8">
            <w:pPr>
              <w:ind w:left="0" w:firstLine="0"/>
              <w:jc w:val="right"/>
              <w:rPr>
                <w:rFonts w:eastAsia="Times New Roman" w:cs="Calibri"/>
              </w:rPr>
            </w:pPr>
            <w:r w:rsidRPr="008F4DF9">
              <w:t> </w:t>
            </w:r>
          </w:p>
        </w:tc>
      </w:tr>
      <w:tr w:rsidR="003F135F" w:rsidRPr="008F4DF9" w14:paraId="5F2E8AE8" w14:textId="77777777" w:rsidTr="005315C8">
        <w:trPr>
          <w:trHeight w:val="312"/>
        </w:trPr>
        <w:tc>
          <w:tcPr>
            <w:tcW w:w="6237" w:type="dxa"/>
            <w:tcBorders>
              <w:top w:val="nil"/>
              <w:left w:val="nil"/>
              <w:bottom w:val="nil"/>
              <w:right w:val="nil"/>
            </w:tcBorders>
            <w:shd w:val="clear" w:color="000000" w:fill="FFFFFF"/>
            <w:noWrap/>
            <w:vAlign w:val="center"/>
            <w:hideMark/>
          </w:tcPr>
          <w:p w14:paraId="229C47DB" w14:textId="5EB5A18B" w:rsidR="003F135F" w:rsidRPr="008F4DF9" w:rsidRDefault="003F135F" w:rsidP="005315C8">
            <w:pPr>
              <w:ind w:left="0" w:firstLine="0"/>
              <w:rPr>
                <w:rFonts w:eastAsia="Times New Roman" w:cs="Calibri"/>
                <w:color w:val="000000"/>
              </w:rPr>
            </w:pPr>
            <w:r w:rsidRPr="008F4DF9">
              <w:rPr>
                <w:color w:val="000000"/>
              </w:rPr>
              <w:t>Adquisición de activos fijos</w:t>
            </w:r>
          </w:p>
        </w:tc>
        <w:tc>
          <w:tcPr>
            <w:tcW w:w="1219" w:type="dxa"/>
            <w:tcBorders>
              <w:top w:val="nil"/>
              <w:left w:val="nil"/>
              <w:bottom w:val="nil"/>
              <w:right w:val="nil"/>
            </w:tcBorders>
            <w:shd w:val="clear" w:color="000000" w:fill="FFFFFF"/>
            <w:noWrap/>
            <w:vAlign w:val="center"/>
            <w:hideMark/>
          </w:tcPr>
          <w:p w14:paraId="607D5D98" w14:textId="77777777" w:rsidR="003F135F" w:rsidRPr="008F4DF9" w:rsidRDefault="003F135F" w:rsidP="005315C8">
            <w:pPr>
              <w:ind w:left="0" w:firstLine="0"/>
              <w:jc w:val="right"/>
              <w:rPr>
                <w:rFonts w:eastAsia="Times New Roman" w:cs="Calibri"/>
              </w:rPr>
            </w:pPr>
            <w:r w:rsidRPr="008F4DF9">
              <w:t>(6)</w:t>
            </w:r>
          </w:p>
        </w:tc>
        <w:tc>
          <w:tcPr>
            <w:tcW w:w="266" w:type="dxa"/>
            <w:tcBorders>
              <w:top w:val="nil"/>
              <w:left w:val="nil"/>
              <w:bottom w:val="nil"/>
              <w:right w:val="nil"/>
            </w:tcBorders>
            <w:shd w:val="clear" w:color="000000" w:fill="FFFFFF"/>
            <w:noWrap/>
            <w:vAlign w:val="center"/>
            <w:hideMark/>
          </w:tcPr>
          <w:p w14:paraId="447C8389"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77CEE726"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5786887A" w14:textId="77777777" w:rsidR="003F135F" w:rsidRPr="008F4DF9" w:rsidRDefault="003F135F" w:rsidP="005315C8">
            <w:pPr>
              <w:ind w:left="0" w:firstLine="0"/>
              <w:jc w:val="right"/>
              <w:rPr>
                <w:rFonts w:eastAsia="Times New Roman" w:cs="Calibri"/>
              </w:rPr>
            </w:pPr>
            <w:r w:rsidRPr="008F4DF9">
              <w:t>(7)</w:t>
            </w:r>
          </w:p>
        </w:tc>
      </w:tr>
      <w:tr w:rsidR="003F135F" w:rsidRPr="008F4DF9" w14:paraId="09BF37AC" w14:textId="77777777" w:rsidTr="005315C8">
        <w:trPr>
          <w:trHeight w:val="288"/>
        </w:trPr>
        <w:tc>
          <w:tcPr>
            <w:tcW w:w="6237" w:type="dxa"/>
            <w:tcBorders>
              <w:top w:val="nil"/>
              <w:left w:val="nil"/>
              <w:bottom w:val="nil"/>
              <w:right w:val="nil"/>
            </w:tcBorders>
            <w:shd w:val="clear" w:color="000000" w:fill="FFFFFF"/>
            <w:noWrap/>
            <w:vAlign w:val="center"/>
            <w:hideMark/>
          </w:tcPr>
          <w:p w14:paraId="1793D747" w14:textId="77777777" w:rsidR="003F135F" w:rsidRPr="008F4DF9" w:rsidRDefault="003F135F" w:rsidP="005315C8">
            <w:pPr>
              <w:ind w:left="0" w:firstLine="0"/>
              <w:rPr>
                <w:rFonts w:eastAsia="Times New Roman" w:cs="Calibri"/>
              </w:rPr>
            </w:pPr>
            <w:r w:rsidRPr="008F4DF9">
              <w:t> </w:t>
            </w:r>
          </w:p>
        </w:tc>
        <w:tc>
          <w:tcPr>
            <w:tcW w:w="1219" w:type="dxa"/>
            <w:tcBorders>
              <w:top w:val="nil"/>
              <w:left w:val="nil"/>
              <w:bottom w:val="nil"/>
              <w:right w:val="nil"/>
            </w:tcBorders>
            <w:shd w:val="clear" w:color="auto" w:fill="auto"/>
            <w:noWrap/>
            <w:vAlign w:val="center"/>
            <w:hideMark/>
          </w:tcPr>
          <w:p w14:paraId="1DB66EF9" w14:textId="77777777" w:rsidR="003F135F" w:rsidRPr="008F4DF9" w:rsidRDefault="003F135F" w:rsidP="005315C8">
            <w:pPr>
              <w:ind w:left="0" w:firstLine="0"/>
              <w:jc w:val="right"/>
              <w:rPr>
                <w:rFonts w:eastAsia="Times New Roman" w:cs="Calibri"/>
                <w:lang w:eastAsia="en-GB"/>
              </w:rPr>
            </w:pPr>
          </w:p>
        </w:tc>
        <w:tc>
          <w:tcPr>
            <w:tcW w:w="266" w:type="dxa"/>
            <w:tcBorders>
              <w:top w:val="nil"/>
              <w:left w:val="nil"/>
              <w:bottom w:val="nil"/>
              <w:right w:val="nil"/>
            </w:tcBorders>
            <w:shd w:val="clear" w:color="000000" w:fill="FFFFFF"/>
            <w:noWrap/>
            <w:vAlign w:val="center"/>
            <w:hideMark/>
          </w:tcPr>
          <w:p w14:paraId="7ACC186D"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02D202DD"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4DC4961A" w14:textId="77777777" w:rsidR="003F135F" w:rsidRPr="008F4DF9" w:rsidRDefault="003F135F" w:rsidP="005315C8">
            <w:pPr>
              <w:ind w:left="0" w:firstLine="0"/>
              <w:jc w:val="right"/>
              <w:rPr>
                <w:rFonts w:eastAsia="Times New Roman" w:cs="Calibri"/>
              </w:rPr>
            </w:pPr>
            <w:r w:rsidRPr="008F4DF9">
              <w:t> </w:t>
            </w:r>
          </w:p>
        </w:tc>
      </w:tr>
      <w:tr w:rsidR="003F135F" w:rsidRPr="008F4DF9" w14:paraId="47C64511" w14:textId="77777777" w:rsidTr="005315C8">
        <w:trPr>
          <w:trHeight w:val="480"/>
        </w:trPr>
        <w:tc>
          <w:tcPr>
            <w:tcW w:w="6237" w:type="dxa"/>
            <w:tcBorders>
              <w:top w:val="nil"/>
              <w:left w:val="nil"/>
              <w:bottom w:val="nil"/>
              <w:right w:val="nil"/>
            </w:tcBorders>
            <w:shd w:val="clear" w:color="000000" w:fill="FFFFFF"/>
            <w:noWrap/>
            <w:vAlign w:val="center"/>
            <w:hideMark/>
          </w:tcPr>
          <w:p w14:paraId="07C76BE6" w14:textId="787C9381" w:rsidR="003F135F" w:rsidRPr="008F4DF9" w:rsidRDefault="003F135F" w:rsidP="005315C8">
            <w:pPr>
              <w:ind w:left="0" w:firstLine="0"/>
              <w:rPr>
                <w:rFonts w:eastAsia="Times New Roman" w:cs="Calibri"/>
                <w:b/>
                <w:bCs/>
              </w:rPr>
            </w:pPr>
            <w:r w:rsidRPr="008F4DF9">
              <w:rPr>
                <w:b/>
                <w:bCs/>
              </w:rPr>
              <w:t>Total</w:t>
            </w:r>
            <w:r w:rsidR="009154DA">
              <w:rPr>
                <w:b/>
                <w:bCs/>
              </w:rPr>
              <w:t>,</w:t>
            </w:r>
            <w:r w:rsidRPr="008F4DF9">
              <w:rPr>
                <w:b/>
                <w:bCs/>
              </w:rPr>
              <w:t xml:space="preserve"> </w:t>
            </w:r>
            <w:r w:rsidR="006D4727">
              <w:rPr>
                <w:b/>
                <w:bCs/>
              </w:rPr>
              <w:t>F</w:t>
            </w:r>
            <w:r w:rsidRPr="008F4DF9">
              <w:rPr>
                <w:b/>
                <w:bCs/>
              </w:rPr>
              <w:t>lujos de tesorería de las actividades de inversión</w:t>
            </w:r>
          </w:p>
        </w:tc>
        <w:tc>
          <w:tcPr>
            <w:tcW w:w="1219" w:type="dxa"/>
            <w:tcBorders>
              <w:top w:val="single" w:sz="4" w:space="0" w:color="auto"/>
              <w:left w:val="nil"/>
              <w:bottom w:val="nil"/>
              <w:right w:val="nil"/>
            </w:tcBorders>
            <w:shd w:val="clear" w:color="000000" w:fill="FFFFFF"/>
            <w:noWrap/>
            <w:vAlign w:val="center"/>
            <w:hideMark/>
          </w:tcPr>
          <w:p w14:paraId="088302B1" w14:textId="77777777" w:rsidR="003F135F" w:rsidRPr="008F4DF9" w:rsidRDefault="003F135F" w:rsidP="005315C8">
            <w:pPr>
              <w:ind w:left="0" w:firstLine="0"/>
              <w:jc w:val="right"/>
              <w:rPr>
                <w:rFonts w:eastAsia="Times New Roman" w:cs="Calibri"/>
                <w:b/>
                <w:bCs/>
              </w:rPr>
            </w:pPr>
            <w:r w:rsidRPr="008F4DF9">
              <w:rPr>
                <w:b/>
                <w:bCs/>
              </w:rPr>
              <w:t>(6)</w:t>
            </w:r>
          </w:p>
        </w:tc>
        <w:tc>
          <w:tcPr>
            <w:tcW w:w="266" w:type="dxa"/>
            <w:tcBorders>
              <w:top w:val="single" w:sz="4" w:space="0" w:color="auto"/>
              <w:left w:val="nil"/>
              <w:bottom w:val="nil"/>
              <w:right w:val="nil"/>
            </w:tcBorders>
            <w:shd w:val="clear" w:color="000000" w:fill="FFFFFF"/>
            <w:noWrap/>
            <w:vAlign w:val="center"/>
            <w:hideMark/>
          </w:tcPr>
          <w:p w14:paraId="250AF341"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single" w:sz="4" w:space="0" w:color="auto"/>
              <w:left w:val="nil"/>
              <w:bottom w:val="nil"/>
              <w:right w:val="nil"/>
            </w:tcBorders>
            <w:shd w:val="clear" w:color="000000" w:fill="D9D9D9"/>
            <w:noWrap/>
            <w:vAlign w:val="center"/>
            <w:hideMark/>
          </w:tcPr>
          <w:p w14:paraId="3022CBDF"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single" w:sz="4" w:space="0" w:color="auto"/>
              <w:left w:val="nil"/>
              <w:bottom w:val="nil"/>
              <w:right w:val="nil"/>
            </w:tcBorders>
            <w:shd w:val="clear" w:color="000000" w:fill="FFFFFF"/>
            <w:noWrap/>
            <w:vAlign w:val="center"/>
            <w:hideMark/>
          </w:tcPr>
          <w:p w14:paraId="41F3F9E3" w14:textId="77777777" w:rsidR="003F135F" w:rsidRPr="008F4DF9" w:rsidRDefault="003F135F" w:rsidP="005315C8">
            <w:pPr>
              <w:ind w:left="0" w:firstLine="0"/>
              <w:jc w:val="right"/>
              <w:rPr>
                <w:rFonts w:eastAsia="Times New Roman" w:cs="Calibri"/>
                <w:b/>
                <w:bCs/>
              </w:rPr>
            </w:pPr>
            <w:r w:rsidRPr="008F4DF9">
              <w:rPr>
                <w:b/>
                <w:bCs/>
              </w:rPr>
              <w:t>(7)</w:t>
            </w:r>
          </w:p>
        </w:tc>
      </w:tr>
      <w:tr w:rsidR="003F135F" w:rsidRPr="008F4DF9" w14:paraId="448CC172" w14:textId="77777777" w:rsidTr="005315C8">
        <w:trPr>
          <w:trHeight w:val="288"/>
        </w:trPr>
        <w:tc>
          <w:tcPr>
            <w:tcW w:w="6237" w:type="dxa"/>
            <w:tcBorders>
              <w:top w:val="nil"/>
              <w:left w:val="nil"/>
              <w:bottom w:val="nil"/>
              <w:right w:val="nil"/>
            </w:tcBorders>
            <w:shd w:val="clear" w:color="000000" w:fill="FFFFFF"/>
            <w:noWrap/>
            <w:vAlign w:val="center"/>
            <w:hideMark/>
          </w:tcPr>
          <w:p w14:paraId="1C548195" w14:textId="77777777" w:rsidR="003F135F" w:rsidRPr="008F4DF9" w:rsidRDefault="003F135F" w:rsidP="005315C8">
            <w:pPr>
              <w:ind w:left="0" w:firstLine="0"/>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70FBF3E3"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0CC8459A"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7A22DB6A"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264873BC" w14:textId="77777777" w:rsidR="003F135F" w:rsidRPr="008F4DF9" w:rsidRDefault="003F135F" w:rsidP="005315C8">
            <w:pPr>
              <w:ind w:left="0" w:firstLine="0"/>
              <w:jc w:val="right"/>
              <w:rPr>
                <w:rFonts w:eastAsia="Times New Roman" w:cs="Calibri"/>
              </w:rPr>
            </w:pPr>
            <w:r w:rsidRPr="008F4DF9">
              <w:t> </w:t>
            </w:r>
          </w:p>
        </w:tc>
      </w:tr>
      <w:tr w:rsidR="003F135F" w:rsidRPr="008F4DF9" w14:paraId="3AC96892" w14:textId="77777777" w:rsidTr="005315C8">
        <w:trPr>
          <w:trHeight w:val="480"/>
        </w:trPr>
        <w:tc>
          <w:tcPr>
            <w:tcW w:w="6237" w:type="dxa"/>
            <w:tcBorders>
              <w:top w:val="nil"/>
              <w:left w:val="nil"/>
              <w:bottom w:val="nil"/>
              <w:right w:val="nil"/>
            </w:tcBorders>
            <w:shd w:val="clear" w:color="000000" w:fill="FFFFFF"/>
            <w:noWrap/>
            <w:vAlign w:val="center"/>
            <w:hideMark/>
          </w:tcPr>
          <w:p w14:paraId="66E61D8F" w14:textId="77777777" w:rsidR="003F135F" w:rsidRPr="008F4DF9" w:rsidRDefault="003F135F" w:rsidP="005315C8">
            <w:pPr>
              <w:ind w:left="0" w:firstLine="0"/>
              <w:rPr>
                <w:rFonts w:eastAsia="Times New Roman" w:cs="Calibri"/>
                <w:b/>
                <w:bCs/>
              </w:rPr>
            </w:pPr>
            <w:r w:rsidRPr="008F4DF9">
              <w:rPr>
                <w:b/>
                <w:bCs/>
              </w:rPr>
              <w:t>Entradas/(salidas) de tesorería netas</w:t>
            </w:r>
          </w:p>
        </w:tc>
        <w:tc>
          <w:tcPr>
            <w:tcW w:w="1219" w:type="dxa"/>
            <w:tcBorders>
              <w:top w:val="single" w:sz="4" w:space="0" w:color="auto"/>
              <w:left w:val="nil"/>
              <w:bottom w:val="single" w:sz="4" w:space="0" w:color="auto"/>
              <w:right w:val="nil"/>
            </w:tcBorders>
            <w:shd w:val="clear" w:color="auto" w:fill="auto"/>
            <w:noWrap/>
            <w:vAlign w:val="center"/>
            <w:hideMark/>
          </w:tcPr>
          <w:p w14:paraId="2508ED6A" w14:textId="4B1181E3" w:rsidR="003F135F" w:rsidRPr="008F4DF9" w:rsidRDefault="003F135F" w:rsidP="005315C8">
            <w:pPr>
              <w:ind w:left="0" w:firstLine="0"/>
              <w:jc w:val="right"/>
              <w:rPr>
                <w:rFonts w:eastAsia="Times New Roman" w:cs="Calibri"/>
                <w:b/>
                <w:bCs/>
              </w:rPr>
            </w:pPr>
            <w:r w:rsidRPr="008F4DF9">
              <w:rPr>
                <w:b/>
                <w:bCs/>
              </w:rPr>
              <w:t>(1</w:t>
            </w:r>
            <w:r w:rsidR="00652E0C" w:rsidRPr="008F4DF9">
              <w:rPr>
                <w:b/>
                <w:bCs/>
              </w:rPr>
              <w:t> </w:t>
            </w:r>
            <w:r w:rsidRPr="008F4DF9">
              <w:rPr>
                <w:b/>
                <w:bCs/>
              </w:rPr>
              <w:t>369)</w:t>
            </w:r>
          </w:p>
        </w:tc>
        <w:tc>
          <w:tcPr>
            <w:tcW w:w="266" w:type="dxa"/>
            <w:tcBorders>
              <w:top w:val="single" w:sz="4" w:space="0" w:color="auto"/>
              <w:left w:val="nil"/>
              <w:bottom w:val="single" w:sz="4" w:space="0" w:color="auto"/>
              <w:right w:val="nil"/>
            </w:tcBorders>
            <w:shd w:val="clear" w:color="000000" w:fill="FFFFFF"/>
            <w:noWrap/>
            <w:vAlign w:val="center"/>
            <w:hideMark/>
          </w:tcPr>
          <w:p w14:paraId="6288B5A6"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31AD9FB6"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single" w:sz="4" w:space="0" w:color="auto"/>
              <w:left w:val="nil"/>
              <w:bottom w:val="single" w:sz="4" w:space="0" w:color="auto"/>
              <w:right w:val="nil"/>
            </w:tcBorders>
            <w:shd w:val="clear" w:color="000000" w:fill="FFFFFF"/>
            <w:noWrap/>
            <w:vAlign w:val="center"/>
            <w:hideMark/>
          </w:tcPr>
          <w:p w14:paraId="6CD4CD00" w14:textId="77777777" w:rsidR="003F135F" w:rsidRPr="008F4DF9" w:rsidRDefault="003F135F" w:rsidP="005315C8">
            <w:pPr>
              <w:ind w:left="0" w:firstLine="0"/>
              <w:jc w:val="right"/>
              <w:rPr>
                <w:rFonts w:eastAsia="Times New Roman" w:cs="Calibri"/>
                <w:b/>
                <w:bCs/>
              </w:rPr>
            </w:pPr>
            <w:r w:rsidRPr="008F4DF9">
              <w:rPr>
                <w:b/>
                <w:bCs/>
              </w:rPr>
              <w:t>730</w:t>
            </w:r>
          </w:p>
        </w:tc>
      </w:tr>
      <w:tr w:rsidR="003F135F" w:rsidRPr="008F4DF9" w14:paraId="1065BEF2" w14:textId="77777777" w:rsidTr="005315C8">
        <w:trPr>
          <w:trHeight w:val="288"/>
        </w:trPr>
        <w:tc>
          <w:tcPr>
            <w:tcW w:w="6237" w:type="dxa"/>
            <w:tcBorders>
              <w:top w:val="nil"/>
              <w:left w:val="nil"/>
              <w:bottom w:val="nil"/>
              <w:right w:val="nil"/>
            </w:tcBorders>
            <w:shd w:val="clear" w:color="000000" w:fill="FFFFFF"/>
            <w:noWrap/>
            <w:vAlign w:val="center"/>
            <w:hideMark/>
          </w:tcPr>
          <w:p w14:paraId="5BBD6E59"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0D3F26D9"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4AC2167E"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12E5BA71"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122E2C4A" w14:textId="77777777" w:rsidR="003F135F" w:rsidRPr="008F4DF9" w:rsidRDefault="003F135F" w:rsidP="005315C8">
            <w:pPr>
              <w:ind w:left="0" w:firstLine="0"/>
              <w:jc w:val="right"/>
              <w:rPr>
                <w:rFonts w:eastAsia="Times New Roman" w:cs="Calibri"/>
              </w:rPr>
            </w:pPr>
            <w:r w:rsidRPr="008F4DF9">
              <w:t> </w:t>
            </w:r>
          </w:p>
        </w:tc>
      </w:tr>
      <w:tr w:rsidR="003F135F" w:rsidRPr="008F4DF9" w14:paraId="29FA41D5" w14:textId="77777777" w:rsidTr="005315C8">
        <w:trPr>
          <w:trHeight w:val="288"/>
        </w:trPr>
        <w:tc>
          <w:tcPr>
            <w:tcW w:w="6237" w:type="dxa"/>
            <w:tcBorders>
              <w:top w:val="nil"/>
              <w:left w:val="nil"/>
              <w:bottom w:val="nil"/>
              <w:right w:val="nil"/>
            </w:tcBorders>
            <w:shd w:val="clear" w:color="000000" w:fill="FFFFFF"/>
            <w:noWrap/>
            <w:vAlign w:val="center"/>
            <w:hideMark/>
          </w:tcPr>
          <w:p w14:paraId="2A5AF5E6" w14:textId="77777777" w:rsidR="003F135F" w:rsidRPr="008F4DF9" w:rsidRDefault="003F135F" w:rsidP="005315C8">
            <w:pPr>
              <w:ind w:left="0" w:firstLine="0"/>
              <w:rPr>
                <w:rFonts w:eastAsia="Times New Roman" w:cs="Calibri"/>
              </w:rPr>
            </w:pPr>
            <w:r w:rsidRPr="008F4DF9">
              <w:t>Efectivo y depósitos a corto plazo al principio del ejercicio</w:t>
            </w:r>
          </w:p>
        </w:tc>
        <w:tc>
          <w:tcPr>
            <w:tcW w:w="1219" w:type="dxa"/>
            <w:tcBorders>
              <w:top w:val="nil"/>
              <w:left w:val="nil"/>
              <w:bottom w:val="nil"/>
              <w:right w:val="nil"/>
            </w:tcBorders>
            <w:shd w:val="clear" w:color="000000" w:fill="FFFFFF"/>
            <w:noWrap/>
            <w:vAlign w:val="center"/>
            <w:hideMark/>
          </w:tcPr>
          <w:p w14:paraId="7E9843EE" w14:textId="0F054EDE" w:rsidR="003F135F" w:rsidRPr="008F4DF9" w:rsidRDefault="003F135F" w:rsidP="005315C8">
            <w:pPr>
              <w:ind w:left="0" w:firstLine="0"/>
              <w:jc w:val="right"/>
              <w:rPr>
                <w:rFonts w:eastAsia="Times New Roman" w:cs="Calibri"/>
              </w:rPr>
            </w:pPr>
            <w:r w:rsidRPr="008F4DF9">
              <w:t>5</w:t>
            </w:r>
            <w:r w:rsidR="00652E0C" w:rsidRPr="008F4DF9">
              <w:t> </w:t>
            </w:r>
            <w:r w:rsidRPr="008F4DF9">
              <w:t>196</w:t>
            </w:r>
          </w:p>
        </w:tc>
        <w:tc>
          <w:tcPr>
            <w:tcW w:w="266" w:type="dxa"/>
            <w:tcBorders>
              <w:top w:val="nil"/>
              <w:left w:val="nil"/>
              <w:bottom w:val="nil"/>
              <w:right w:val="nil"/>
            </w:tcBorders>
            <w:shd w:val="clear" w:color="000000" w:fill="FFFFFF"/>
            <w:noWrap/>
            <w:vAlign w:val="center"/>
            <w:hideMark/>
          </w:tcPr>
          <w:p w14:paraId="3272F753"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7F86FA59"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783F284E" w14:textId="38F84965" w:rsidR="003F135F" w:rsidRPr="008F4DF9" w:rsidRDefault="003F135F" w:rsidP="005315C8">
            <w:pPr>
              <w:ind w:left="0" w:firstLine="0"/>
              <w:jc w:val="right"/>
              <w:rPr>
                <w:rFonts w:eastAsia="Times New Roman" w:cs="Calibri"/>
              </w:rPr>
            </w:pPr>
            <w:r w:rsidRPr="008F4DF9">
              <w:t>4</w:t>
            </w:r>
            <w:r w:rsidR="00652E0C" w:rsidRPr="008F4DF9">
              <w:t> </w:t>
            </w:r>
            <w:r w:rsidRPr="008F4DF9">
              <w:t>466</w:t>
            </w:r>
          </w:p>
        </w:tc>
      </w:tr>
      <w:tr w:rsidR="003F135F" w:rsidRPr="008F4DF9" w14:paraId="396D4D0E" w14:textId="77777777" w:rsidTr="005315C8">
        <w:trPr>
          <w:trHeight w:val="288"/>
        </w:trPr>
        <w:tc>
          <w:tcPr>
            <w:tcW w:w="6237" w:type="dxa"/>
            <w:tcBorders>
              <w:top w:val="nil"/>
              <w:left w:val="nil"/>
              <w:bottom w:val="nil"/>
              <w:right w:val="nil"/>
            </w:tcBorders>
            <w:shd w:val="clear" w:color="000000" w:fill="FFFFFF"/>
            <w:noWrap/>
            <w:vAlign w:val="center"/>
            <w:hideMark/>
          </w:tcPr>
          <w:p w14:paraId="00BC47D9" w14:textId="77777777" w:rsidR="003F135F" w:rsidRPr="008F4DF9" w:rsidRDefault="003F135F" w:rsidP="005315C8">
            <w:pPr>
              <w:ind w:left="0" w:firstLine="0"/>
              <w:rPr>
                <w:rFonts w:eastAsia="Times New Roman" w:cs="Calibri"/>
                <w:b/>
                <w:bCs/>
              </w:rPr>
            </w:pPr>
            <w:r w:rsidRPr="008F4DF9">
              <w:rPr>
                <w:b/>
                <w:bCs/>
              </w:rPr>
              <w:t> </w:t>
            </w:r>
          </w:p>
        </w:tc>
        <w:tc>
          <w:tcPr>
            <w:tcW w:w="1219" w:type="dxa"/>
            <w:tcBorders>
              <w:top w:val="nil"/>
              <w:left w:val="nil"/>
              <w:bottom w:val="nil"/>
              <w:right w:val="nil"/>
            </w:tcBorders>
            <w:shd w:val="clear" w:color="000000" w:fill="FFFFFF"/>
            <w:noWrap/>
            <w:vAlign w:val="center"/>
            <w:hideMark/>
          </w:tcPr>
          <w:p w14:paraId="521CFD8A"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FFFFFF"/>
            <w:noWrap/>
            <w:vAlign w:val="center"/>
            <w:hideMark/>
          </w:tcPr>
          <w:p w14:paraId="3D376955" w14:textId="77777777" w:rsidR="003F135F" w:rsidRPr="008F4DF9" w:rsidRDefault="003F135F" w:rsidP="005315C8">
            <w:pPr>
              <w:ind w:left="0" w:firstLine="0"/>
              <w:jc w:val="right"/>
              <w:rPr>
                <w:rFonts w:eastAsia="Times New Roman" w:cs="Calibri"/>
              </w:rPr>
            </w:pPr>
            <w:r w:rsidRPr="008F4DF9">
              <w:t> </w:t>
            </w:r>
          </w:p>
        </w:tc>
        <w:tc>
          <w:tcPr>
            <w:tcW w:w="266" w:type="dxa"/>
            <w:tcBorders>
              <w:top w:val="nil"/>
              <w:left w:val="nil"/>
              <w:bottom w:val="nil"/>
              <w:right w:val="nil"/>
            </w:tcBorders>
            <w:shd w:val="clear" w:color="000000" w:fill="D9D9D9"/>
            <w:noWrap/>
            <w:vAlign w:val="center"/>
            <w:hideMark/>
          </w:tcPr>
          <w:p w14:paraId="11D0AACA" w14:textId="77777777" w:rsidR="003F135F" w:rsidRPr="008F4DF9" w:rsidRDefault="003F135F" w:rsidP="005315C8">
            <w:pPr>
              <w:ind w:left="0" w:firstLine="0"/>
              <w:jc w:val="right"/>
              <w:rPr>
                <w:rFonts w:eastAsia="Times New Roman" w:cs="Calibri"/>
              </w:rPr>
            </w:pPr>
            <w:r w:rsidRPr="008F4DF9">
              <w:t> </w:t>
            </w:r>
          </w:p>
        </w:tc>
        <w:tc>
          <w:tcPr>
            <w:tcW w:w="1219" w:type="dxa"/>
            <w:tcBorders>
              <w:top w:val="nil"/>
              <w:left w:val="nil"/>
              <w:bottom w:val="nil"/>
              <w:right w:val="nil"/>
            </w:tcBorders>
            <w:shd w:val="clear" w:color="000000" w:fill="FFFFFF"/>
            <w:noWrap/>
            <w:vAlign w:val="center"/>
            <w:hideMark/>
          </w:tcPr>
          <w:p w14:paraId="0D34B0BF" w14:textId="77777777" w:rsidR="003F135F" w:rsidRPr="008F4DF9" w:rsidRDefault="003F135F" w:rsidP="005315C8">
            <w:pPr>
              <w:ind w:left="0" w:firstLine="0"/>
              <w:jc w:val="right"/>
              <w:rPr>
                <w:rFonts w:eastAsia="Times New Roman" w:cs="Calibri"/>
              </w:rPr>
            </w:pPr>
            <w:r w:rsidRPr="008F4DF9">
              <w:t> </w:t>
            </w:r>
          </w:p>
        </w:tc>
      </w:tr>
      <w:tr w:rsidR="003F135F" w:rsidRPr="008F4DF9" w14:paraId="49A934D6" w14:textId="77777777" w:rsidTr="005315C8">
        <w:trPr>
          <w:trHeight w:val="480"/>
        </w:trPr>
        <w:tc>
          <w:tcPr>
            <w:tcW w:w="6237" w:type="dxa"/>
            <w:tcBorders>
              <w:top w:val="nil"/>
              <w:left w:val="nil"/>
              <w:bottom w:val="nil"/>
              <w:right w:val="nil"/>
            </w:tcBorders>
            <w:shd w:val="clear" w:color="auto" w:fill="auto"/>
            <w:noWrap/>
            <w:vAlign w:val="center"/>
            <w:hideMark/>
          </w:tcPr>
          <w:p w14:paraId="3131D85F" w14:textId="77777777" w:rsidR="003F135F" w:rsidRPr="008F4DF9" w:rsidRDefault="003F135F" w:rsidP="005315C8">
            <w:pPr>
              <w:ind w:left="0" w:firstLine="0"/>
              <w:rPr>
                <w:rFonts w:eastAsia="Times New Roman" w:cs="Calibri"/>
                <w:b/>
                <w:bCs/>
              </w:rPr>
            </w:pPr>
            <w:r w:rsidRPr="008F4DF9">
              <w:rPr>
                <w:b/>
                <w:bCs/>
              </w:rPr>
              <w:t>Efectivo y depósitos a corto plazo al cierre del ejercicio</w:t>
            </w:r>
          </w:p>
        </w:tc>
        <w:tc>
          <w:tcPr>
            <w:tcW w:w="1219" w:type="dxa"/>
            <w:tcBorders>
              <w:top w:val="single" w:sz="4" w:space="0" w:color="auto"/>
              <w:left w:val="nil"/>
              <w:bottom w:val="single" w:sz="4" w:space="0" w:color="auto"/>
              <w:right w:val="nil"/>
            </w:tcBorders>
            <w:shd w:val="clear" w:color="000000" w:fill="C5D9F1"/>
            <w:noWrap/>
            <w:vAlign w:val="center"/>
            <w:hideMark/>
          </w:tcPr>
          <w:p w14:paraId="60467686" w14:textId="1C9843ED" w:rsidR="003F135F" w:rsidRPr="008F4DF9" w:rsidRDefault="003F135F" w:rsidP="005315C8">
            <w:pPr>
              <w:ind w:left="0" w:firstLine="0"/>
              <w:jc w:val="right"/>
              <w:rPr>
                <w:rFonts w:eastAsia="Times New Roman" w:cs="Calibri"/>
                <w:b/>
                <w:bCs/>
              </w:rPr>
            </w:pPr>
            <w:r w:rsidRPr="008F4DF9">
              <w:rPr>
                <w:b/>
                <w:bCs/>
              </w:rPr>
              <w:t>3</w:t>
            </w:r>
            <w:r w:rsidR="00652E0C" w:rsidRPr="008F4DF9">
              <w:rPr>
                <w:b/>
                <w:bCs/>
              </w:rPr>
              <w:t> </w:t>
            </w:r>
            <w:r w:rsidRPr="008F4DF9">
              <w:rPr>
                <w:b/>
                <w:bCs/>
              </w:rPr>
              <w:t>827</w:t>
            </w:r>
          </w:p>
        </w:tc>
        <w:tc>
          <w:tcPr>
            <w:tcW w:w="266" w:type="dxa"/>
            <w:tcBorders>
              <w:top w:val="single" w:sz="4" w:space="0" w:color="auto"/>
              <w:left w:val="nil"/>
              <w:bottom w:val="single" w:sz="4" w:space="0" w:color="auto"/>
              <w:right w:val="nil"/>
            </w:tcBorders>
            <w:shd w:val="clear" w:color="000000" w:fill="C5D9F1"/>
            <w:noWrap/>
            <w:vAlign w:val="center"/>
            <w:hideMark/>
          </w:tcPr>
          <w:p w14:paraId="0A3DCD7F" w14:textId="77777777" w:rsidR="003F135F" w:rsidRPr="008F4DF9" w:rsidRDefault="003F135F" w:rsidP="005315C8">
            <w:pPr>
              <w:ind w:left="0" w:firstLine="0"/>
              <w:jc w:val="right"/>
              <w:rPr>
                <w:rFonts w:eastAsia="Times New Roman" w:cs="Calibri"/>
                <w:b/>
                <w:bCs/>
              </w:rPr>
            </w:pPr>
            <w:r w:rsidRPr="008F4DF9">
              <w:rPr>
                <w:b/>
                <w:bCs/>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00013A50" w14:textId="77777777" w:rsidR="003F135F" w:rsidRPr="008F4DF9" w:rsidRDefault="003F135F" w:rsidP="005315C8">
            <w:pPr>
              <w:ind w:left="0" w:firstLine="0"/>
              <w:jc w:val="right"/>
              <w:rPr>
                <w:rFonts w:eastAsia="Times New Roman" w:cs="Calibri"/>
                <w:b/>
                <w:bCs/>
              </w:rPr>
            </w:pPr>
            <w:r w:rsidRPr="008F4DF9">
              <w:rPr>
                <w:b/>
                <w:bCs/>
              </w:rPr>
              <w:t> </w:t>
            </w:r>
          </w:p>
        </w:tc>
        <w:tc>
          <w:tcPr>
            <w:tcW w:w="1219" w:type="dxa"/>
            <w:tcBorders>
              <w:top w:val="single" w:sz="4" w:space="0" w:color="auto"/>
              <w:left w:val="nil"/>
              <w:bottom w:val="single" w:sz="4" w:space="0" w:color="auto"/>
              <w:right w:val="nil"/>
            </w:tcBorders>
            <w:shd w:val="clear" w:color="000000" w:fill="EBF1DE"/>
            <w:noWrap/>
            <w:vAlign w:val="center"/>
            <w:hideMark/>
          </w:tcPr>
          <w:p w14:paraId="4A26B2E1" w14:textId="7D337650" w:rsidR="003F135F" w:rsidRPr="008F4DF9" w:rsidRDefault="003F135F" w:rsidP="005315C8">
            <w:pPr>
              <w:ind w:left="0" w:firstLine="0"/>
              <w:jc w:val="right"/>
              <w:rPr>
                <w:rFonts w:eastAsia="Times New Roman" w:cs="Calibri"/>
                <w:b/>
                <w:bCs/>
              </w:rPr>
            </w:pPr>
            <w:r w:rsidRPr="008F4DF9">
              <w:rPr>
                <w:b/>
                <w:bCs/>
              </w:rPr>
              <w:t>5</w:t>
            </w:r>
            <w:r w:rsidR="00652E0C" w:rsidRPr="008F4DF9">
              <w:rPr>
                <w:b/>
                <w:bCs/>
              </w:rPr>
              <w:t> </w:t>
            </w:r>
            <w:r w:rsidRPr="008F4DF9">
              <w:rPr>
                <w:b/>
                <w:bCs/>
              </w:rPr>
              <w:t>196</w:t>
            </w:r>
          </w:p>
        </w:tc>
      </w:tr>
    </w:tbl>
    <w:p w14:paraId="56446B55" w14:textId="107E4933" w:rsidR="001404C4" w:rsidRPr="008F4DF9" w:rsidRDefault="001404C4" w:rsidP="007114B2">
      <w:pPr>
        <w:ind w:left="0" w:firstLine="0"/>
        <w:rPr>
          <w:b/>
        </w:rPr>
      </w:pPr>
    </w:p>
    <w:p w14:paraId="7F65BAE5" w14:textId="77777777" w:rsidR="00845CBE" w:rsidRDefault="00845CBE">
      <w:pPr>
        <w:rPr>
          <w:b/>
          <w:sz w:val="24"/>
          <w:szCs w:val="24"/>
        </w:rPr>
      </w:pPr>
      <w:r>
        <w:rPr>
          <w:b/>
          <w:sz w:val="24"/>
          <w:szCs w:val="24"/>
        </w:rPr>
        <w:br w:type="page"/>
      </w:r>
    </w:p>
    <w:p w14:paraId="0FC5D3C7" w14:textId="430DB1AB" w:rsidR="001404C4" w:rsidRPr="008F4DF9" w:rsidRDefault="001404C4" w:rsidP="001404C4">
      <w:pPr>
        <w:pStyle w:val="NoSpacing"/>
        <w:ind w:left="0" w:firstLine="0"/>
        <w:rPr>
          <w:b/>
          <w:sz w:val="24"/>
          <w:szCs w:val="24"/>
        </w:rPr>
      </w:pPr>
      <w:r w:rsidRPr="008F4DF9">
        <w:rPr>
          <w:b/>
          <w:sz w:val="24"/>
          <w:szCs w:val="24"/>
        </w:rPr>
        <w:lastRenderedPageBreak/>
        <w:t>Anexo 2</w:t>
      </w:r>
    </w:p>
    <w:p w14:paraId="24775E9F" w14:textId="0BE08FAE" w:rsidR="001404C4" w:rsidRPr="008F4DF9" w:rsidRDefault="001404C4" w:rsidP="001404C4">
      <w:pPr>
        <w:pStyle w:val="NoSpacing"/>
        <w:ind w:left="0" w:firstLine="0"/>
        <w:rPr>
          <w:rFonts w:asciiTheme="minorHAnsi" w:eastAsia="Times New Roman" w:hAnsiTheme="minorHAnsi" w:cs="Arial"/>
          <w:bCs/>
          <w:i/>
          <w:sz w:val="20"/>
          <w:szCs w:val="20"/>
        </w:rPr>
      </w:pPr>
      <w:r w:rsidRPr="008F4DF9">
        <w:rPr>
          <w:b/>
        </w:rPr>
        <w:t>Resultados del presupuesto básico para el período comprendido entre el 1 de enero y el 31 de diciembre de 2019</w:t>
      </w:r>
      <w:r w:rsidR="00845CBE">
        <w:rPr>
          <w:b/>
        </w:rPr>
        <w:t xml:space="preserve"> </w:t>
      </w:r>
      <w:bookmarkStart w:id="0" w:name="_GoBack"/>
      <w:bookmarkEnd w:id="0"/>
      <w:r w:rsidRPr="008F4DF9">
        <w:rPr>
          <w:rFonts w:asciiTheme="minorHAnsi" w:hAnsiTheme="minorHAnsi"/>
          <w:bCs/>
          <w:i/>
          <w:sz w:val="20"/>
          <w:szCs w:val="20"/>
        </w:rPr>
        <w:t>(en miles de francos suizos, con posibles diferencias por redondeo)</w:t>
      </w:r>
    </w:p>
    <w:p w14:paraId="1275BE2D" w14:textId="77777777" w:rsidR="001404C4" w:rsidRPr="008F4DF9" w:rsidRDefault="001404C4" w:rsidP="001404C4">
      <w:pPr>
        <w:pStyle w:val="NoSpacing"/>
        <w:ind w:left="0" w:firstLine="0"/>
        <w:rPr>
          <w:rFonts w:asciiTheme="minorHAnsi" w:eastAsia="Times New Roman" w:hAnsiTheme="minorHAnsi" w:cs="Arial"/>
          <w:bCs/>
          <w:i/>
          <w:sz w:val="20"/>
          <w:szCs w:val="20"/>
          <w:lang w:eastAsia="en-GB"/>
        </w:rPr>
      </w:pPr>
    </w:p>
    <w:tbl>
      <w:tblPr>
        <w:tblStyle w:val="TableGrid"/>
        <w:tblW w:w="9924" w:type="dxa"/>
        <w:tblInd w:w="-431" w:type="dxa"/>
        <w:tblLayout w:type="fixed"/>
        <w:tblCellMar>
          <w:top w:w="28" w:type="dxa"/>
          <w:left w:w="57" w:type="dxa"/>
          <w:bottom w:w="28" w:type="dxa"/>
          <w:right w:w="57" w:type="dxa"/>
        </w:tblCellMar>
        <w:tblLook w:val="04A0" w:firstRow="1" w:lastRow="0" w:firstColumn="1" w:lastColumn="0" w:noHBand="0" w:noVBand="1"/>
      </w:tblPr>
      <w:tblGrid>
        <w:gridCol w:w="2725"/>
        <w:gridCol w:w="1028"/>
        <w:gridCol w:w="1028"/>
        <w:gridCol w:w="1029"/>
        <w:gridCol w:w="1028"/>
        <w:gridCol w:w="1029"/>
        <w:gridCol w:w="1028"/>
        <w:gridCol w:w="1029"/>
      </w:tblGrid>
      <w:tr w:rsidR="001404C4" w:rsidRPr="008F4DF9" w14:paraId="1AE585C7" w14:textId="77777777" w:rsidTr="00F45CC2">
        <w:trPr>
          <w:tblHeader/>
        </w:trPr>
        <w:tc>
          <w:tcPr>
            <w:tcW w:w="2725" w:type="dxa"/>
            <w:tcBorders>
              <w:bottom w:val="nil"/>
            </w:tcBorders>
            <w:shd w:val="clear" w:color="auto" w:fill="D6E3BC" w:themeFill="accent3" w:themeFillTint="66"/>
            <w:vAlign w:val="center"/>
            <w:hideMark/>
          </w:tcPr>
          <w:p w14:paraId="4A0D719B"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Presupuesto de Ramsar para 2019</w:t>
            </w:r>
          </w:p>
          <w:p w14:paraId="00CC1610"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Aprobado por la reunión SC55</w:t>
            </w:r>
          </w:p>
        </w:tc>
        <w:tc>
          <w:tcPr>
            <w:tcW w:w="1028" w:type="dxa"/>
            <w:tcBorders>
              <w:bottom w:val="nil"/>
            </w:tcBorders>
            <w:shd w:val="clear" w:color="auto" w:fill="D6E3BC" w:themeFill="accent3" w:themeFillTint="66"/>
            <w:vAlign w:val="center"/>
            <w:hideMark/>
          </w:tcPr>
          <w:p w14:paraId="3077139E" w14:textId="77777777" w:rsidR="001404C4" w:rsidRPr="008F4DF9" w:rsidRDefault="001404C4" w:rsidP="00F45CC2">
            <w:pPr>
              <w:pStyle w:val="NoSpacing"/>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Presupuesto aprobado</w:t>
            </w:r>
          </w:p>
        </w:tc>
        <w:tc>
          <w:tcPr>
            <w:tcW w:w="1028" w:type="dxa"/>
            <w:tcBorders>
              <w:bottom w:val="nil"/>
            </w:tcBorders>
            <w:shd w:val="clear" w:color="auto" w:fill="D6E3BC" w:themeFill="accent3" w:themeFillTint="66"/>
            <w:vAlign w:val="center"/>
            <w:hideMark/>
          </w:tcPr>
          <w:p w14:paraId="633869E4" w14:textId="77777777" w:rsidR="001404C4" w:rsidRPr="008F4DF9" w:rsidRDefault="001404C4" w:rsidP="00F45CC2">
            <w:pPr>
              <w:pStyle w:val="NoSpacing"/>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Uso del excedente autorizado por la COP mediante la Res. XIII.2 (anual)</w:t>
            </w:r>
          </w:p>
        </w:tc>
        <w:tc>
          <w:tcPr>
            <w:tcW w:w="1029" w:type="dxa"/>
            <w:tcBorders>
              <w:bottom w:val="nil"/>
            </w:tcBorders>
            <w:shd w:val="clear" w:color="auto" w:fill="D6E3BC" w:themeFill="accent3" w:themeFillTint="66"/>
            <w:vAlign w:val="center"/>
            <w:hideMark/>
          </w:tcPr>
          <w:p w14:paraId="06433ED7" w14:textId="1DEB9CEB" w:rsidR="001404C4" w:rsidRPr="008F4DF9" w:rsidRDefault="001404C4" w:rsidP="00F45CC2">
            <w:pPr>
              <w:pStyle w:val="NoSpacing"/>
              <w:ind w:left="0" w:firstLine="0"/>
              <w:jc w:val="center"/>
              <w:rPr>
                <w:rFonts w:asciiTheme="minorHAnsi" w:eastAsia="Times New Roman" w:hAnsiTheme="minorHAnsi" w:cstheme="minorHAnsi"/>
                <w:b/>
                <w:bCs/>
                <w:sz w:val="13"/>
                <w:szCs w:val="13"/>
              </w:rPr>
            </w:pPr>
            <w:r w:rsidRPr="008F4DF9">
              <w:rPr>
                <w:rFonts w:asciiTheme="minorHAnsi" w:hAnsiTheme="minorHAnsi"/>
                <w:b/>
                <w:bCs/>
                <w:sz w:val="16"/>
                <w:szCs w:val="16"/>
              </w:rPr>
              <w:t>Saldos comprome</w:t>
            </w:r>
            <w:r w:rsidR="00652E0C" w:rsidRPr="008F4DF9">
              <w:rPr>
                <w:rFonts w:asciiTheme="minorHAnsi" w:hAnsiTheme="minorHAnsi"/>
                <w:b/>
                <w:bCs/>
                <w:sz w:val="16"/>
                <w:szCs w:val="16"/>
              </w:rPr>
              <w:softHyphen/>
            </w:r>
            <w:r w:rsidRPr="008F4DF9">
              <w:rPr>
                <w:rFonts w:asciiTheme="minorHAnsi" w:hAnsiTheme="minorHAnsi"/>
                <w:b/>
                <w:bCs/>
                <w:sz w:val="16"/>
                <w:szCs w:val="16"/>
              </w:rPr>
              <w:t>tidos y uso autorizado del excedente de 2018</w:t>
            </w:r>
          </w:p>
        </w:tc>
        <w:tc>
          <w:tcPr>
            <w:tcW w:w="1028" w:type="dxa"/>
            <w:tcBorders>
              <w:bottom w:val="nil"/>
            </w:tcBorders>
            <w:shd w:val="clear" w:color="auto" w:fill="D6E3BC" w:themeFill="accent3" w:themeFillTint="66"/>
            <w:vAlign w:val="center"/>
            <w:hideMark/>
          </w:tcPr>
          <w:p w14:paraId="5CCE6238" w14:textId="72EFAE39" w:rsidR="001404C4" w:rsidRPr="008F4DF9" w:rsidRDefault="001404C4" w:rsidP="00F45CC2">
            <w:pPr>
              <w:pStyle w:val="NoSpacing"/>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Reasignación presupues</w:t>
            </w:r>
            <w:r w:rsidR="00652E0C" w:rsidRPr="008F4DF9">
              <w:rPr>
                <w:rFonts w:asciiTheme="minorHAnsi" w:hAnsiTheme="minorHAnsi"/>
                <w:b/>
                <w:bCs/>
                <w:sz w:val="16"/>
                <w:szCs w:val="16"/>
              </w:rPr>
              <w:softHyphen/>
            </w:r>
            <w:r w:rsidRPr="008F4DF9">
              <w:rPr>
                <w:rFonts w:asciiTheme="minorHAnsi" w:hAnsiTheme="minorHAnsi"/>
                <w:b/>
                <w:bCs/>
                <w:sz w:val="16"/>
                <w:szCs w:val="16"/>
              </w:rPr>
              <w:t>taria en 2019</w:t>
            </w:r>
          </w:p>
        </w:tc>
        <w:tc>
          <w:tcPr>
            <w:tcW w:w="1029" w:type="dxa"/>
            <w:tcBorders>
              <w:bottom w:val="nil"/>
            </w:tcBorders>
            <w:shd w:val="clear" w:color="auto" w:fill="D6E3BC" w:themeFill="accent3" w:themeFillTint="66"/>
            <w:vAlign w:val="center"/>
            <w:hideMark/>
          </w:tcPr>
          <w:p w14:paraId="749AED4F" w14:textId="77777777" w:rsidR="001404C4" w:rsidRPr="008F4DF9" w:rsidRDefault="001404C4" w:rsidP="00F45CC2">
            <w:pPr>
              <w:pStyle w:val="NoSpacing"/>
              <w:ind w:left="0" w:firstLine="0"/>
              <w:jc w:val="center"/>
              <w:rPr>
                <w:rFonts w:asciiTheme="minorHAnsi" w:eastAsia="Times New Roman" w:hAnsiTheme="minorHAnsi" w:cstheme="minorHAnsi"/>
                <w:b/>
                <w:bCs/>
                <w:sz w:val="16"/>
                <w:szCs w:val="16"/>
              </w:rPr>
            </w:pPr>
            <w:r w:rsidRPr="008F4DF9">
              <w:rPr>
                <w:rFonts w:asciiTheme="minorHAnsi" w:hAnsiTheme="minorHAnsi"/>
                <w:b/>
                <w:bCs/>
                <w:sz w:val="16"/>
                <w:szCs w:val="16"/>
              </w:rPr>
              <w:t>Presupuesto total disponible</w:t>
            </w:r>
          </w:p>
        </w:tc>
        <w:tc>
          <w:tcPr>
            <w:tcW w:w="1028" w:type="dxa"/>
            <w:tcBorders>
              <w:bottom w:val="nil"/>
            </w:tcBorders>
            <w:shd w:val="clear" w:color="auto" w:fill="D6E3BC" w:themeFill="accent3" w:themeFillTint="66"/>
            <w:vAlign w:val="center"/>
            <w:hideMark/>
          </w:tcPr>
          <w:p w14:paraId="768EF046"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Ingresos y gastos reales</w:t>
            </w:r>
          </w:p>
        </w:tc>
        <w:tc>
          <w:tcPr>
            <w:tcW w:w="1029" w:type="dxa"/>
            <w:tcBorders>
              <w:bottom w:val="nil"/>
            </w:tcBorders>
            <w:shd w:val="clear" w:color="auto" w:fill="D6E3BC" w:themeFill="accent3" w:themeFillTint="66"/>
            <w:vAlign w:val="center"/>
            <w:hideMark/>
          </w:tcPr>
          <w:p w14:paraId="64A4A1F1"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Saldo</w:t>
            </w:r>
          </w:p>
        </w:tc>
      </w:tr>
      <w:tr w:rsidR="001404C4" w:rsidRPr="008F4DF9" w14:paraId="16D877D4" w14:textId="77777777" w:rsidTr="00F45CC2">
        <w:trPr>
          <w:tblHeader/>
        </w:trPr>
        <w:tc>
          <w:tcPr>
            <w:tcW w:w="2725" w:type="dxa"/>
            <w:tcBorders>
              <w:top w:val="nil"/>
            </w:tcBorders>
            <w:shd w:val="clear" w:color="auto" w:fill="D6E3BC" w:themeFill="accent3" w:themeFillTint="66"/>
            <w:hideMark/>
          </w:tcPr>
          <w:p w14:paraId="7249D3FE"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en miles de francos suizos</w:t>
            </w:r>
          </w:p>
        </w:tc>
        <w:tc>
          <w:tcPr>
            <w:tcW w:w="1028" w:type="dxa"/>
            <w:tcBorders>
              <w:top w:val="nil"/>
            </w:tcBorders>
            <w:shd w:val="clear" w:color="auto" w:fill="D6E3BC" w:themeFill="accent3" w:themeFillTint="66"/>
            <w:hideMark/>
          </w:tcPr>
          <w:p w14:paraId="1556BA07"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(A)</w:t>
            </w:r>
          </w:p>
        </w:tc>
        <w:tc>
          <w:tcPr>
            <w:tcW w:w="1028" w:type="dxa"/>
            <w:tcBorders>
              <w:top w:val="nil"/>
            </w:tcBorders>
            <w:shd w:val="clear" w:color="auto" w:fill="D6E3BC" w:themeFill="accent3" w:themeFillTint="66"/>
            <w:hideMark/>
          </w:tcPr>
          <w:p w14:paraId="3B2B50AC"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(B)</w:t>
            </w:r>
          </w:p>
        </w:tc>
        <w:tc>
          <w:tcPr>
            <w:tcW w:w="1029" w:type="dxa"/>
            <w:tcBorders>
              <w:top w:val="nil"/>
            </w:tcBorders>
            <w:shd w:val="clear" w:color="auto" w:fill="D6E3BC" w:themeFill="accent3" w:themeFillTint="66"/>
            <w:hideMark/>
          </w:tcPr>
          <w:p w14:paraId="07C29DD2"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(C)</w:t>
            </w:r>
          </w:p>
        </w:tc>
        <w:tc>
          <w:tcPr>
            <w:tcW w:w="1028" w:type="dxa"/>
            <w:tcBorders>
              <w:top w:val="nil"/>
            </w:tcBorders>
            <w:shd w:val="clear" w:color="auto" w:fill="D6E3BC" w:themeFill="accent3" w:themeFillTint="66"/>
            <w:hideMark/>
          </w:tcPr>
          <w:p w14:paraId="502D31C4"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(D)</w:t>
            </w:r>
          </w:p>
        </w:tc>
        <w:tc>
          <w:tcPr>
            <w:tcW w:w="1029" w:type="dxa"/>
            <w:tcBorders>
              <w:top w:val="nil"/>
            </w:tcBorders>
            <w:shd w:val="clear" w:color="auto" w:fill="D6E3BC" w:themeFill="accent3" w:themeFillTint="66"/>
            <w:hideMark/>
          </w:tcPr>
          <w:p w14:paraId="70DB1A0C"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(E)</w:t>
            </w:r>
            <w:r w:rsidRPr="008F4DF9">
              <w:rPr>
                <w:rFonts w:asciiTheme="minorHAnsi" w:hAnsiTheme="minorHAnsi"/>
                <w:b/>
                <w:bCs/>
                <w:sz w:val="18"/>
                <w:szCs w:val="18"/>
              </w:rPr>
              <w:br/>
              <w:t>=A+B+C+D</w:t>
            </w:r>
          </w:p>
        </w:tc>
        <w:tc>
          <w:tcPr>
            <w:tcW w:w="1028" w:type="dxa"/>
            <w:tcBorders>
              <w:top w:val="nil"/>
            </w:tcBorders>
            <w:shd w:val="clear" w:color="auto" w:fill="D6E3BC" w:themeFill="accent3" w:themeFillTint="66"/>
            <w:hideMark/>
          </w:tcPr>
          <w:p w14:paraId="20832324"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(F)</w:t>
            </w:r>
          </w:p>
        </w:tc>
        <w:tc>
          <w:tcPr>
            <w:tcW w:w="1029" w:type="dxa"/>
            <w:tcBorders>
              <w:top w:val="nil"/>
            </w:tcBorders>
            <w:shd w:val="clear" w:color="auto" w:fill="D6E3BC" w:themeFill="accent3" w:themeFillTint="66"/>
            <w:hideMark/>
          </w:tcPr>
          <w:p w14:paraId="61E7DB64" w14:textId="77777777" w:rsidR="001404C4" w:rsidRPr="008F4DF9" w:rsidRDefault="001404C4" w:rsidP="00F45CC2">
            <w:pPr>
              <w:pStyle w:val="NoSpacing"/>
              <w:ind w:left="0" w:firstLine="0"/>
              <w:jc w:val="center"/>
              <w:rPr>
                <w:rFonts w:asciiTheme="minorHAnsi" w:eastAsia="Times New Roman" w:hAnsiTheme="minorHAnsi" w:cstheme="minorHAnsi"/>
                <w:b/>
                <w:bCs/>
                <w:sz w:val="18"/>
                <w:szCs w:val="18"/>
              </w:rPr>
            </w:pPr>
            <w:r w:rsidRPr="008F4DF9">
              <w:rPr>
                <w:rFonts w:asciiTheme="minorHAnsi" w:hAnsiTheme="minorHAnsi"/>
                <w:b/>
                <w:bCs/>
                <w:sz w:val="18"/>
                <w:szCs w:val="18"/>
              </w:rPr>
              <w:t>(G)</w:t>
            </w:r>
            <w:r w:rsidRPr="008F4DF9">
              <w:rPr>
                <w:rFonts w:asciiTheme="minorHAnsi" w:hAnsiTheme="minorHAnsi"/>
                <w:b/>
                <w:bCs/>
                <w:sz w:val="18"/>
                <w:szCs w:val="18"/>
              </w:rPr>
              <w:br/>
              <w:t>=(E)-(F)</w:t>
            </w:r>
          </w:p>
        </w:tc>
      </w:tr>
      <w:tr w:rsidR="001404C4" w:rsidRPr="008F4DF9" w14:paraId="12E62D15" w14:textId="77777777" w:rsidTr="00F45CC2">
        <w:tc>
          <w:tcPr>
            <w:tcW w:w="2725" w:type="dxa"/>
            <w:noWrap/>
            <w:hideMark/>
          </w:tcPr>
          <w:p w14:paraId="0979B418"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p w14:paraId="1CFEB96A" w14:textId="77777777" w:rsidR="001404C4" w:rsidRPr="008F4DF9" w:rsidRDefault="001404C4" w:rsidP="00F45CC2">
            <w:pPr>
              <w:pStyle w:val="NoSpacing"/>
              <w:ind w:left="0" w:firstLine="0"/>
              <w:rPr>
                <w:rFonts w:asciiTheme="minorHAnsi" w:eastAsia="Times New Roman" w:hAnsiTheme="minorHAnsi" w:cstheme="minorHAnsi"/>
                <w:b/>
                <w:bCs/>
                <w:sz w:val="18"/>
                <w:szCs w:val="18"/>
              </w:rPr>
            </w:pPr>
            <w:r w:rsidRPr="008F4DF9">
              <w:rPr>
                <w:rFonts w:asciiTheme="minorHAnsi" w:hAnsiTheme="minorHAnsi"/>
                <w:b/>
                <w:bCs/>
                <w:sz w:val="18"/>
                <w:szCs w:val="18"/>
              </w:rPr>
              <w:t>INGRESOS</w:t>
            </w:r>
          </w:p>
        </w:tc>
        <w:tc>
          <w:tcPr>
            <w:tcW w:w="1028" w:type="dxa"/>
            <w:hideMark/>
          </w:tcPr>
          <w:p w14:paraId="731BCFED"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14:paraId="0D04AEB0"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noWrap/>
            <w:hideMark/>
          </w:tcPr>
          <w:p w14:paraId="07AE4585" w14:textId="77777777" w:rsidR="001404C4" w:rsidRPr="008F4DF9" w:rsidRDefault="001404C4" w:rsidP="00F45CC2">
            <w:pPr>
              <w:pStyle w:val="NoSpacing"/>
              <w:ind w:left="0" w:firstLine="0"/>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hideMark/>
          </w:tcPr>
          <w:p w14:paraId="43ADBFE8"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14:paraId="7BA7F0C8"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14:paraId="74CD3020"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14:paraId="7EBC250C"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tc>
      </w:tr>
      <w:tr w:rsidR="001404C4" w:rsidRPr="008F4DF9" w14:paraId="490D6166" w14:textId="77777777" w:rsidTr="00F45CC2">
        <w:tc>
          <w:tcPr>
            <w:tcW w:w="2725" w:type="dxa"/>
            <w:noWrap/>
            <w:hideMark/>
          </w:tcPr>
          <w:p w14:paraId="235C2B83"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Contribuciones de las Partes</w:t>
            </w:r>
          </w:p>
        </w:tc>
        <w:tc>
          <w:tcPr>
            <w:tcW w:w="1028" w:type="dxa"/>
            <w:noWrap/>
            <w:hideMark/>
          </w:tcPr>
          <w:p w14:paraId="21FE12DD" w14:textId="6C5E42A4"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r w:rsidR="00652E0C" w:rsidRPr="008F4DF9">
              <w:rPr>
                <w:rFonts w:asciiTheme="minorHAnsi" w:hAnsiTheme="minorHAnsi"/>
                <w:bCs/>
                <w:sz w:val="18"/>
                <w:szCs w:val="18"/>
              </w:rPr>
              <w:t> </w:t>
            </w:r>
            <w:r w:rsidRPr="008F4DF9">
              <w:rPr>
                <w:rFonts w:asciiTheme="minorHAnsi" w:hAnsiTheme="minorHAnsi"/>
                <w:bCs/>
                <w:sz w:val="18"/>
                <w:szCs w:val="18"/>
              </w:rPr>
              <w:t>779</w:t>
            </w:r>
          </w:p>
        </w:tc>
        <w:tc>
          <w:tcPr>
            <w:tcW w:w="1028" w:type="dxa"/>
            <w:noWrap/>
            <w:hideMark/>
          </w:tcPr>
          <w:p w14:paraId="2B266CB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C24BC4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8580B4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4B52C4F" w14:textId="747EF8EC"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r w:rsidR="00652E0C" w:rsidRPr="008F4DF9">
              <w:rPr>
                <w:rFonts w:asciiTheme="minorHAnsi" w:hAnsiTheme="minorHAnsi"/>
                <w:bCs/>
                <w:sz w:val="18"/>
                <w:szCs w:val="18"/>
              </w:rPr>
              <w:t> </w:t>
            </w:r>
            <w:r w:rsidRPr="008F4DF9">
              <w:rPr>
                <w:rFonts w:asciiTheme="minorHAnsi" w:hAnsiTheme="minorHAnsi"/>
                <w:bCs/>
                <w:sz w:val="18"/>
                <w:szCs w:val="18"/>
              </w:rPr>
              <w:t>779</w:t>
            </w:r>
          </w:p>
        </w:tc>
        <w:tc>
          <w:tcPr>
            <w:tcW w:w="1028" w:type="dxa"/>
            <w:noWrap/>
            <w:hideMark/>
          </w:tcPr>
          <w:p w14:paraId="4571AF29" w14:textId="65F1CE9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r w:rsidR="00652E0C" w:rsidRPr="008F4DF9">
              <w:rPr>
                <w:rFonts w:asciiTheme="minorHAnsi" w:hAnsiTheme="minorHAnsi"/>
                <w:bCs/>
                <w:sz w:val="18"/>
                <w:szCs w:val="18"/>
              </w:rPr>
              <w:t> </w:t>
            </w:r>
            <w:r w:rsidRPr="008F4DF9">
              <w:rPr>
                <w:rFonts w:asciiTheme="minorHAnsi" w:hAnsiTheme="minorHAnsi"/>
                <w:bCs/>
                <w:sz w:val="18"/>
                <w:szCs w:val="18"/>
              </w:rPr>
              <w:t>779</w:t>
            </w:r>
          </w:p>
        </w:tc>
        <w:tc>
          <w:tcPr>
            <w:tcW w:w="1029" w:type="dxa"/>
            <w:noWrap/>
            <w:hideMark/>
          </w:tcPr>
          <w:p w14:paraId="3559974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042D3F68" w14:textId="77777777" w:rsidTr="00F45CC2">
        <w:tc>
          <w:tcPr>
            <w:tcW w:w="2725" w:type="dxa"/>
            <w:noWrap/>
            <w:hideMark/>
          </w:tcPr>
          <w:p w14:paraId="215E616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Contribuciones voluntarias</w:t>
            </w:r>
          </w:p>
        </w:tc>
        <w:tc>
          <w:tcPr>
            <w:tcW w:w="1028" w:type="dxa"/>
            <w:noWrap/>
            <w:hideMark/>
          </w:tcPr>
          <w:p w14:paraId="3CCB2347" w14:textId="7D4E2BE0"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065</w:t>
            </w:r>
          </w:p>
        </w:tc>
        <w:tc>
          <w:tcPr>
            <w:tcW w:w="1028" w:type="dxa"/>
            <w:noWrap/>
            <w:hideMark/>
          </w:tcPr>
          <w:p w14:paraId="58152E7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FA5472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42A68F0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ACA2224" w14:textId="1164D2EF"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065</w:t>
            </w:r>
          </w:p>
        </w:tc>
        <w:tc>
          <w:tcPr>
            <w:tcW w:w="1028" w:type="dxa"/>
            <w:noWrap/>
            <w:hideMark/>
          </w:tcPr>
          <w:p w14:paraId="078C78B4" w14:textId="73DF5903"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066</w:t>
            </w:r>
          </w:p>
        </w:tc>
        <w:tc>
          <w:tcPr>
            <w:tcW w:w="1029" w:type="dxa"/>
            <w:noWrap/>
            <w:hideMark/>
          </w:tcPr>
          <w:p w14:paraId="32FF38A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p>
        </w:tc>
      </w:tr>
      <w:tr w:rsidR="001404C4" w:rsidRPr="008F4DF9" w14:paraId="35D3A364" w14:textId="77777777" w:rsidTr="00F45CC2">
        <w:tc>
          <w:tcPr>
            <w:tcW w:w="2725" w:type="dxa"/>
            <w:noWrap/>
            <w:hideMark/>
          </w:tcPr>
          <w:p w14:paraId="56E61900"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Impuesto sobre la renta</w:t>
            </w:r>
          </w:p>
        </w:tc>
        <w:tc>
          <w:tcPr>
            <w:tcW w:w="1028" w:type="dxa"/>
            <w:noWrap/>
            <w:hideMark/>
          </w:tcPr>
          <w:p w14:paraId="5459F2E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225</w:t>
            </w:r>
          </w:p>
        </w:tc>
        <w:tc>
          <w:tcPr>
            <w:tcW w:w="1028" w:type="dxa"/>
            <w:noWrap/>
            <w:hideMark/>
          </w:tcPr>
          <w:p w14:paraId="19C7B8C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E0924C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5FD4C8B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1263B2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225</w:t>
            </w:r>
          </w:p>
        </w:tc>
        <w:tc>
          <w:tcPr>
            <w:tcW w:w="1028" w:type="dxa"/>
            <w:noWrap/>
            <w:hideMark/>
          </w:tcPr>
          <w:p w14:paraId="32B812F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202</w:t>
            </w:r>
          </w:p>
        </w:tc>
        <w:tc>
          <w:tcPr>
            <w:tcW w:w="1029" w:type="dxa"/>
            <w:noWrap/>
            <w:hideMark/>
          </w:tcPr>
          <w:p w14:paraId="5ABD939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23</w:t>
            </w:r>
          </w:p>
        </w:tc>
      </w:tr>
      <w:tr w:rsidR="001404C4" w:rsidRPr="008F4DF9" w14:paraId="1A222064" w14:textId="77777777" w:rsidTr="00F45CC2">
        <w:tc>
          <w:tcPr>
            <w:tcW w:w="2725" w:type="dxa"/>
            <w:noWrap/>
            <w:hideMark/>
          </w:tcPr>
          <w:p w14:paraId="133016D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Otros ingresos (incluyendo ingresos por intereses)</w:t>
            </w:r>
          </w:p>
        </w:tc>
        <w:tc>
          <w:tcPr>
            <w:tcW w:w="1028" w:type="dxa"/>
            <w:noWrap/>
            <w:hideMark/>
          </w:tcPr>
          <w:p w14:paraId="36E8CB9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8" w:type="dxa"/>
            <w:noWrap/>
            <w:hideMark/>
          </w:tcPr>
          <w:p w14:paraId="1BD7FE8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84C7F9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9C7E26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44570B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8" w:type="dxa"/>
            <w:noWrap/>
            <w:hideMark/>
          </w:tcPr>
          <w:p w14:paraId="3703155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c>
          <w:tcPr>
            <w:tcW w:w="1029" w:type="dxa"/>
            <w:noWrap/>
            <w:hideMark/>
          </w:tcPr>
          <w:p w14:paraId="0C57AA0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p>
        </w:tc>
      </w:tr>
      <w:tr w:rsidR="001404C4" w:rsidRPr="008F4DF9" w14:paraId="216409A9" w14:textId="77777777" w:rsidTr="00F45CC2">
        <w:tc>
          <w:tcPr>
            <w:tcW w:w="2725" w:type="dxa"/>
            <w:shd w:val="clear" w:color="auto" w:fill="D6E3BC" w:themeFill="accent3" w:themeFillTint="66"/>
            <w:noWrap/>
            <w:hideMark/>
          </w:tcPr>
          <w:p w14:paraId="2A415400" w14:textId="75AC7454" w:rsidR="001404C4" w:rsidRPr="008F4DF9" w:rsidRDefault="009154DA" w:rsidP="00F45CC2">
            <w:pPr>
              <w:pStyle w:val="NoSpacing"/>
              <w:ind w:left="0" w:firstLine="0"/>
              <w:rPr>
                <w:rFonts w:asciiTheme="minorHAnsi" w:eastAsia="Times New Roman" w:hAnsiTheme="minorHAnsi" w:cstheme="minorHAnsi"/>
                <w:b/>
                <w:bCs/>
                <w:sz w:val="18"/>
                <w:szCs w:val="18"/>
              </w:rPr>
            </w:pPr>
            <w:r>
              <w:rPr>
                <w:rFonts w:asciiTheme="minorHAnsi" w:hAnsiTheme="minorHAnsi"/>
                <w:b/>
                <w:bCs/>
                <w:sz w:val="18"/>
                <w:szCs w:val="18"/>
              </w:rPr>
              <w:t>TOTAL,</w:t>
            </w:r>
            <w:r w:rsidR="001404C4" w:rsidRPr="008F4DF9">
              <w:rPr>
                <w:rFonts w:asciiTheme="minorHAnsi" w:hAnsiTheme="minorHAnsi"/>
                <w:b/>
                <w:bCs/>
                <w:sz w:val="18"/>
                <w:szCs w:val="18"/>
              </w:rPr>
              <w:t xml:space="preserve"> INGRESOS</w:t>
            </w:r>
          </w:p>
        </w:tc>
        <w:tc>
          <w:tcPr>
            <w:tcW w:w="1028" w:type="dxa"/>
            <w:shd w:val="clear" w:color="auto" w:fill="D6E3BC" w:themeFill="accent3" w:themeFillTint="66"/>
            <w:noWrap/>
            <w:hideMark/>
          </w:tcPr>
          <w:p w14:paraId="27405C44" w14:textId="34C28F8C"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5</w:t>
            </w:r>
            <w:r w:rsidR="00652E0C" w:rsidRPr="008F4DF9">
              <w:rPr>
                <w:rFonts w:asciiTheme="minorHAnsi" w:hAnsiTheme="minorHAnsi"/>
                <w:b/>
                <w:bCs/>
                <w:sz w:val="18"/>
                <w:szCs w:val="18"/>
              </w:rPr>
              <w:t> </w:t>
            </w:r>
            <w:r w:rsidRPr="008F4DF9">
              <w:rPr>
                <w:rFonts w:asciiTheme="minorHAnsi" w:hAnsiTheme="minorHAnsi"/>
                <w:b/>
                <w:bCs/>
                <w:sz w:val="18"/>
                <w:szCs w:val="18"/>
              </w:rPr>
              <w:t>081</w:t>
            </w:r>
          </w:p>
        </w:tc>
        <w:tc>
          <w:tcPr>
            <w:tcW w:w="1028" w:type="dxa"/>
            <w:shd w:val="clear" w:color="auto" w:fill="D6E3BC" w:themeFill="accent3" w:themeFillTint="66"/>
            <w:noWrap/>
            <w:hideMark/>
          </w:tcPr>
          <w:p w14:paraId="6B20757E"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0</w:t>
            </w:r>
          </w:p>
        </w:tc>
        <w:tc>
          <w:tcPr>
            <w:tcW w:w="1029" w:type="dxa"/>
            <w:shd w:val="clear" w:color="auto" w:fill="D6E3BC" w:themeFill="accent3" w:themeFillTint="66"/>
            <w:noWrap/>
            <w:hideMark/>
          </w:tcPr>
          <w:p w14:paraId="574845FA"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0</w:t>
            </w:r>
          </w:p>
        </w:tc>
        <w:tc>
          <w:tcPr>
            <w:tcW w:w="1028" w:type="dxa"/>
            <w:shd w:val="clear" w:color="auto" w:fill="D6E3BC" w:themeFill="accent3" w:themeFillTint="66"/>
            <w:noWrap/>
            <w:hideMark/>
          </w:tcPr>
          <w:p w14:paraId="0AB1748B"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0</w:t>
            </w:r>
          </w:p>
        </w:tc>
        <w:tc>
          <w:tcPr>
            <w:tcW w:w="1029" w:type="dxa"/>
            <w:shd w:val="clear" w:color="auto" w:fill="D6E3BC" w:themeFill="accent3" w:themeFillTint="66"/>
            <w:noWrap/>
            <w:hideMark/>
          </w:tcPr>
          <w:p w14:paraId="54D0C17A" w14:textId="3C7898A0"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5</w:t>
            </w:r>
            <w:r w:rsidR="00652E0C" w:rsidRPr="008F4DF9">
              <w:rPr>
                <w:rFonts w:asciiTheme="minorHAnsi" w:hAnsiTheme="minorHAnsi"/>
                <w:b/>
                <w:bCs/>
                <w:sz w:val="18"/>
                <w:szCs w:val="18"/>
              </w:rPr>
              <w:t> </w:t>
            </w:r>
            <w:r w:rsidRPr="008F4DF9">
              <w:rPr>
                <w:rFonts w:asciiTheme="minorHAnsi" w:hAnsiTheme="minorHAnsi"/>
                <w:b/>
                <w:bCs/>
                <w:sz w:val="18"/>
                <w:szCs w:val="18"/>
              </w:rPr>
              <w:t>081</w:t>
            </w:r>
          </w:p>
        </w:tc>
        <w:tc>
          <w:tcPr>
            <w:tcW w:w="1028" w:type="dxa"/>
            <w:shd w:val="clear" w:color="auto" w:fill="D6E3BC" w:themeFill="accent3" w:themeFillTint="66"/>
            <w:noWrap/>
            <w:hideMark/>
          </w:tcPr>
          <w:p w14:paraId="679B3C03" w14:textId="56595C1B"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5</w:t>
            </w:r>
            <w:r w:rsidR="00652E0C" w:rsidRPr="008F4DF9">
              <w:rPr>
                <w:rFonts w:asciiTheme="minorHAnsi" w:hAnsiTheme="minorHAnsi"/>
                <w:b/>
                <w:bCs/>
                <w:sz w:val="18"/>
                <w:szCs w:val="18"/>
              </w:rPr>
              <w:t> </w:t>
            </w:r>
            <w:r w:rsidRPr="008F4DF9">
              <w:rPr>
                <w:rFonts w:asciiTheme="minorHAnsi" w:hAnsiTheme="minorHAnsi"/>
                <w:b/>
                <w:bCs/>
                <w:sz w:val="18"/>
                <w:szCs w:val="18"/>
              </w:rPr>
              <w:t>062</w:t>
            </w:r>
          </w:p>
        </w:tc>
        <w:tc>
          <w:tcPr>
            <w:tcW w:w="1029" w:type="dxa"/>
            <w:shd w:val="clear" w:color="auto" w:fill="D6E3BC" w:themeFill="accent3" w:themeFillTint="66"/>
            <w:noWrap/>
            <w:hideMark/>
          </w:tcPr>
          <w:p w14:paraId="495A1EFF"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19</w:t>
            </w:r>
          </w:p>
        </w:tc>
      </w:tr>
      <w:tr w:rsidR="001404C4" w:rsidRPr="008F4DF9" w14:paraId="3519FEA9" w14:textId="77777777" w:rsidTr="00F45CC2">
        <w:tc>
          <w:tcPr>
            <w:tcW w:w="2725" w:type="dxa"/>
            <w:noWrap/>
            <w:hideMark/>
          </w:tcPr>
          <w:p w14:paraId="15D356E3" w14:textId="77777777" w:rsidR="001404C4" w:rsidRPr="008F4DF9" w:rsidRDefault="001404C4" w:rsidP="00F45CC2">
            <w:pPr>
              <w:pStyle w:val="NoSpacing"/>
              <w:ind w:left="0" w:firstLine="0"/>
              <w:rPr>
                <w:rFonts w:asciiTheme="minorHAnsi" w:eastAsia="Times New Roman" w:hAnsiTheme="minorHAnsi" w:cstheme="minorHAnsi"/>
                <w:b/>
                <w:bCs/>
                <w:sz w:val="18"/>
                <w:szCs w:val="18"/>
                <w:lang w:eastAsia="en-GB"/>
              </w:rPr>
            </w:pPr>
          </w:p>
          <w:p w14:paraId="67B908AC" w14:textId="77777777" w:rsidR="001404C4" w:rsidRPr="008F4DF9" w:rsidRDefault="001404C4" w:rsidP="00F45CC2">
            <w:pPr>
              <w:pStyle w:val="NoSpacing"/>
              <w:ind w:left="0" w:firstLine="0"/>
              <w:rPr>
                <w:rFonts w:asciiTheme="minorHAnsi" w:eastAsia="Times New Roman" w:hAnsiTheme="minorHAnsi" w:cstheme="minorHAnsi"/>
                <w:b/>
                <w:bCs/>
                <w:sz w:val="18"/>
                <w:szCs w:val="18"/>
              </w:rPr>
            </w:pPr>
            <w:r w:rsidRPr="008F4DF9">
              <w:rPr>
                <w:rFonts w:asciiTheme="minorHAnsi" w:hAnsiTheme="minorHAnsi"/>
                <w:b/>
                <w:bCs/>
                <w:sz w:val="18"/>
                <w:szCs w:val="18"/>
              </w:rPr>
              <w:t>GASTOS</w:t>
            </w:r>
          </w:p>
        </w:tc>
        <w:tc>
          <w:tcPr>
            <w:tcW w:w="1028" w:type="dxa"/>
            <w:hideMark/>
          </w:tcPr>
          <w:p w14:paraId="408E8FE4"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14:paraId="3832FCC3"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noWrap/>
            <w:hideMark/>
          </w:tcPr>
          <w:p w14:paraId="1717A400"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hideMark/>
          </w:tcPr>
          <w:p w14:paraId="00FB61B4"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14:paraId="46DFF7BA"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14:paraId="192F8366"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14:paraId="4ED0A36A"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lang w:eastAsia="en-GB"/>
              </w:rPr>
            </w:pPr>
          </w:p>
        </w:tc>
      </w:tr>
      <w:tr w:rsidR="001404C4" w:rsidRPr="008F4DF9" w14:paraId="737F9B11" w14:textId="77777777" w:rsidTr="00F45CC2">
        <w:tc>
          <w:tcPr>
            <w:tcW w:w="2725" w:type="dxa"/>
            <w:shd w:val="clear" w:color="auto" w:fill="EAF1DD" w:themeFill="accent3" w:themeFillTint="33"/>
            <w:noWrap/>
            <w:hideMark/>
          </w:tcPr>
          <w:p w14:paraId="414B7B7A"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 Personal directivo de la Secretaría</w:t>
            </w:r>
          </w:p>
        </w:tc>
        <w:tc>
          <w:tcPr>
            <w:tcW w:w="1028" w:type="dxa"/>
            <w:shd w:val="clear" w:color="auto" w:fill="EAF1DD" w:themeFill="accent3" w:themeFillTint="33"/>
            <w:noWrap/>
            <w:hideMark/>
          </w:tcPr>
          <w:p w14:paraId="07CCC83F" w14:textId="5B2E210B"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009</w:t>
            </w:r>
          </w:p>
        </w:tc>
        <w:tc>
          <w:tcPr>
            <w:tcW w:w="1028" w:type="dxa"/>
            <w:shd w:val="clear" w:color="auto" w:fill="EAF1DD" w:themeFill="accent3" w:themeFillTint="33"/>
            <w:noWrap/>
            <w:hideMark/>
          </w:tcPr>
          <w:p w14:paraId="562AD2F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9" w:type="dxa"/>
            <w:shd w:val="clear" w:color="auto" w:fill="EAF1DD" w:themeFill="accent3" w:themeFillTint="33"/>
            <w:noWrap/>
            <w:hideMark/>
          </w:tcPr>
          <w:p w14:paraId="43EBD21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shd w:val="clear" w:color="auto" w:fill="EAF1DD" w:themeFill="accent3" w:themeFillTint="33"/>
            <w:noWrap/>
            <w:hideMark/>
          </w:tcPr>
          <w:p w14:paraId="48E7114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638E7342" w14:textId="5EF08099"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014</w:t>
            </w:r>
          </w:p>
        </w:tc>
        <w:tc>
          <w:tcPr>
            <w:tcW w:w="1028" w:type="dxa"/>
            <w:shd w:val="clear" w:color="auto" w:fill="EAF1DD" w:themeFill="accent3" w:themeFillTint="33"/>
            <w:noWrap/>
            <w:hideMark/>
          </w:tcPr>
          <w:p w14:paraId="6AE89A1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888</w:t>
            </w:r>
          </w:p>
        </w:tc>
        <w:tc>
          <w:tcPr>
            <w:tcW w:w="1029" w:type="dxa"/>
            <w:shd w:val="clear" w:color="auto" w:fill="EAF1DD" w:themeFill="accent3" w:themeFillTint="33"/>
            <w:noWrap/>
            <w:hideMark/>
          </w:tcPr>
          <w:p w14:paraId="786C72D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126</w:t>
            </w:r>
          </w:p>
        </w:tc>
      </w:tr>
      <w:tr w:rsidR="001404C4" w:rsidRPr="008F4DF9" w14:paraId="4205D705" w14:textId="77777777" w:rsidTr="00F45CC2">
        <w:tc>
          <w:tcPr>
            <w:tcW w:w="2725" w:type="dxa"/>
            <w:noWrap/>
            <w:hideMark/>
          </w:tcPr>
          <w:p w14:paraId="016CD51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Salarios y gastos sociales</w:t>
            </w:r>
          </w:p>
        </w:tc>
        <w:tc>
          <w:tcPr>
            <w:tcW w:w="1028" w:type="dxa"/>
            <w:noWrap/>
            <w:hideMark/>
          </w:tcPr>
          <w:p w14:paraId="473774D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918</w:t>
            </w:r>
          </w:p>
        </w:tc>
        <w:tc>
          <w:tcPr>
            <w:tcW w:w="1028" w:type="dxa"/>
            <w:noWrap/>
            <w:hideMark/>
          </w:tcPr>
          <w:p w14:paraId="358A8A1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EE070D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354E15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A54764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918</w:t>
            </w:r>
          </w:p>
        </w:tc>
        <w:tc>
          <w:tcPr>
            <w:tcW w:w="1028" w:type="dxa"/>
            <w:noWrap/>
            <w:hideMark/>
          </w:tcPr>
          <w:p w14:paraId="654B69A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847</w:t>
            </w:r>
          </w:p>
        </w:tc>
        <w:tc>
          <w:tcPr>
            <w:tcW w:w="1029" w:type="dxa"/>
            <w:noWrap/>
            <w:hideMark/>
          </w:tcPr>
          <w:p w14:paraId="1921D57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71</w:t>
            </w:r>
          </w:p>
        </w:tc>
      </w:tr>
      <w:tr w:rsidR="001404C4" w:rsidRPr="008F4DF9" w14:paraId="1229C9A4" w14:textId="77777777" w:rsidTr="00F45CC2">
        <w:tc>
          <w:tcPr>
            <w:tcW w:w="2725" w:type="dxa"/>
            <w:noWrap/>
            <w:hideMark/>
          </w:tcPr>
          <w:p w14:paraId="7516B088"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Otras prestaciones laborales</w:t>
            </w:r>
          </w:p>
        </w:tc>
        <w:tc>
          <w:tcPr>
            <w:tcW w:w="1028" w:type="dxa"/>
            <w:noWrap/>
            <w:hideMark/>
          </w:tcPr>
          <w:p w14:paraId="027F49D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51</w:t>
            </w:r>
          </w:p>
        </w:tc>
        <w:tc>
          <w:tcPr>
            <w:tcW w:w="1028" w:type="dxa"/>
            <w:noWrap/>
            <w:hideMark/>
          </w:tcPr>
          <w:p w14:paraId="683FACD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DD7A79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05459F7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B02FD2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51</w:t>
            </w:r>
          </w:p>
        </w:tc>
        <w:tc>
          <w:tcPr>
            <w:tcW w:w="1028" w:type="dxa"/>
            <w:noWrap/>
            <w:hideMark/>
          </w:tcPr>
          <w:p w14:paraId="1CB7B7F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c>
          <w:tcPr>
            <w:tcW w:w="1029" w:type="dxa"/>
            <w:noWrap/>
            <w:hideMark/>
          </w:tcPr>
          <w:p w14:paraId="4F19219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36</w:t>
            </w:r>
          </w:p>
        </w:tc>
      </w:tr>
      <w:tr w:rsidR="001404C4" w:rsidRPr="008F4DF9" w14:paraId="491ED5FE" w14:textId="77777777" w:rsidTr="00F45CC2">
        <w:tc>
          <w:tcPr>
            <w:tcW w:w="2725" w:type="dxa"/>
            <w:noWrap/>
            <w:hideMark/>
          </w:tcPr>
          <w:p w14:paraId="682945C2"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w:t>
            </w:r>
          </w:p>
        </w:tc>
        <w:tc>
          <w:tcPr>
            <w:tcW w:w="1028" w:type="dxa"/>
            <w:noWrap/>
            <w:hideMark/>
          </w:tcPr>
          <w:p w14:paraId="126611A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40</w:t>
            </w:r>
          </w:p>
        </w:tc>
        <w:tc>
          <w:tcPr>
            <w:tcW w:w="1028" w:type="dxa"/>
            <w:noWrap/>
            <w:hideMark/>
          </w:tcPr>
          <w:p w14:paraId="70BEDB0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9" w:type="dxa"/>
            <w:noWrap/>
            <w:hideMark/>
          </w:tcPr>
          <w:p w14:paraId="64E656D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739E5D2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D67B1D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8" w:type="dxa"/>
            <w:noWrap/>
            <w:hideMark/>
          </w:tcPr>
          <w:p w14:paraId="2E1DC8C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27</w:t>
            </w:r>
          </w:p>
        </w:tc>
        <w:tc>
          <w:tcPr>
            <w:tcW w:w="1029" w:type="dxa"/>
            <w:noWrap/>
            <w:hideMark/>
          </w:tcPr>
          <w:p w14:paraId="47ACBEC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18</w:t>
            </w:r>
          </w:p>
        </w:tc>
      </w:tr>
      <w:tr w:rsidR="001404C4" w:rsidRPr="008F4DF9" w14:paraId="7EC9D285" w14:textId="77777777" w:rsidTr="00F45CC2">
        <w:tc>
          <w:tcPr>
            <w:tcW w:w="2725" w:type="dxa"/>
            <w:shd w:val="clear" w:color="auto" w:fill="EAF1DD" w:themeFill="accent3" w:themeFillTint="33"/>
            <w:noWrap/>
            <w:hideMark/>
          </w:tcPr>
          <w:p w14:paraId="3F044FFC"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B. Movilización de recursos y promoción</w:t>
            </w:r>
          </w:p>
        </w:tc>
        <w:tc>
          <w:tcPr>
            <w:tcW w:w="1028" w:type="dxa"/>
            <w:shd w:val="clear" w:color="auto" w:fill="EAF1DD" w:themeFill="accent3" w:themeFillTint="33"/>
            <w:noWrap/>
            <w:hideMark/>
          </w:tcPr>
          <w:p w14:paraId="237D40C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639</w:t>
            </w:r>
          </w:p>
        </w:tc>
        <w:tc>
          <w:tcPr>
            <w:tcW w:w="1028" w:type="dxa"/>
            <w:shd w:val="clear" w:color="auto" w:fill="EAF1DD" w:themeFill="accent3" w:themeFillTint="33"/>
            <w:noWrap/>
            <w:hideMark/>
          </w:tcPr>
          <w:p w14:paraId="172BD28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9" w:type="dxa"/>
            <w:shd w:val="clear" w:color="auto" w:fill="EAF1DD" w:themeFill="accent3" w:themeFillTint="33"/>
            <w:noWrap/>
            <w:hideMark/>
          </w:tcPr>
          <w:p w14:paraId="0738B85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8" w:type="dxa"/>
            <w:shd w:val="clear" w:color="auto" w:fill="EAF1DD" w:themeFill="accent3" w:themeFillTint="33"/>
            <w:noWrap/>
            <w:hideMark/>
          </w:tcPr>
          <w:p w14:paraId="2604FB5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282BC7C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729</w:t>
            </w:r>
          </w:p>
        </w:tc>
        <w:tc>
          <w:tcPr>
            <w:tcW w:w="1028" w:type="dxa"/>
            <w:shd w:val="clear" w:color="auto" w:fill="EAF1DD" w:themeFill="accent3" w:themeFillTint="33"/>
            <w:noWrap/>
            <w:hideMark/>
          </w:tcPr>
          <w:p w14:paraId="329BB81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380</w:t>
            </w:r>
          </w:p>
        </w:tc>
        <w:tc>
          <w:tcPr>
            <w:tcW w:w="1029" w:type="dxa"/>
            <w:shd w:val="clear" w:color="auto" w:fill="EAF1DD" w:themeFill="accent3" w:themeFillTint="33"/>
            <w:noWrap/>
            <w:hideMark/>
          </w:tcPr>
          <w:p w14:paraId="1AF331C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349</w:t>
            </w:r>
          </w:p>
        </w:tc>
      </w:tr>
      <w:tr w:rsidR="001404C4" w:rsidRPr="008F4DF9" w14:paraId="3CBC3A5E" w14:textId="77777777" w:rsidTr="00F45CC2">
        <w:tc>
          <w:tcPr>
            <w:tcW w:w="2725" w:type="dxa"/>
            <w:noWrap/>
            <w:hideMark/>
          </w:tcPr>
          <w:p w14:paraId="1F9E24BD"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Salarios y gastos sociales</w:t>
            </w:r>
          </w:p>
        </w:tc>
        <w:tc>
          <w:tcPr>
            <w:tcW w:w="1028" w:type="dxa"/>
            <w:noWrap/>
            <w:hideMark/>
          </w:tcPr>
          <w:p w14:paraId="10F43A3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450</w:t>
            </w:r>
          </w:p>
        </w:tc>
        <w:tc>
          <w:tcPr>
            <w:tcW w:w="1028" w:type="dxa"/>
            <w:noWrap/>
            <w:hideMark/>
          </w:tcPr>
          <w:p w14:paraId="0469CB0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99EF28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11CC2D1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0E9CC3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450</w:t>
            </w:r>
          </w:p>
        </w:tc>
        <w:tc>
          <w:tcPr>
            <w:tcW w:w="1028" w:type="dxa"/>
            <w:noWrap/>
            <w:hideMark/>
          </w:tcPr>
          <w:p w14:paraId="044BB75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266</w:t>
            </w:r>
          </w:p>
        </w:tc>
        <w:tc>
          <w:tcPr>
            <w:tcW w:w="1029" w:type="dxa"/>
            <w:noWrap/>
            <w:hideMark/>
          </w:tcPr>
          <w:p w14:paraId="67C647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184</w:t>
            </w:r>
          </w:p>
        </w:tc>
      </w:tr>
      <w:tr w:rsidR="001404C4" w:rsidRPr="008F4DF9" w14:paraId="2D85EAB9" w14:textId="77777777" w:rsidTr="00F45CC2">
        <w:tc>
          <w:tcPr>
            <w:tcW w:w="2725" w:type="dxa"/>
            <w:noWrap/>
            <w:hideMark/>
          </w:tcPr>
          <w:p w14:paraId="1C17EDE9"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Otras prestaciones laborales</w:t>
            </w:r>
          </w:p>
        </w:tc>
        <w:tc>
          <w:tcPr>
            <w:tcW w:w="1028" w:type="dxa"/>
            <w:noWrap/>
            <w:hideMark/>
          </w:tcPr>
          <w:p w14:paraId="5D0EBB3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8" w:type="dxa"/>
            <w:noWrap/>
            <w:hideMark/>
          </w:tcPr>
          <w:p w14:paraId="19320AD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FD5F73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E79425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CF38D4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8" w:type="dxa"/>
            <w:noWrap/>
            <w:hideMark/>
          </w:tcPr>
          <w:p w14:paraId="3680A08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F9C62C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r>
      <w:tr w:rsidR="001404C4" w:rsidRPr="008F4DF9" w14:paraId="062E14F3" w14:textId="77777777" w:rsidTr="00F45CC2">
        <w:tc>
          <w:tcPr>
            <w:tcW w:w="2725" w:type="dxa"/>
            <w:noWrap/>
            <w:hideMark/>
          </w:tcPr>
          <w:p w14:paraId="058A75E1"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Programa de CECoP</w:t>
            </w:r>
          </w:p>
        </w:tc>
        <w:tc>
          <w:tcPr>
            <w:tcW w:w="1028" w:type="dxa"/>
            <w:noWrap/>
            <w:hideMark/>
          </w:tcPr>
          <w:p w14:paraId="2BD8F4D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30</w:t>
            </w:r>
          </w:p>
        </w:tc>
        <w:tc>
          <w:tcPr>
            <w:tcW w:w="1028" w:type="dxa"/>
            <w:noWrap/>
            <w:hideMark/>
          </w:tcPr>
          <w:p w14:paraId="3D355CC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335307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A91D7F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818080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30</w:t>
            </w:r>
          </w:p>
        </w:tc>
        <w:tc>
          <w:tcPr>
            <w:tcW w:w="1028" w:type="dxa"/>
            <w:noWrap/>
            <w:hideMark/>
          </w:tcPr>
          <w:p w14:paraId="4CF9162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w:t>
            </w:r>
          </w:p>
        </w:tc>
        <w:tc>
          <w:tcPr>
            <w:tcW w:w="1029" w:type="dxa"/>
            <w:noWrap/>
            <w:hideMark/>
          </w:tcPr>
          <w:p w14:paraId="0AD41B7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23</w:t>
            </w:r>
          </w:p>
        </w:tc>
      </w:tr>
      <w:tr w:rsidR="001404C4" w:rsidRPr="008F4DF9" w14:paraId="4258F477" w14:textId="77777777" w:rsidTr="00F45CC2">
        <w:tc>
          <w:tcPr>
            <w:tcW w:w="2725" w:type="dxa"/>
            <w:noWrap/>
            <w:hideMark/>
          </w:tcPr>
          <w:p w14:paraId="30E65FA8"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Comunicaciones, traducciones, publicaciones e informes sobre la aplicación</w:t>
            </w:r>
          </w:p>
        </w:tc>
        <w:tc>
          <w:tcPr>
            <w:tcW w:w="1028" w:type="dxa"/>
            <w:noWrap/>
            <w:hideMark/>
          </w:tcPr>
          <w:p w14:paraId="10F07E6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60</w:t>
            </w:r>
          </w:p>
        </w:tc>
        <w:tc>
          <w:tcPr>
            <w:tcW w:w="1028" w:type="dxa"/>
            <w:noWrap/>
            <w:hideMark/>
          </w:tcPr>
          <w:p w14:paraId="752E357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40</w:t>
            </w:r>
          </w:p>
        </w:tc>
        <w:tc>
          <w:tcPr>
            <w:tcW w:w="1029" w:type="dxa"/>
            <w:noWrap/>
            <w:hideMark/>
          </w:tcPr>
          <w:p w14:paraId="08C626B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4C735E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96CDF4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100</w:t>
            </w:r>
          </w:p>
        </w:tc>
        <w:tc>
          <w:tcPr>
            <w:tcW w:w="1028" w:type="dxa"/>
            <w:noWrap/>
            <w:hideMark/>
          </w:tcPr>
          <w:p w14:paraId="40BF5F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44</w:t>
            </w:r>
          </w:p>
        </w:tc>
        <w:tc>
          <w:tcPr>
            <w:tcW w:w="1029" w:type="dxa"/>
            <w:noWrap/>
            <w:hideMark/>
          </w:tcPr>
          <w:p w14:paraId="08C9D76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56</w:t>
            </w:r>
          </w:p>
        </w:tc>
      </w:tr>
      <w:tr w:rsidR="001404C4" w:rsidRPr="008F4DF9" w14:paraId="668AEB29" w14:textId="77777777" w:rsidTr="00F45CC2">
        <w:tc>
          <w:tcPr>
            <w:tcW w:w="2725" w:type="dxa"/>
            <w:noWrap/>
            <w:hideMark/>
          </w:tcPr>
          <w:p w14:paraId="69A74A9A"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DMH y el 50° Aniversario en 2021</w:t>
            </w:r>
          </w:p>
        </w:tc>
        <w:tc>
          <w:tcPr>
            <w:tcW w:w="1028" w:type="dxa"/>
            <w:noWrap/>
            <w:hideMark/>
          </w:tcPr>
          <w:p w14:paraId="51E5D9D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79E2525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A7E840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8" w:type="dxa"/>
            <w:noWrap/>
            <w:hideMark/>
          </w:tcPr>
          <w:p w14:paraId="629C4D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1606C3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8" w:type="dxa"/>
            <w:noWrap/>
            <w:hideMark/>
          </w:tcPr>
          <w:p w14:paraId="0B233D5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p>
        </w:tc>
        <w:tc>
          <w:tcPr>
            <w:tcW w:w="1029" w:type="dxa"/>
            <w:noWrap/>
            <w:hideMark/>
          </w:tcPr>
          <w:p w14:paraId="61F3F1A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43</w:t>
            </w:r>
          </w:p>
        </w:tc>
      </w:tr>
      <w:tr w:rsidR="001404C4" w:rsidRPr="008F4DF9" w14:paraId="23198556" w14:textId="77777777" w:rsidTr="00F45CC2">
        <w:tc>
          <w:tcPr>
            <w:tcW w:w="2725" w:type="dxa"/>
            <w:noWrap/>
            <w:hideMark/>
          </w:tcPr>
          <w:p w14:paraId="7A6C6D04"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Apoyo y desarrollo del sitio web/TI</w:t>
            </w:r>
          </w:p>
        </w:tc>
        <w:tc>
          <w:tcPr>
            <w:tcW w:w="1028" w:type="dxa"/>
            <w:noWrap/>
            <w:hideMark/>
          </w:tcPr>
          <w:p w14:paraId="2C9F2C9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84</w:t>
            </w:r>
          </w:p>
        </w:tc>
        <w:tc>
          <w:tcPr>
            <w:tcW w:w="1028" w:type="dxa"/>
            <w:noWrap/>
            <w:hideMark/>
          </w:tcPr>
          <w:p w14:paraId="717E535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64F996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06BBEC6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2687D1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84</w:t>
            </w:r>
          </w:p>
        </w:tc>
        <w:tc>
          <w:tcPr>
            <w:tcW w:w="1028" w:type="dxa"/>
            <w:noWrap/>
            <w:hideMark/>
          </w:tcPr>
          <w:p w14:paraId="2D9491A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60</w:t>
            </w:r>
          </w:p>
        </w:tc>
        <w:tc>
          <w:tcPr>
            <w:tcW w:w="1029" w:type="dxa"/>
            <w:noWrap/>
            <w:hideMark/>
          </w:tcPr>
          <w:p w14:paraId="37A3D46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24</w:t>
            </w:r>
          </w:p>
        </w:tc>
      </w:tr>
      <w:tr w:rsidR="001404C4" w:rsidRPr="008F4DF9" w14:paraId="1B36F5FD" w14:textId="77777777" w:rsidTr="00F45CC2">
        <w:tc>
          <w:tcPr>
            <w:tcW w:w="2725" w:type="dxa"/>
            <w:noWrap/>
            <w:hideMark/>
          </w:tcPr>
          <w:p w14:paraId="251CF402"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w:t>
            </w:r>
          </w:p>
        </w:tc>
        <w:tc>
          <w:tcPr>
            <w:tcW w:w="1028" w:type="dxa"/>
            <w:noWrap/>
            <w:hideMark/>
          </w:tcPr>
          <w:p w14:paraId="62C9BA4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w:t>
            </w:r>
          </w:p>
        </w:tc>
        <w:tc>
          <w:tcPr>
            <w:tcW w:w="1028" w:type="dxa"/>
            <w:noWrap/>
            <w:hideMark/>
          </w:tcPr>
          <w:p w14:paraId="6FFD2A6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9" w:type="dxa"/>
            <w:noWrap/>
            <w:hideMark/>
          </w:tcPr>
          <w:p w14:paraId="5E50E37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0327C6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BDC770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c>
          <w:tcPr>
            <w:tcW w:w="1028" w:type="dxa"/>
            <w:noWrap/>
            <w:hideMark/>
          </w:tcPr>
          <w:p w14:paraId="23CE428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ADBBEE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r>
      <w:tr w:rsidR="001404C4" w:rsidRPr="008F4DF9" w14:paraId="05F49EF6" w14:textId="77777777" w:rsidTr="00F45CC2">
        <w:tc>
          <w:tcPr>
            <w:tcW w:w="2725" w:type="dxa"/>
            <w:shd w:val="clear" w:color="auto" w:fill="EAF1DD" w:themeFill="accent3" w:themeFillTint="33"/>
            <w:noWrap/>
            <w:hideMark/>
          </w:tcPr>
          <w:p w14:paraId="2687B77D"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 Asesoramiento y apoyo regionales</w:t>
            </w:r>
          </w:p>
        </w:tc>
        <w:tc>
          <w:tcPr>
            <w:tcW w:w="1028" w:type="dxa"/>
            <w:shd w:val="clear" w:color="auto" w:fill="EAF1DD" w:themeFill="accent3" w:themeFillTint="33"/>
            <w:noWrap/>
            <w:hideMark/>
          </w:tcPr>
          <w:p w14:paraId="3F970250" w14:textId="6090452E"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324</w:t>
            </w:r>
          </w:p>
        </w:tc>
        <w:tc>
          <w:tcPr>
            <w:tcW w:w="1028" w:type="dxa"/>
            <w:shd w:val="clear" w:color="auto" w:fill="EAF1DD" w:themeFill="accent3" w:themeFillTint="33"/>
            <w:noWrap/>
            <w:hideMark/>
          </w:tcPr>
          <w:p w14:paraId="1F4090F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w:t>
            </w:r>
          </w:p>
        </w:tc>
        <w:tc>
          <w:tcPr>
            <w:tcW w:w="1029" w:type="dxa"/>
            <w:shd w:val="clear" w:color="auto" w:fill="EAF1DD" w:themeFill="accent3" w:themeFillTint="33"/>
            <w:noWrap/>
            <w:hideMark/>
          </w:tcPr>
          <w:p w14:paraId="0B069F7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96</w:t>
            </w:r>
          </w:p>
        </w:tc>
        <w:tc>
          <w:tcPr>
            <w:tcW w:w="1028" w:type="dxa"/>
            <w:shd w:val="clear" w:color="auto" w:fill="EAF1DD" w:themeFill="accent3" w:themeFillTint="33"/>
            <w:noWrap/>
            <w:hideMark/>
          </w:tcPr>
          <w:p w14:paraId="1820472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9" w:type="dxa"/>
            <w:shd w:val="clear" w:color="auto" w:fill="EAF1DD" w:themeFill="accent3" w:themeFillTint="33"/>
            <w:noWrap/>
            <w:hideMark/>
          </w:tcPr>
          <w:p w14:paraId="2955D851" w14:textId="31094B41"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418</w:t>
            </w:r>
          </w:p>
        </w:tc>
        <w:tc>
          <w:tcPr>
            <w:tcW w:w="1028" w:type="dxa"/>
            <w:shd w:val="clear" w:color="auto" w:fill="EAF1DD" w:themeFill="accent3" w:themeFillTint="33"/>
            <w:noWrap/>
            <w:hideMark/>
          </w:tcPr>
          <w:p w14:paraId="5D5863A8" w14:textId="1D98FB20"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170</w:t>
            </w:r>
          </w:p>
        </w:tc>
        <w:tc>
          <w:tcPr>
            <w:tcW w:w="1029" w:type="dxa"/>
            <w:shd w:val="clear" w:color="auto" w:fill="EAF1DD" w:themeFill="accent3" w:themeFillTint="33"/>
            <w:noWrap/>
            <w:hideMark/>
          </w:tcPr>
          <w:p w14:paraId="22F401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248</w:t>
            </w:r>
          </w:p>
        </w:tc>
      </w:tr>
      <w:tr w:rsidR="001404C4" w:rsidRPr="008F4DF9" w14:paraId="4CEE4DF8" w14:textId="77777777" w:rsidTr="00F45CC2">
        <w:tc>
          <w:tcPr>
            <w:tcW w:w="2725" w:type="dxa"/>
            <w:noWrap/>
            <w:hideMark/>
          </w:tcPr>
          <w:p w14:paraId="14830648"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Salarios y gastos sociales</w:t>
            </w:r>
          </w:p>
        </w:tc>
        <w:tc>
          <w:tcPr>
            <w:tcW w:w="1028" w:type="dxa"/>
            <w:noWrap/>
            <w:hideMark/>
          </w:tcPr>
          <w:p w14:paraId="0194B381" w14:textId="00D97D45"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178</w:t>
            </w:r>
          </w:p>
        </w:tc>
        <w:tc>
          <w:tcPr>
            <w:tcW w:w="1028" w:type="dxa"/>
            <w:noWrap/>
            <w:hideMark/>
          </w:tcPr>
          <w:p w14:paraId="40B709F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905579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CFE168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AB2BDE9" w14:textId="5E6CDD22"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178</w:t>
            </w:r>
          </w:p>
        </w:tc>
        <w:tc>
          <w:tcPr>
            <w:tcW w:w="1028" w:type="dxa"/>
            <w:noWrap/>
            <w:hideMark/>
          </w:tcPr>
          <w:p w14:paraId="662C8C80" w14:textId="7FF82AA4"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087</w:t>
            </w:r>
          </w:p>
        </w:tc>
        <w:tc>
          <w:tcPr>
            <w:tcW w:w="1029" w:type="dxa"/>
            <w:noWrap/>
            <w:hideMark/>
          </w:tcPr>
          <w:p w14:paraId="56170A2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w:t>
            </w:r>
          </w:p>
        </w:tc>
      </w:tr>
      <w:tr w:rsidR="001404C4" w:rsidRPr="008F4DF9" w14:paraId="7E192BFA" w14:textId="77777777" w:rsidTr="00F45CC2">
        <w:tc>
          <w:tcPr>
            <w:tcW w:w="2725" w:type="dxa"/>
            <w:noWrap/>
            <w:hideMark/>
          </w:tcPr>
          <w:p w14:paraId="6D31F2F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Otras prestaciones laborales</w:t>
            </w:r>
          </w:p>
        </w:tc>
        <w:tc>
          <w:tcPr>
            <w:tcW w:w="1028" w:type="dxa"/>
            <w:noWrap/>
            <w:hideMark/>
          </w:tcPr>
          <w:p w14:paraId="3042DFB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71</w:t>
            </w:r>
          </w:p>
        </w:tc>
        <w:tc>
          <w:tcPr>
            <w:tcW w:w="1028" w:type="dxa"/>
            <w:noWrap/>
            <w:hideMark/>
          </w:tcPr>
          <w:p w14:paraId="108C942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C1C192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5CFE7CA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A002FF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71</w:t>
            </w:r>
          </w:p>
        </w:tc>
        <w:tc>
          <w:tcPr>
            <w:tcW w:w="1028" w:type="dxa"/>
            <w:noWrap/>
            <w:hideMark/>
          </w:tcPr>
          <w:p w14:paraId="643DCE4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w:t>
            </w:r>
          </w:p>
        </w:tc>
        <w:tc>
          <w:tcPr>
            <w:tcW w:w="1029" w:type="dxa"/>
            <w:noWrap/>
            <w:hideMark/>
          </w:tcPr>
          <w:p w14:paraId="321F840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40</w:t>
            </w:r>
          </w:p>
        </w:tc>
      </w:tr>
      <w:tr w:rsidR="001404C4" w:rsidRPr="008F4DF9" w14:paraId="54B1A52C" w14:textId="77777777" w:rsidTr="00F45CC2">
        <w:tc>
          <w:tcPr>
            <w:tcW w:w="2725" w:type="dxa"/>
            <w:noWrap/>
            <w:hideMark/>
          </w:tcPr>
          <w:p w14:paraId="26B90670"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w:t>
            </w:r>
          </w:p>
        </w:tc>
        <w:tc>
          <w:tcPr>
            <w:tcW w:w="1028" w:type="dxa"/>
            <w:noWrap/>
            <w:hideMark/>
          </w:tcPr>
          <w:p w14:paraId="2338D0D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75</w:t>
            </w:r>
          </w:p>
        </w:tc>
        <w:tc>
          <w:tcPr>
            <w:tcW w:w="1028" w:type="dxa"/>
            <w:noWrap/>
            <w:hideMark/>
          </w:tcPr>
          <w:p w14:paraId="55B01C3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w:t>
            </w:r>
          </w:p>
        </w:tc>
        <w:tc>
          <w:tcPr>
            <w:tcW w:w="1029" w:type="dxa"/>
            <w:noWrap/>
            <w:hideMark/>
          </w:tcPr>
          <w:p w14:paraId="6036996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9A9070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9" w:type="dxa"/>
            <w:noWrap/>
            <w:hideMark/>
          </w:tcPr>
          <w:p w14:paraId="54803B6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73</w:t>
            </w:r>
          </w:p>
        </w:tc>
        <w:tc>
          <w:tcPr>
            <w:tcW w:w="1028" w:type="dxa"/>
            <w:noWrap/>
            <w:hideMark/>
          </w:tcPr>
          <w:p w14:paraId="5673319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52</w:t>
            </w:r>
          </w:p>
        </w:tc>
        <w:tc>
          <w:tcPr>
            <w:tcW w:w="1029" w:type="dxa"/>
            <w:noWrap/>
            <w:hideMark/>
          </w:tcPr>
          <w:p w14:paraId="1C43160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21</w:t>
            </w:r>
          </w:p>
        </w:tc>
      </w:tr>
      <w:tr w:rsidR="001404C4" w:rsidRPr="008F4DF9" w14:paraId="5589C5B9" w14:textId="77777777" w:rsidTr="00F45CC2">
        <w:tc>
          <w:tcPr>
            <w:tcW w:w="2725" w:type="dxa"/>
            <w:noWrap/>
            <w:hideMark/>
          </w:tcPr>
          <w:p w14:paraId="3E1A688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Misiones Ramsar de Asesoramiento</w:t>
            </w:r>
          </w:p>
        </w:tc>
        <w:tc>
          <w:tcPr>
            <w:tcW w:w="1028" w:type="dxa"/>
            <w:noWrap/>
            <w:hideMark/>
          </w:tcPr>
          <w:p w14:paraId="1628808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AD65B3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C76D12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96</w:t>
            </w:r>
          </w:p>
        </w:tc>
        <w:tc>
          <w:tcPr>
            <w:tcW w:w="1028" w:type="dxa"/>
            <w:noWrap/>
            <w:hideMark/>
          </w:tcPr>
          <w:p w14:paraId="7541D20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922434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96</w:t>
            </w:r>
          </w:p>
        </w:tc>
        <w:tc>
          <w:tcPr>
            <w:tcW w:w="1028" w:type="dxa"/>
            <w:noWrap/>
            <w:hideMark/>
          </w:tcPr>
          <w:p w14:paraId="327D0A8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20A05B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96</w:t>
            </w:r>
          </w:p>
        </w:tc>
      </w:tr>
      <w:tr w:rsidR="001404C4" w:rsidRPr="008F4DF9" w14:paraId="30D6CCC1" w14:textId="77777777" w:rsidTr="00F45CC2">
        <w:tc>
          <w:tcPr>
            <w:tcW w:w="2725" w:type="dxa"/>
            <w:shd w:val="clear" w:color="auto" w:fill="EAF1DD" w:themeFill="accent3" w:themeFillTint="33"/>
            <w:noWrap/>
            <w:hideMark/>
          </w:tcPr>
          <w:p w14:paraId="2173234D"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D. Apoyo a las iniciativas regionales</w:t>
            </w:r>
          </w:p>
        </w:tc>
        <w:tc>
          <w:tcPr>
            <w:tcW w:w="1028" w:type="dxa"/>
            <w:shd w:val="clear" w:color="auto" w:fill="EAF1DD" w:themeFill="accent3" w:themeFillTint="33"/>
            <w:noWrap/>
            <w:hideMark/>
          </w:tcPr>
          <w:p w14:paraId="591E0A5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100</w:t>
            </w:r>
          </w:p>
        </w:tc>
        <w:tc>
          <w:tcPr>
            <w:tcW w:w="1028" w:type="dxa"/>
            <w:shd w:val="clear" w:color="auto" w:fill="EAF1DD" w:themeFill="accent3" w:themeFillTint="33"/>
            <w:noWrap/>
            <w:hideMark/>
          </w:tcPr>
          <w:p w14:paraId="707F0BA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54F02A3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89</w:t>
            </w:r>
          </w:p>
        </w:tc>
        <w:tc>
          <w:tcPr>
            <w:tcW w:w="1028" w:type="dxa"/>
            <w:shd w:val="clear" w:color="auto" w:fill="EAF1DD" w:themeFill="accent3" w:themeFillTint="33"/>
            <w:noWrap/>
            <w:hideMark/>
          </w:tcPr>
          <w:p w14:paraId="1C91552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0E7BAD3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189</w:t>
            </w:r>
          </w:p>
        </w:tc>
        <w:tc>
          <w:tcPr>
            <w:tcW w:w="1028" w:type="dxa"/>
            <w:shd w:val="clear" w:color="auto" w:fill="EAF1DD" w:themeFill="accent3" w:themeFillTint="33"/>
            <w:noWrap/>
            <w:hideMark/>
          </w:tcPr>
          <w:p w14:paraId="39B0720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82</w:t>
            </w:r>
          </w:p>
        </w:tc>
        <w:tc>
          <w:tcPr>
            <w:tcW w:w="1029" w:type="dxa"/>
            <w:shd w:val="clear" w:color="auto" w:fill="EAF1DD" w:themeFill="accent3" w:themeFillTint="33"/>
            <w:noWrap/>
            <w:hideMark/>
          </w:tcPr>
          <w:p w14:paraId="4113D4C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107</w:t>
            </w:r>
          </w:p>
        </w:tc>
      </w:tr>
      <w:tr w:rsidR="001404C4" w:rsidRPr="008F4DF9" w14:paraId="3E77A2E2" w14:textId="77777777" w:rsidTr="00F45CC2">
        <w:tc>
          <w:tcPr>
            <w:tcW w:w="2725" w:type="dxa"/>
            <w:noWrap/>
            <w:hideMark/>
          </w:tcPr>
          <w:p w14:paraId="3B79E89F"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GT-IR, Res. XIII.9, pár. 9 y creación de capacidad</w:t>
            </w:r>
          </w:p>
        </w:tc>
        <w:tc>
          <w:tcPr>
            <w:tcW w:w="1028" w:type="dxa"/>
            <w:noWrap/>
            <w:hideMark/>
          </w:tcPr>
          <w:p w14:paraId="4EDDF3C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3DEE9B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9B9276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46</w:t>
            </w:r>
          </w:p>
        </w:tc>
        <w:tc>
          <w:tcPr>
            <w:tcW w:w="1028" w:type="dxa"/>
            <w:noWrap/>
            <w:hideMark/>
          </w:tcPr>
          <w:p w14:paraId="1F29D2B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286969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46</w:t>
            </w:r>
          </w:p>
        </w:tc>
        <w:tc>
          <w:tcPr>
            <w:tcW w:w="1028" w:type="dxa"/>
            <w:noWrap/>
            <w:hideMark/>
          </w:tcPr>
          <w:p w14:paraId="204B26D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E1D209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46</w:t>
            </w:r>
          </w:p>
        </w:tc>
      </w:tr>
      <w:tr w:rsidR="001404C4" w:rsidRPr="008F4DF9" w14:paraId="552D319C" w14:textId="77777777" w:rsidTr="00F45CC2">
        <w:tc>
          <w:tcPr>
            <w:tcW w:w="2725" w:type="dxa"/>
            <w:noWrap/>
            <w:hideMark/>
          </w:tcPr>
          <w:p w14:paraId="0EB09F22"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Actividad 1: Cuenca del Río Senegal</w:t>
            </w:r>
          </w:p>
        </w:tc>
        <w:tc>
          <w:tcPr>
            <w:tcW w:w="1028" w:type="dxa"/>
            <w:noWrap/>
            <w:hideMark/>
          </w:tcPr>
          <w:p w14:paraId="28D5857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8" w:type="dxa"/>
            <w:noWrap/>
            <w:hideMark/>
          </w:tcPr>
          <w:p w14:paraId="226DDCD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BBE80F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8" w:type="dxa"/>
            <w:noWrap/>
            <w:hideMark/>
          </w:tcPr>
          <w:p w14:paraId="06677C6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9" w:type="dxa"/>
            <w:noWrap/>
            <w:hideMark/>
          </w:tcPr>
          <w:p w14:paraId="4B1C0CB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8" w:type="dxa"/>
            <w:noWrap/>
            <w:hideMark/>
          </w:tcPr>
          <w:p w14:paraId="0E2113D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9" w:type="dxa"/>
            <w:noWrap/>
            <w:hideMark/>
          </w:tcPr>
          <w:p w14:paraId="2602D18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08583ADE" w14:textId="77777777" w:rsidTr="00F45CC2">
        <w:tc>
          <w:tcPr>
            <w:tcW w:w="2725" w:type="dxa"/>
            <w:noWrap/>
            <w:hideMark/>
          </w:tcPr>
          <w:p w14:paraId="41D51A6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Actividad 2: Cuenca del río Amazonas</w:t>
            </w:r>
          </w:p>
        </w:tc>
        <w:tc>
          <w:tcPr>
            <w:tcW w:w="1028" w:type="dxa"/>
            <w:noWrap/>
            <w:hideMark/>
          </w:tcPr>
          <w:p w14:paraId="27625DA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8" w:type="dxa"/>
            <w:noWrap/>
            <w:hideMark/>
          </w:tcPr>
          <w:p w14:paraId="03B0662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14CAC4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34</w:t>
            </w:r>
          </w:p>
        </w:tc>
        <w:tc>
          <w:tcPr>
            <w:tcW w:w="1028" w:type="dxa"/>
            <w:noWrap/>
            <w:hideMark/>
          </w:tcPr>
          <w:p w14:paraId="157926A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9" w:type="dxa"/>
            <w:noWrap/>
            <w:hideMark/>
          </w:tcPr>
          <w:p w14:paraId="63CBF9B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68</w:t>
            </w:r>
          </w:p>
        </w:tc>
        <w:tc>
          <w:tcPr>
            <w:tcW w:w="1028" w:type="dxa"/>
            <w:noWrap/>
            <w:hideMark/>
          </w:tcPr>
          <w:p w14:paraId="23375AF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w:t>
            </w:r>
          </w:p>
        </w:tc>
        <w:tc>
          <w:tcPr>
            <w:tcW w:w="1029" w:type="dxa"/>
            <w:noWrap/>
            <w:hideMark/>
          </w:tcPr>
          <w:p w14:paraId="1DA970C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61</w:t>
            </w:r>
          </w:p>
        </w:tc>
      </w:tr>
      <w:tr w:rsidR="001404C4" w:rsidRPr="008F4DF9" w14:paraId="27B6DE32" w14:textId="77777777" w:rsidTr="00F45CC2">
        <w:tc>
          <w:tcPr>
            <w:tcW w:w="2725" w:type="dxa"/>
            <w:noWrap/>
            <w:hideMark/>
          </w:tcPr>
          <w:p w14:paraId="3BD70F72"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Actividad 3: Asia Central</w:t>
            </w:r>
          </w:p>
        </w:tc>
        <w:tc>
          <w:tcPr>
            <w:tcW w:w="1028" w:type="dxa"/>
            <w:noWrap/>
            <w:hideMark/>
          </w:tcPr>
          <w:p w14:paraId="4478561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8" w:type="dxa"/>
            <w:noWrap/>
            <w:hideMark/>
          </w:tcPr>
          <w:p w14:paraId="578C7E3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3D3AC9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A922E0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9" w:type="dxa"/>
            <w:noWrap/>
            <w:hideMark/>
          </w:tcPr>
          <w:p w14:paraId="44FC62F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w:t>
            </w:r>
          </w:p>
        </w:tc>
        <w:tc>
          <w:tcPr>
            <w:tcW w:w="1028" w:type="dxa"/>
            <w:noWrap/>
            <w:hideMark/>
          </w:tcPr>
          <w:p w14:paraId="216E505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w:t>
            </w:r>
          </w:p>
        </w:tc>
        <w:tc>
          <w:tcPr>
            <w:tcW w:w="1029" w:type="dxa"/>
            <w:noWrap/>
            <w:hideMark/>
          </w:tcPr>
          <w:p w14:paraId="200CD79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601B044F" w14:textId="77777777" w:rsidTr="00F45CC2">
        <w:tc>
          <w:tcPr>
            <w:tcW w:w="2725" w:type="dxa"/>
            <w:noWrap/>
            <w:hideMark/>
          </w:tcPr>
          <w:p w14:paraId="2D76FC0E"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lastRenderedPageBreak/>
              <w:t>Actividad 4: Indo-Birmana</w:t>
            </w:r>
          </w:p>
        </w:tc>
        <w:tc>
          <w:tcPr>
            <w:tcW w:w="1028" w:type="dxa"/>
            <w:noWrap/>
            <w:hideMark/>
          </w:tcPr>
          <w:p w14:paraId="48B0816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8" w:type="dxa"/>
            <w:noWrap/>
            <w:hideMark/>
          </w:tcPr>
          <w:p w14:paraId="3660F78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103D45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4AF634E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w:t>
            </w:r>
          </w:p>
        </w:tc>
        <w:tc>
          <w:tcPr>
            <w:tcW w:w="1029" w:type="dxa"/>
            <w:noWrap/>
            <w:hideMark/>
          </w:tcPr>
          <w:p w14:paraId="62590C5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w:t>
            </w:r>
          </w:p>
        </w:tc>
        <w:tc>
          <w:tcPr>
            <w:tcW w:w="1028" w:type="dxa"/>
            <w:noWrap/>
            <w:hideMark/>
          </w:tcPr>
          <w:p w14:paraId="0D3C225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w:t>
            </w:r>
          </w:p>
        </w:tc>
        <w:tc>
          <w:tcPr>
            <w:tcW w:w="1029" w:type="dxa"/>
            <w:noWrap/>
            <w:hideMark/>
          </w:tcPr>
          <w:p w14:paraId="56FDC27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3199B6CD" w14:textId="77777777" w:rsidTr="00F45CC2">
        <w:tc>
          <w:tcPr>
            <w:tcW w:w="2725" w:type="dxa"/>
            <w:shd w:val="clear" w:color="auto" w:fill="EAF1DD" w:themeFill="accent3" w:themeFillTint="33"/>
            <w:noWrap/>
            <w:hideMark/>
          </w:tcPr>
          <w:p w14:paraId="07812ECF"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E. Servicios científicos y técnicos</w:t>
            </w:r>
          </w:p>
        </w:tc>
        <w:tc>
          <w:tcPr>
            <w:tcW w:w="1028" w:type="dxa"/>
            <w:shd w:val="clear" w:color="auto" w:fill="EAF1DD" w:themeFill="accent3" w:themeFillTint="33"/>
            <w:noWrap/>
            <w:hideMark/>
          </w:tcPr>
          <w:p w14:paraId="01ED621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754</w:t>
            </w:r>
          </w:p>
        </w:tc>
        <w:tc>
          <w:tcPr>
            <w:tcW w:w="1028" w:type="dxa"/>
            <w:shd w:val="clear" w:color="auto" w:fill="EAF1DD" w:themeFill="accent3" w:themeFillTint="33"/>
            <w:noWrap/>
            <w:hideMark/>
          </w:tcPr>
          <w:p w14:paraId="0AD8CA4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9" w:type="dxa"/>
            <w:shd w:val="clear" w:color="auto" w:fill="EAF1DD" w:themeFill="accent3" w:themeFillTint="33"/>
            <w:noWrap/>
            <w:hideMark/>
          </w:tcPr>
          <w:p w14:paraId="39D3AE1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164</w:t>
            </w:r>
          </w:p>
        </w:tc>
        <w:tc>
          <w:tcPr>
            <w:tcW w:w="1028" w:type="dxa"/>
            <w:shd w:val="clear" w:color="auto" w:fill="EAF1DD" w:themeFill="accent3" w:themeFillTint="33"/>
            <w:noWrap/>
            <w:hideMark/>
          </w:tcPr>
          <w:p w14:paraId="08CA01E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9" w:type="dxa"/>
            <w:shd w:val="clear" w:color="auto" w:fill="EAF1DD" w:themeFill="accent3" w:themeFillTint="33"/>
            <w:noWrap/>
            <w:hideMark/>
          </w:tcPr>
          <w:p w14:paraId="48B80B3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935</w:t>
            </w:r>
          </w:p>
        </w:tc>
        <w:tc>
          <w:tcPr>
            <w:tcW w:w="1028" w:type="dxa"/>
            <w:shd w:val="clear" w:color="auto" w:fill="EAF1DD" w:themeFill="accent3" w:themeFillTint="33"/>
            <w:noWrap/>
            <w:hideMark/>
          </w:tcPr>
          <w:p w14:paraId="5793AA2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669</w:t>
            </w:r>
          </w:p>
        </w:tc>
        <w:tc>
          <w:tcPr>
            <w:tcW w:w="1029" w:type="dxa"/>
            <w:shd w:val="clear" w:color="auto" w:fill="EAF1DD" w:themeFill="accent3" w:themeFillTint="33"/>
            <w:noWrap/>
            <w:hideMark/>
          </w:tcPr>
          <w:p w14:paraId="56F289B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266</w:t>
            </w:r>
          </w:p>
        </w:tc>
      </w:tr>
      <w:tr w:rsidR="001404C4" w:rsidRPr="008F4DF9" w14:paraId="13AC539C" w14:textId="77777777" w:rsidTr="00F45CC2">
        <w:tc>
          <w:tcPr>
            <w:tcW w:w="2725" w:type="dxa"/>
            <w:noWrap/>
            <w:hideMark/>
          </w:tcPr>
          <w:p w14:paraId="7106AC5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Salarios y gastos sociales</w:t>
            </w:r>
          </w:p>
        </w:tc>
        <w:tc>
          <w:tcPr>
            <w:tcW w:w="1028" w:type="dxa"/>
            <w:noWrap/>
            <w:hideMark/>
          </w:tcPr>
          <w:p w14:paraId="280E659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559</w:t>
            </w:r>
          </w:p>
        </w:tc>
        <w:tc>
          <w:tcPr>
            <w:tcW w:w="1028" w:type="dxa"/>
            <w:noWrap/>
            <w:hideMark/>
          </w:tcPr>
          <w:p w14:paraId="4B5C1F8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833724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58B4435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688653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559</w:t>
            </w:r>
          </w:p>
        </w:tc>
        <w:tc>
          <w:tcPr>
            <w:tcW w:w="1028" w:type="dxa"/>
            <w:noWrap/>
            <w:hideMark/>
          </w:tcPr>
          <w:p w14:paraId="09A04F3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528</w:t>
            </w:r>
          </w:p>
        </w:tc>
        <w:tc>
          <w:tcPr>
            <w:tcW w:w="1029" w:type="dxa"/>
            <w:noWrap/>
            <w:hideMark/>
          </w:tcPr>
          <w:p w14:paraId="660CC9F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w:t>
            </w:r>
          </w:p>
        </w:tc>
      </w:tr>
      <w:tr w:rsidR="001404C4" w:rsidRPr="008F4DF9" w14:paraId="5D18232D" w14:textId="77777777" w:rsidTr="00F45CC2">
        <w:tc>
          <w:tcPr>
            <w:tcW w:w="2725" w:type="dxa"/>
            <w:noWrap/>
            <w:hideMark/>
          </w:tcPr>
          <w:p w14:paraId="5510437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Otras prestaciones laborales</w:t>
            </w:r>
          </w:p>
        </w:tc>
        <w:tc>
          <w:tcPr>
            <w:tcW w:w="1028" w:type="dxa"/>
            <w:noWrap/>
            <w:hideMark/>
          </w:tcPr>
          <w:p w14:paraId="6BF9041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w:t>
            </w:r>
          </w:p>
        </w:tc>
        <w:tc>
          <w:tcPr>
            <w:tcW w:w="1028" w:type="dxa"/>
            <w:noWrap/>
            <w:hideMark/>
          </w:tcPr>
          <w:p w14:paraId="4B1FF59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41CD9D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01DE44A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6FDA1C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w:t>
            </w:r>
          </w:p>
        </w:tc>
        <w:tc>
          <w:tcPr>
            <w:tcW w:w="1028" w:type="dxa"/>
            <w:noWrap/>
            <w:hideMark/>
          </w:tcPr>
          <w:p w14:paraId="0B35001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p>
        </w:tc>
        <w:tc>
          <w:tcPr>
            <w:tcW w:w="1029" w:type="dxa"/>
            <w:noWrap/>
            <w:hideMark/>
          </w:tcPr>
          <w:p w14:paraId="0B51D2F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p>
        </w:tc>
      </w:tr>
      <w:tr w:rsidR="001404C4" w:rsidRPr="008F4DF9" w14:paraId="7477B7AB" w14:textId="77777777" w:rsidTr="00F45CC2">
        <w:tc>
          <w:tcPr>
            <w:tcW w:w="2725" w:type="dxa"/>
            <w:noWrap/>
            <w:hideMark/>
          </w:tcPr>
          <w:p w14:paraId="020A6B70"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w:t>
            </w:r>
          </w:p>
        </w:tc>
        <w:tc>
          <w:tcPr>
            <w:tcW w:w="1028" w:type="dxa"/>
            <w:noWrap/>
            <w:hideMark/>
          </w:tcPr>
          <w:p w14:paraId="64C8655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w:t>
            </w:r>
          </w:p>
        </w:tc>
        <w:tc>
          <w:tcPr>
            <w:tcW w:w="1028" w:type="dxa"/>
            <w:noWrap/>
            <w:hideMark/>
          </w:tcPr>
          <w:p w14:paraId="76E51A5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E307AF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4EAE74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w:t>
            </w:r>
          </w:p>
        </w:tc>
        <w:tc>
          <w:tcPr>
            <w:tcW w:w="1029" w:type="dxa"/>
            <w:noWrap/>
            <w:hideMark/>
          </w:tcPr>
          <w:p w14:paraId="32B8089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w:t>
            </w:r>
          </w:p>
        </w:tc>
        <w:tc>
          <w:tcPr>
            <w:tcW w:w="1028" w:type="dxa"/>
            <w:noWrap/>
            <w:hideMark/>
          </w:tcPr>
          <w:p w14:paraId="592EEC6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w:t>
            </w:r>
          </w:p>
        </w:tc>
        <w:tc>
          <w:tcPr>
            <w:tcW w:w="1029" w:type="dxa"/>
            <w:noWrap/>
            <w:hideMark/>
          </w:tcPr>
          <w:p w14:paraId="78306AA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14ED03F7" w14:textId="77777777" w:rsidTr="00F45CC2">
        <w:tc>
          <w:tcPr>
            <w:tcW w:w="2725" w:type="dxa"/>
            <w:noWrap/>
            <w:hideMark/>
          </w:tcPr>
          <w:p w14:paraId="2FCE0DD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 de la Presidencia del GECT</w:t>
            </w:r>
          </w:p>
        </w:tc>
        <w:tc>
          <w:tcPr>
            <w:tcW w:w="1028" w:type="dxa"/>
            <w:noWrap/>
            <w:hideMark/>
          </w:tcPr>
          <w:p w14:paraId="0EF5A82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8" w:type="dxa"/>
            <w:noWrap/>
            <w:hideMark/>
          </w:tcPr>
          <w:p w14:paraId="0141B39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093A19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4AABE43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F600C8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8" w:type="dxa"/>
            <w:noWrap/>
            <w:hideMark/>
          </w:tcPr>
          <w:p w14:paraId="62CD16A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w:t>
            </w:r>
          </w:p>
        </w:tc>
        <w:tc>
          <w:tcPr>
            <w:tcW w:w="1029" w:type="dxa"/>
            <w:noWrap/>
            <w:hideMark/>
          </w:tcPr>
          <w:p w14:paraId="70EB7B7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w:t>
            </w:r>
          </w:p>
        </w:tc>
      </w:tr>
      <w:tr w:rsidR="001404C4" w:rsidRPr="008F4DF9" w14:paraId="7018EDFE" w14:textId="77777777" w:rsidTr="00F45CC2">
        <w:tc>
          <w:tcPr>
            <w:tcW w:w="2725" w:type="dxa"/>
            <w:noWrap/>
            <w:hideMark/>
          </w:tcPr>
          <w:p w14:paraId="63BDCBF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Ejecución del GECT</w:t>
            </w:r>
          </w:p>
        </w:tc>
        <w:tc>
          <w:tcPr>
            <w:tcW w:w="1028" w:type="dxa"/>
            <w:noWrap/>
            <w:hideMark/>
          </w:tcPr>
          <w:p w14:paraId="03465CC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35</w:t>
            </w:r>
          </w:p>
        </w:tc>
        <w:tc>
          <w:tcPr>
            <w:tcW w:w="1028" w:type="dxa"/>
            <w:noWrap/>
            <w:hideMark/>
          </w:tcPr>
          <w:p w14:paraId="3D632C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c>
          <w:tcPr>
            <w:tcW w:w="1029" w:type="dxa"/>
            <w:noWrap/>
            <w:hideMark/>
          </w:tcPr>
          <w:p w14:paraId="20B9448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7E87D4E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BFF692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40</w:t>
            </w:r>
          </w:p>
        </w:tc>
        <w:tc>
          <w:tcPr>
            <w:tcW w:w="1028" w:type="dxa"/>
            <w:noWrap/>
            <w:hideMark/>
          </w:tcPr>
          <w:p w14:paraId="5072B34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w:t>
            </w:r>
          </w:p>
        </w:tc>
        <w:tc>
          <w:tcPr>
            <w:tcW w:w="1029" w:type="dxa"/>
            <w:noWrap/>
            <w:hideMark/>
          </w:tcPr>
          <w:p w14:paraId="5B553D2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w:t>
            </w:r>
          </w:p>
        </w:tc>
      </w:tr>
      <w:tr w:rsidR="001404C4" w:rsidRPr="008F4DF9" w14:paraId="2FAF374D" w14:textId="77777777" w:rsidTr="00F45CC2">
        <w:tc>
          <w:tcPr>
            <w:tcW w:w="2725" w:type="dxa"/>
            <w:noWrap/>
            <w:hideMark/>
          </w:tcPr>
          <w:p w14:paraId="076F12C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Reuniones del GECT</w:t>
            </w:r>
          </w:p>
        </w:tc>
        <w:tc>
          <w:tcPr>
            <w:tcW w:w="1028" w:type="dxa"/>
            <w:noWrap/>
            <w:hideMark/>
          </w:tcPr>
          <w:p w14:paraId="4B30062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50</w:t>
            </w:r>
          </w:p>
        </w:tc>
        <w:tc>
          <w:tcPr>
            <w:tcW w:w="1028" w:type="dxa"/>
            <w:noWrap/>
            <w:hideMark/>
          </w:tcPr>
          <w:p w14:paraId="0C69DAC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3FB6D8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FA6587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B9DC24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50</w:t>
            </w:r>
          </w:p>
        </w:tc>
        <w:tc>
          <w:tcPr>
            <w:tcW w:w="1028" w:type="dxa"/>
            <w:noWrap/>
            <w:hideMark/>
          </w:tcPr>
          <w:p w14:paraId="4E33C66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34</w:t>
            </w:r>
          </w:p>
        </w:tc>
        <w:tc>
          <w:tcPr>
            <w:tcW w:w="1029" w:type="dxa"/>
            <w:noWrap/>
            <w:hideMark/>
          </w:tcPr>
          <w:p w14:paraId="33506E9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16</w:t>
            </w:r>
          </w:p>
        </w:tc>
      </w:tr>
      <w:tr w:rsidR="001404C4" w:rsidRPr="008F4DF9" w14:paraId="41D4918B" w14:textId="77777777" w:rsidTr="00F45CC2">
        <w:tc>
          <w:tcPr>
            <w:tcW w:w="2725" w:type="dxa"/>
            <w:noWrap/>
            <w:hideMark/>
          </w:tcPr>
          <w:p w14:paraId="6FE9516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Plan Estratégico (2019 - 2021)</w:t>
            </w:r>
          </w:p>
        </w:tc>
        <w:tc>
          <w:tcPr>
            <w:tcW w:w="1028" w:type="dxa"/>
            <w:noWrap/>
            <w:hideMark/>
          </w:tcPr>
          <w:p w14:paraId="64E49A6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10383D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EE5613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44</w:t>
            </w:r>
          </w:p>
        </w:tc>
        <w:tc>
          <w:tcPr>
            <w:tcW w:w="1028" w:type="dxa"/>
            <w:noWrap/>
            <w:hideMark/>
          </w:tcPr>
          <w:p w14:paraId="70D0395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F35039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44</w:t>
            </w:r>
          </w:p>
        </w:tc>
        <w:tc>
          <w:tcPr>
            <w:tcW w:w="1028" w:type="dxa"/>
            <w:noWrap/>
            <w:hideMark/>
          </w:tcPr>
          <w:p w14:paraId="2FD7A63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c>
          <w:tcPr>
            <w:tcW w:w="1029" w:type="dxa"/>
            <w:noWrap/>
            <w:hideMark/>
          </w:tcPr>
          <w:p w14:paraId="7F10C7F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29</w:t>
            </w:r>
          </w:p>
        </w:tc>
      </w:tr>
      <w:tr w:rsidR="001404C4" w:rsidRPr="008F4DF9" w14:paraId="13048DAC" w14:textId="77777777" w:rsidTr="00F45CC2">
        <w:tc>
          <w:tcPr>
            <w:tcW w:w="2725" w:type="dxa"/>
            <w:noWrap/>
            <w:hideMark/>
          </w:tcPr>
          <w:p w14:paraId="12E0658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ODS 6.6.1 (inventarios)</w:t>
            </w:r>
          </w:p>
        </w:tc>
        <w:tc>
          <w:tcPr>
            <w:tcW w:w="1028" w:type="dxa"/>
            <w:noWrap/>
            <w:hideMark/>
          </w:tcPr>
          <w:p w14:paraId="45A3B25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3FD028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C56CFD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120</w:t>
            </w:r>
          </w:p>
        </w:tc>
        <w:tc>
          <w:tcPr>
            <w:tcW w:w="1028" w:type="dxa"/>
            <w:noWrap/>
            <w:hideMark/>
          </w:tcPr>
          <w:p w14:paraId="7970E41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AEB36E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120</w:t>
            </w:r>
          </w:p>
        </w:tc>
        <w:tc>
          <w:tcPr>
            <w:tcW w:w="1028" w:type="dxa"/>
            <w:noWrap/>
            <w:hideMark/>
          </w:tcPr>
          <w:p w14:paraId="2CA5E8C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29</w:t>
            </w:r>
          </w:p>
        </w:tc>
        <w:tc>
          <w:tcPr>
            <w:tcW w:w="1029" w:type="dxa"/>
            <w:noWrap/>
            <w:hideMark/>
          </w:tcPr>
          <w:p w14:paraId="73E0D2D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w:t>
            </w:r>
          </w:p>
        </w:tc>
      </w:tr>
      <w:tr w:rsidR="001404C4" w:rsidRPr="008F4DF9" w14:paraId="0344AC81" w14:textId="77777777" w:rsidTr="00F45CC2">
        <w:tc>
          <w:tcPr>
            <w:tcW w:w="2725" w:type="dxa"/>
            <w:noWrap/>
            <w:hideMark/>
          </w:tcPr>
          <w:p w14:paraId="30BBA8C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Servicio de Información sobre Sitios Ramsar (mantenimiento y desarrollo)</w:t>
            </w:r>
          </w:p>
        </w:tc>
        <w:tc>
          <w:tcPr>
            <w:tcW w:w="1028" w:type="dxa"/>
            <w:noWrap/>
            <w:hideMark/>
          </w:tcPr>
          <w:p w14:paraId="2A466AA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w:t>
            </w:r>
          </w:p>
        </w:tc>
        <w:tc>
          <w:tcPr>
            <w:tcW w:w="1028" w:type="dxa"/>
            <w:noWrap/>
            <w:hideMark/>
          </w:tcPr>
          <w:p w14:paraId="6A756CE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5DF4ED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52DFF95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56DBF7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w:t>
            </w:r>
          </w:p>
        </w:tc>
        <w:tc>
          <w:tcPr>
            <w:tcW w:w="1028" w:type="dxa"/>
            <w:noWrap/>
            <w:hideMark/>
          </w:tcPr>
          <w:p w14:paraId="0E574D4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29</w:t>
            </w:r>
          </w:p>
        </w:tc>
        <w:tc>
          <w:tcPr>
            <w:tcW w:w="1029" w:type="dxa"/>
            <w:noWrap/>
            <w:hideMark/>
          </w:tcPr>
          <w:p w14:paraId="463BE81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62</w:t>
            </w:r>
          </w:p>
        </w:tc>
      </w:tr>
      <w:tr w:rsidR="001404C4" w:rsidRPr="008F4DF9" w14:paraId="23B39F2D" w14:textId="77777777" w:rsidTr="00F45CC2">
        <w:tc>
          <w:tcPr>
            <w:tcW w:w="2725" w:type="dxa"/>
            <w:shd w:val="clear" w:color="auto" w:fill="EAF1DD" w:themeFill="accent3" w:themeFillTint="33"/>
            <w:noWrap/>
            <w:hideMark/>
          </w:tcPr>
          <w:p w14:paraId="7C9A900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G. Administración/SISR/Sitio web</w:t>
            </w:r>
          </w:p>
        </w:tc>
        <w:tc>
          <w:tcPr>
            <w:tcW w:w="1028" w:type="dxa"/>
            <w:shd w:val="clear" w:color="auto" w:fill="EAF1DD" w:themeFill="accent3" w:themeFillTint="33"/>
            <w:noWrap/>
            <w:hideMark/>
          </w:tcPr>
          <w:p w14:paraId="50943B1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436</w:t>
            </w:r>
          </w:p>
        </w:tc>
        <w:tc>
          <w:tcPr>
            <w:tcW w:w="1028" w:type="dxa"/>
            <w:shd w:val="clear" w:color="auto" w:fill="EAF1DD" w:themeFill="accent3" w:themeFillTint="33"/>
            <w:noWrap/>
            <w:hideMark/>
          </w:tcPr>
          <w:p w14:paraId="61AC4E3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11</w:t>
            </w:r>
          </w:p>
        </w:tc>
        <w:tc>
          <w:tcPr>
            <w:tcW w:w="1029" w:type="dxa"/>
            <w:shd w:val="clear" w:color="auto" w:fill="EAF1DD" w:themeFill="accent3" w:themeFillTint="33"/>
            <w:noWrap/>
            <w:hideMark/>
          </w:tcPr>
          <w:p w14:paraId="2A41011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143</w:t>
            </w:r>
          </w:p>
        </w:tc>
        <w:tc>
          <w:tcPr>
            <w:tcW w:w="1028" w:type="dxa"/>
            <w:shd w:val="clear" w:color="auto" w:fill="EAF1DD" w:themeFill="accent3" w:themeFillTint="33"/>
            <w:noWrap/>
            <w:hideMark/>
          </w:tcPr>
          <w:p w14:paraId="1AD3FE9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51DBA16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590</w:t>
            </w:r>
          </w:p>
        </w:tc>
        <w:tc>
          <w:tcPr>
            <w:tcW w:w="1028" w:type="dxa"/>
            <w:shd w:val="clear" w:color="auto" w:fill="EAF1DD" w:themeFill="accent3" w:themeFillTint="33"/>
            <w:noWrap/>
            <w:hideMark/>
          </w:tcPr>
          <w:p w14:paraId="71CBDA7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355</w:t>
            </w:r>
          </w:p>
        </w:tc>
        <w:tc>
          <w:tcPr>
            <w:tcW w:w="1029" w:type="dxa"/>
            <w:shd w:val="clear" w:color="auto" w:fill="EAF1DD" w:themeFill="accent3" w:themeFillTint="33"/>
            <w:noWrap/>
            <w:hideMark/>
          </w:tcPr>
          <w:p w14:paraId="3489C0B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235</w:t>
            </w:r>
          </w:p>
        </w:tc>
      </w:tr>
      <w:tr w:rsidR="001404C4" w:rsidRPr="008F4DF9" w14:paraId="5B1AEE71" w14:textId="77777777" w:rsidTr="00F45CC2">
        <w:tc>
          <w:tcPr>
            <w:tcW w:w="2725" w:type="dxa"/>
            <w:noWrap/>
            <w:hideMark/>
          </w:tcPr>
          <w:p w14:paraId="3CEE41A3"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Salarios y gastos sociales</w:t>
            </w:r>
          </w:p>
        </w:tc>
        <w:tc>
          <w:tcPr>
            <w:tcW w:w="1028" w:type="dxa"/>
            <w:noWrap/>
            <w:hideMark/>
          </w:tcPr>
          <w:p w14:paraId="1B58DE3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315</w:t>
            </w:r>
          </w:p>
        </w:tc>
        <w:tc>
          <w:tcPr>
            <w:tcW w:w="1028" w:type="dxa"/>
            <w:noWrap/>
            <w:hideMark/>
          </w:tcPr>
          <w:p w14:paraId="3B5188D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1FBAE6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F5E300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B66815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315</w:t>
            </w:r>
          </w:p>
        </w:tc>
        <w:tc>
          <w:tcPr>
            <w:tcW w:w="1028" w:type="dxa"/>
            <w:noWrap/>
            <w:hideMark/>
          </w:tcPr>
          <w:p w14:paraId="767CFB5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209</w:t>
            </w:r>
          </w:p>
        </w:tc>
        <w:tc>
          <w:tcPr>
            <w:tcW w:w="1029" w:type="dxa"/>
            <w:noWrap/>
            <w:hideMark/>
          </w:tcPr>
          <w:p w14:paraId="33C3017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106</w:t>
            </w:r>
          </w:p>
        </w:tc>
      </w:tr>
      <w:tr w:rsidR="001404C4" w:rsidRPr="008F4DF9" w14:paraId="74C29D7F" w14:textId="77777777" w:rsidTr="00F45CC2">
        <w:tc>
          <w:tcPr>
            <w:tcW w:w="2725" w:type="dxa"/>
            <w:noWrap/>
            <w:hideMark/>
          </w:tcPr>
          <w:p w14:paraId="333A4D34"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Otras prestaciones laborales</w:t>
            </w:r>
          </w:p>
        </w:tc>
        <w:tc>
          <w:tcPr>
            <w:tcW w:w="1028" w:type="dxa"/>
            <w:noWrap/>
            <w:hideMark/>
          </w:tcPr>
          <w:p w14:paraId="5EB089C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p>
        </w:tc>
        <w:tc>
          <w:tcPr>
            <w:tcW w:w="1028" w:type="dxa"/>
            <w:noWrap/>
            <w:hideMark/>
          </w:tcPr>
          <w:p w14:paraId="35A3430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34E6CC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02B0125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7BB893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p>
        </w:tc>
        <w:tc>
          <w:tcPr>
            <w:tcW w:w="1028" w:type="dxa"/>
            <w:noWrap/>
            <w:hideMark/>
          </w:tcPr>
          <w:p w14:paraId="308BCA0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p>
        </w:tc>
        <w:tc>
          <w:tcPr>
            <w:tcW w:w="1029" w:type="dxa"/>
            <w:noWrap/>
            <w:hideMark/>
          </w:tcPr>
          <w:p w14:paraId="7DD1CD6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360F08AD" w14:textId="77777777" w:rsidTr="00F45CC2">
        <w:tc>
          <w:tcPr>
            <w:tcW w:w="2725" w:type="dxa"/>
            <w:noWrap/>
            <w:hideMark/>
          </w:tcPr>
          <w:p w14:paraId="6920F550"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Costos de contratación y separación del personal</w:t>
            </w:r>
          </w:p>
        </w:tc>
        <w:tc>
          <w:tcPr>
            <w:tcW w:w="1028" w:type="dxa"/>
            <w:noWrap/>
            <w:hideMark/>
          </w:tcPr>
          <w:p w14:paraId="306FF8B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25</w:t>
            </w:r>
          </w:p>
        </w:tc>
        <w:tc>
          <w:tcPr>
            <w:tcW w:w="1028" w:type="dxa"/>
            <w:noWrap/>
            <w:hideMark/>
          </w:tcPr>
          <w:p w14:paraId="52A591F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4DCC85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52</w:t>
            </w:r>
          </w:p>
        </w:tc>
        <w:tc>
          <w:tcPr>
            <w:tcW w:w="1028" w:type="dxa"/>
            <w:noWrap/>
            <w:hideMark/>
          </w:tcPr>
          <w:p w14:paraId="14FF23E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1B11FEE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77</w:t>
            </w:r>
          </w:p>
        </w:tc>
        <w:tc>
          <w:tcPr>
            <w:tcW w:w="1028" w:type="dxa"/>
            <w:noWrap/>
            <w:hideMark/>
          </w:tcPr>
          <w:p w14:paraId="1C6CF2E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51</w:t>
            </w:r>
          </w:p>
        </w:tc>
        <w:tc>
          <w:tcPr>
            <w:tcW w:w="1029" w:type="dxa"/>
            <w:noWrap/>
            <w:hideMark/>
          </w:tcPr>
          <w:p w14:paraId="1AAE917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26</w:t>
            </w:r>
          </w:p>
        </w:tc>
      </w:tr>
      <w:tr w:rsidR="001404C4" w:rsidRPr="008F4DF9" w14:paraId="4FF5DC34" w14:textId="77777777" w:rsidTr="00F45CC2">
        <w:tc>
          <w:tcPr>
            <w:tcW w:w="2725" w:type="dxa"/>
            <w:noWrap/>
            <w:hideMark/>
          </w:tcPr>
          <w:p w14:paraId="79CCA02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Viajes</w:t>
            </w:r>
          </w:p>
        </w:tc>
        <w:tc>
          <w:tcPr>
            <w:tcW w:w="1028" w:type="dxa"/>
            <w:noWrap/>
            <w:hideMark/>
          </w:tcPr>
          <w:p w14:paraId="3A28C0B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4875664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5AE15DB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12D486C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E443A1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1A75797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7C1C6D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17F441FA" w14:textId="77777777" w:rsidTr="00F45CC2">
        <w:tc>
          <w:tcPr>
            <w:tcW w:w="2725" w:type="dxa"/>
            <w:noWrap/>
            <w:hideMark/>
          </w:tcPr>
          <w:p w14:paraId="260D964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Equipo/material de oficina</w:t>
            </w:r>
          </w:p>
        </w:tc>
        <w:tc>
          <w:tcPr>
            <w:tcW w:w="1028" w:type="dxa"/>
            <w:noWrap/>
            <w:hideMark/>
          </w:tcPr>
          <w:p w14:paraId="724ADE0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95</w:t>
            </w:r>
          </w:p>
        </w:tc>
        <w:tc>
          <w:tcPr>
            <w:tcW w:w="1028" w:type="dxa"/>
            <w:noWrap/>
            <w:hideMark/>
          </w:tcPr>
          <w:p w14:paraId="3D34DA9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FB3565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0E03D58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424071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95</w:t>
            </w:r>
          </w:p>
        </w:tc>
        <w:tc>
          <w:tcPr>
            <w:tcW w:w="1028" w:type="dxa"/>
            <w:noWrap/>
            <w:hideMark/>
          </w:tcPr>
          <w:p w14:paraId="3530F62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76</w:t>
            </w:r>
          </w:p>
        </w:tc>
        <w:tc>
          <w:tcPr>
            <w:tcW w:w="1029" w:type="dxa"/>
            <w:noWrap/>
            <w:hideMark/>
          </w:tcPr>
          <w:p w14:paraId="325F956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19</w:t>
            </w:r>
          </w:p>
        </w:tc>
      </w:tr>
      <w:tr w:rsidR="001404C4" w:rsidRPr="008F4DF9" w14:paraId="2046F39D" w14:textId="77777777" w:rsidTr="00F45CC2">
        <w:tc>
          <w:tcPr>
            <w:tcW w:w="2725" w:type="dxa"/>
            <w:noWrap/>
            <w:hideMark/>
          </w:tcPr>
          <w:p w14:paraId="1093E353"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Planificación y creación de capacidad</w:t>
            </w:r>
          </w:p>
        </w:tc>
        <w:tc>
          <w:tcPr>
            <w:tcW w:w="1028" w:type="dxa"/>
            <w:noWrap/>
            <w:hideMark/>
          </w:tcPr>
          <w:p w14:paraId="14848FE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C91D6A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11</w:t>
            </w:r>
          </w:p>
        </w:tc>
        <w:tc>
          <w:tcPr>
            <w:tcW w:w="1029" w:type="dxa"/>
            <w:noWrap/>
            <w:hideMark/>
          </w:tcPr>
          <w:p w14:paraId="41E4ABE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91</w:t>
            </w:r>
          </w:p>
        </w:tc>
        <w:tc>
          <w:tcPr>
            <w:tcW w:w="1028" w:type="dxa"/>
            <w:noWrap/>
            <w:hideMark/>
          </w:tcPr>
          <w:p w14:paraId="7CA43BB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395055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102</w:t>
            </w:r>
          </w:p>
        </w:tc>
        <w:tc>
          <w:tcPr>
            <w:tcW w:w="1028" w:type="dxa"/>
            <w:noWrap/>
            <w:hideMark/>
          </w:tcPr>
          <w:p w14:paraId="46FBF86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19</w:t>
            </w:r>
          </w:p>
        </w:tc>
        <w:tc>
          <w:tcPr>
            <w:tcW w:w="1029" w:type="dxa"/>
            <w:noWrap/>
            <w:hideMark/>
          </w:tcPr>
          <w:p w14:paraId="4B769BE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83</w:t>
            </w:r>
          </w:p>
        </w:tc>
      </w:tr>
      <w:tr w:rsidR="001404C4" w:rsidRPr="008F4DF9" w14:paraId="2382BDB3" w14:textId="77777777" w:rsidTr="00F45CC2">
        <w:tc>
          <w:tcPr>
            <w:tcW w:w="2725" w:type="dxa"/>
            <w:shd w:val="clear" w:color="auto" w:fill="EAF1DD" w:themeFill="accent3" w:themeFillTint="33"/>
            <w:noWrap/>
            <w:hideMark/>
          </w:tcPr>
          <w:p w14:paraId="5CFC7E9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H. Servicios para el Comité Permanente</w:t>
            </w:r>
          </w:p>
        </w:tc>
        <w:tc>
          <w:tcPr>
            <w:tcW w:w="1028" w:type="dxa"/>
            <w:shd w:val="clear" w:color="auto" w:fill="EAF1DD" w:themeFill="accent3" w:themeFillTint="33"/>
            <w:noWrap/>
            <w:hideMark/>
          </w:tcPr>
          <w:p w14:paraId="5D91354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150</w:t>
            </w:r>
          </w:p>
        </w:tc>
        <w:tc>
          <w:tcPr>
            <w:tcW w:w="1028" w:type="dxa"/>
            <w:shd w:val="clear" w:color="auto" w:fill="EAF1DD" w:themeFill="accent3" w:themeFillTint="33"/>
            <w:noWrap/>
            <w:hideMark/>
          </w:tcPr>
          <w:p w14:paraId="26B6D1F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4EA2E34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90</w:t>
            </w:r>
          </w:p>
        </w:tc>
        <w:tc>
          <w:tcPr>
            <w:tcW w:w="1028" w:type="dxa"/>
            <w:shd w:val="clear" w:color="auto" w:fill="EAF1DD" w:themeFill="accent3" w:themeFillTint="33"/>
            <w:noWrap/>
            <w:hideMark/>
          </w:tcPr>
          <w:p w14:paraId="59F4F04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24B1DDE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240</w:t>
            </w:r>
          </w:p>
        </w:tc>
        <w:tc>
          <w:tcPr>
            <w:tcW w:w="1028" w:type="dxa"/>
            <w:shd w:val="clear" w:color="auto" w:fill="EAF1DD" w:themeFill="accent3" w:themeFillTint="33"/>
            <w:noWrap/>
            <w:hideMark/>
          </w:tcPr>
          <w:p w14:paraId="569BD80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150</w:t>
            </w:r>
          </w:p>
        </w:tc>
        <w:tc>
          <w:tcPr>
            <w:tcW w:w="1029" w:type="dxa"/>
            <w:shd w:val="clear" w:color="auto" w:fill="EAF1DD" w:themeFill="accent3" w:themeFillTint="33"/>
            <w:noWrap/>
            <w:hideMark/>
          </w:tcPr>
          <w:p w14:paraId="33BAE22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90</w:t>
            </w:r>
          </w:p>
        </w:tc>
      </w:tr>
      <w:tr w:rsidR="001404C4" w:rsidRPr="008F4DF9" w14:paraId="16484D18" w14:textId="77777777" w:rsidTr="00F45CC2">
        <w:tc>
          <w:tcPr>
            <w:tcW w:w="2725" w:type="dxa"/>
            <w:noWrap/>
            <w:hideMark/>
          </w:tcPr>
          <w:p w14:paraId="69B43319"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Apoyo a los delegados del Comité Permanente</w:t>
            </w:r>
          </w:p>
        </w:tc>
        <w:tc>
          <w:tcPr>
            <w:tcW w:w="1028" w:type="dxa"/>
            <w:noWrap/>
            <w:hideMark/>
          </w:tcPr>
          <w:p w14:paraId="4119335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45</w:t>
            </w:r>
          </w:p>
        </w:tc>
        <w:tc>
          <w:tcPr>
            <w:tcW w:w="1028" w:type="dxa"/>
            <w:noWrap/>
            <w:hideMark/>
          </w:tcPr>
          <w:p w14:paraId="7ED2F0E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D70FAD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72545FB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w:t>
            </w:r>
          </w:p>
        </w:tc>
        <w:tc>
          <w:tcPr>
            <w:tcW w:w="1029" w:type="dxa"/>
            <w:noWrap/>
            <w:hideMark/>
          </w:tcPr>
          <w:p w14:paraId="29E9370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39</w:t>
            </w:r>
          </w:p>
        </w:tc>
        <w:tc>
          <w:tcPr>
            <w:tcW w:w="1028" w:type="dxa"/>
            <w:noWrap/>
            <w:hideMark/>
          </w:tcPr>
          <w:p w14:paraId="72F0633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w:t>
            </w:r>
          </w:p>
        </w:tc>
        <w:tc>
          <w:tcPr>
            <w:tcW w:w="1029" w:type="dxa"/>
            <w:noWrap/>
            <w:hideMark/>
          </w:tcPr>
          <w:p w14:paraId="0B1A981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w:t>
            </w:r>
          </w:p>
        </w:tc>
      </w:tr>
      <w:tr w:rsidR="001404C4" w:rsidRPr="008F4DF9" w14:paraId="125FFB58" w14:textId="77777777" w:rsidTr="00F45CC2">
        <w:tc>
          <w:tcPr>
            <w:tcW w:w="2725" w:type="dxa"/>
            <w:noWrap/>
            <w:hideMark/>
          </w:tcPr>
          <w:p w14:paraId="6EC25CCB"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Reuniones del Comité Permanente</w:t>
            </w:r>
          </w:p>
        </w:tc>
        <w:tc>
          <w:tcPr>
            <w:tcW w:w="1028" w:type="dxa"/>
            <w:noWrap/>
            <w:hideMark/>
          </w:tcPr>
          <w:p w14:paraId="316ED81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w:t>
            </w:r>
          </w:p>
        </w:tc>
        <w:tc>
          <w:tcPr>
            <w:tcW w:w="1028" w:type="dxa"/>
            <w:noWrap/>
            <w:hideMark/>
          </w:tcPr>
          <w:p w14:paraId="046516C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527355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C3555A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w:t>
            </w:r>
          </w:p>
        </w:tc>
        <w:tc>
          <w:tcPr>
            <w:tcW w:w="1029" w:type="dxa"/>
            <w:noWrap/>
            <w:hideMark/>
          </w:tcPr>
          <w:p w14:paraId="6523600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16</w:t>
            </w:r>
          </w:p>
        </w:tc>
        <w:tc>
          <w:tcPr>
            <w:tcW w:w="1028" w:type="dxa"/>
            <w:noWrap/>
            <w:hideMark/>
          </w:tcPr>
          <w:p w14:paraId="1927B22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16</w:t>
            </w:r>
          </w:p>
        </w:tc>
        <w:tc>
          <w:tcPr>
            <w:tcW w:w="1029" w:type="dxa"/>
            <w:noWrap/>
            <w:hideMark/>
          </w:tcPr>
          <w:p w14:paraId="22EA523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r>
      <w:tr w:rsidR="001404C4" w:rsidRPr="008F4DF9" w14:paraId="240261DB" w14:textId="77777777" w:rsidTr="00F45CC2">
        <w:tc>
          <w:tcPr>
            <w:tcW w:w="2725" w:type="dxa"/>
            <w:noWrap/>
            <w:hideMark/>
          </w:tcPr>
          <w:p w14:paraId="073A14C5"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Traducción en las reuniones del CP</w:t>
            </w:r>
          </w:p>
        </w:tc>
        <w:tc>
          <w:tcPr>
            <w:tcW w:w="1028" w:type="dxa"/>
            <w:noWrap/>
            <w:hideMark/>
          </w:tcPr>
          <w:p w14:paraId="5A3B8D1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60</w:t>
            </w:r>
          </w:p>
        </w:tc>
        <w:tc>
          <w:tcPr>
            <w:tcW w:w="1028" w:type="dxa"/>
            <w:noWrap/>
            <w:hideMark/>
          </w:tcPr>
          <w:p w14:paraId="39A004F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AEC5E1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68E3503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388DAA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60</w:t>
            </w:r>
          </w:p>
        </w:tc>
        <w:tc>
          <w:tcPr>
            <w:tcW w:w="1028" w:type="dxa"/>
            <w:noWrap/>
            <w:hideMark/>
          </w:tcPr>
          <w:p w14:paraId="6438BA2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55</w:t>
            </w:r>
          </w:p>
        </w:tc>
        <w:tc>
          <w:tcPr>
            <w:tcW w:w="1029" w:type="dxa"/>
            <w:noWrap/>
            <w:hideMark/>
          </w:tcPr>
          <w:p w14:paraId="6F4ACF5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p>
        </w:tc>
      </w:tr>
      <w:tr w:rsidR="001404C4" w:rsidRPr="008F4DF9" w14:paraId="51A390AD" w14:textId="77777777" w:rsidTr="00F45CC2">
        <w:tc>
          <w:tcPr>
            <w:tcW w:w="2725" w:type="dxa"/>
            <w:noWrap/>
            <w:hideMark/>
          </w:tcPr>
          <w:p w14:paraId="0A70C93B"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Interpretación simultánea en las reuniones del CP</w:t>
            </w:r>
          </w:p>
        </w:tc>
        <w:tc>
          <w:tcPr>
            <w:tcW w:w="1028" w:type="dxa"/>
            <w:noWrap/>
            <w:hideMark/>
          </w:tcPr>
          <w:p w14:paraId="23E4988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35</w:t>
            </w:r>
          </w:p>
        </w:tc>
        <w:tc>
          <w:tcPr>
            <w:tcW w:w="1028" w:type="dxa"/>
            <w:noWrap/>
            <w:hideMark/>
          </w:tcPr>
          <w:p w14:paraId="13BC407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801213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1E651A7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7B54A5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35</w:t>
            </w:r>
          </w:p>
        </w:tc>
        <w:tc>
          <w:tcPr>
            <w:tcW w:w="1028" w:type="dxa"/>
            <w:noWrap/>
            <w:hideMark/>
          </w:tcPr>
          <w:p w14:paraId="70F259F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w:t>
            </w:r>
          </w:p>
        </w:tc>
        <w:tc>
          <w:tcPr>
            <w:tcW w:w="1029" w:type="dxa"/>
            <w:noWrap/>
            <w:hideMark/>
          </w:tcPr>
          <w:p w14:paraId="1C71B7C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w:t>
            </w:r>
          </w:p>
        </w:tc>
      </w:tr>
      <w:tr w:rsidR="001404C4" w:rsidRPr="008F4DF9" w14:paraId="5F046622" w14:textId="77777777" w:rsidTr="00F45CC2">
        <w:tc>
          <w:tcPr>
            <w:tcW w:w="2725" w:type="dxa"/>
            <w:noWrap/>
            <w:hideMark/>
          </w:tcPr>
          <w:p w14:paraId="0AF218B7"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Grupo de trabajo sobre la eficacia</w:t>
            </w:r>
          </w:p>
        </w:tc>
        <w:tc>
          <w:tcPr>
            <w:tcW w:w="1028" w:type="dxa"/>
            <w:noWrap/>
            <w:hideMark/>
          </w:tcPr>
          <w:p w14:paraId="04AACC1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2765781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ABDA28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70</w:t>
            </w:r>
          </w:p>
        </w:tc>
        <w:tc>
          <w:tcPr>
            <w:tcW w:w="1028" w:type="dxa"/>
            <w:noWrap/>
            <w:hideMark/>
          </w:tcPr>
          <w:p w14:paraId="58105B5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068D449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70</w:t>
            </w:r>
          </w:p>
        </w:tc>
        <w:tc>
          <w:tcPr>
            <w:tcW w:w="1028" w:type="dxa"/>
            <w:noWrap/>
            <w:hideMark/>
          </w:tcPr>
          <w:p w14:paraId="748C435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15</w:t>
            </w:r>
          </w:p>
        </w:tc>
        <w:tc>
          <w:tcPr>
            <w:tcW w:w="1029" w:type="dxa"/>
            <w:noWrap/>
            <w:hideMark/>
          </w:tcPr>
          <w:p w14:paraId="44006A8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55</w:t>
            </w:r>
          </w:p>
        </w:tc>
      </w:tr>
      <w:tr w:rsidR="001404C4" w:rsidRPr="008F4DF9" w14:paraId="1C867C04" w14:textId="77777777" w:rsidTr="00F45CC2">
        <w:tc>
          <w:tcPr>
            <w:tcW w:w="2725" w:type="dxa"/>
            <w:noWrap/>
            <w:hideMark/>
          </w:tcPr>
          <w:p w14:paraId="46CF080F"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Examen de Resoluciones (Res. XIII.4)</w:t>
            </w:r>
          </w:p>
        </w:tc>
        <w:tc>
          <w:tcPr>
            <w:tcW w:w="1028" w:type="dxa"/>
            <w:noWrap/>
            <w:hideMark/>
          </w:tcPr>
          <w:p w14:paraId="0F74FBE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15F04ED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F0E69D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20</w:t>
            </w:r>
          </w:p>
        </w:tc>
        <w:tc>
          <w:tcPr>
            <w:tcW w:w="1028" w:type="dxa"/>
            <w:noWrap/>
            <w:hideMark/>
          </w:tcPr>
          <w:p w14:paraId="26FF837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3628F8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20</w:t>
            </w:r>
          </w:p>
        </w:tc>
        <w:tc>
          <w:tcPr>
            <w:tcW w:w="1028" w:type="dxa"/>
            <w:noWrap/>
            <w:hideMark/>
          </w:tcPr>
          <w:p w14:paraId="6729AD3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4E83D5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20</w:t>
            </w:r>
          </w:p>
        </w:tc>
      </w:tr>
      <w:tr w:rsidR="001404C4" w:rsidRPr="008F4DF9" w14:paraId="7AF5E888" w14:textId="77777777" w:rsidTr="00F45CC2">
        <w:tc>
          <w:tcPr>
            <w:tcW w:w="2725" w:type="dxa"/>
            <w:shd w:val="clear" w:color="auto" w:fill="EAF1DD" w:themeFill="accent3" w:themeFillTint="33"/>
            <w:hideMark/>
          </w:tcPr>
          <w:p w14:paraId="6E506284"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J. Gastos por servicios administrativos de la UICN (máximo)</w:t>
            </w:r>
          </w:p>
        </w:tc>
        <w:tc>
          <w:tcPr>
            <w:tcW w:w="1028" w:type="dxa"/>
            <w:shd w:val="clear" w:color="auto" w:fill="EAF1DD" w:themeFill="accent3" w:themeFillTint="33"/>
            <w:noWrap/>
            <w:hideMark/>
          </w:tcPr>
          <w:p w14:paraId="1CE0639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560</w:t>
            </w:r>
          </w:p>
        </w:tc>
        <w:tc>
          <w:tcPr>
            <w:tcW w:w="1028" w:type="dxa"/>
            <w:shd w:val="clear" w:color="auto" w:fill="EAF1DD" w:themeFill="accent3" w:themeFillTint="33"/>
            <w:noWrap/>
            <w:hideMark/>
          </w:tcPr>
          <w:p w14:paraId="675907E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5D90C1F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shd w:val="clear" w:color="auto" w:fill="EAF1DD" w:themeFill="accent3" w:themeFillTint="33"/>
            <w:noWrap/>
            <w:hideMark/>
          </w:tcPr>
          <w:p w14:paraId="156D2E0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188B25C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560</w:t>
            </w:r>
          </w:p>
        </w:tc>
        <w:tc>
          <w:tcPr>
            <w:tcW w:w="1028" w:type="dxa"/>
            <w:shd w:val="clear" w:color="auto" w:fill="EAF1DD" w:themeFill="accent3" w:themeFillTint="33"/>
            <w:noWrap/>
            <w:hideMark/>
          </w:tcPr>
          <w:p w14:paraId="2D34D9F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524</w:t>
            </w:r>
          </w:p>
        </w:tc>
        <w:tc>
          <w:tcPr>
            <w:tcW w:w="1029" w:type="dxa"/>
            <w:shd w:val="clear" w:color="auto" w:fill="EAF1DD" w:themeFill="accent3" w:themeFillTint="33"/>
            <w:noWrap/>
            <w:hideMark/>
          </w:tcPr>
          <w:p w14:paraId="5F9BE6E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36</w:t>
            </w:r>
          </w:p>
        </w:tc>
      </w:tr>
      <w:tr w:rsidR="001404C4" w:rsidRPr="008F4DF9" w14:paraId="6DA6D311" w14:textId="77777777" w:rsidTr="00F45CC2">
        <w:tc>
          <w:tcPr>
            <w:tcW w:w="2725" w:type="dxa"/>
            <w:noWrap/>
            <w:hideMark/>
          </w:tcPr>
          <w:p w14:paraId="46E6A796"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Administración, RR.HH., finanzas y servicios informáticos</w:t>
            </w:r>
          </w:p>
        </w:tc>
        <w:tc>
          <w:tcPr>
            <w:tcW w:w="1028" w:type="dxa"/>
            <w:noWrap/>
            <w:hideMark/>
          </w:tcPr>
          <w:p w14:paraId="19B7FAD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560</w:t>
            </w:r>
          </w:p>
        </w:tc>
        <w:tc>
          <w:tcPr>
            <w:tcW w:w="1028" w:type="dxa"/>
            <w:noWrap/>
            <w:hideMark/>
          </w:tcPr>
          <w:p w14:paraId="421EB94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FB7F62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F6BD41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6B47BF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560</w:t>
            </w:r>
          </w:p>
        </w:tc>
        <w:tc>
          <w:tcPr>
            <w:tcW w:w="1028" w:type="dxa"/>
            <w:noWrap/>
            <w:hideMark/>
          </w:tcPr>
          <w:p w14:paraId="7504144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524</w:t>
            </w:r>
          </w:p>
        </w:tc>
        <w:tc>
          <w:tcPr>
            <w:tcW w:w="1029" w:type="dxa"/>
            <w:noWrap/>
            <w:hideMark/>
          </w:tcPr>
          <w:p w14:paraId="388BFE48"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36</w:t>
            </w:r>
          </w:p>
        </w:tc>
      </w:tr>
      <w:tr w:rsidR="001404C4" w:rsidRPr="008F4DF9" w14:paraId="4B0894C9" w14:textId="77777777" w:rsidTr="00F45CC2">
        <w:tc>
          <w:tcPr>
            <w:tcW w:w="2725" w:type="dxa"/>
            <w:shd w:val="clear" w:color="auto" w:fill="EAF1DD" w:themeFill="accent3" w:themeFillTint="33"/>
            <w:noWrap/>
            <w:hideMark/>
          </w:tcPr>
          <w:p w14:paraId="33FC14E2"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K. Varios – Fondo de reserva</w:t>
            </w:r>
          </w:p>
        </w:tc>
        <w:tc>
          <w:tcPr>
            <w:tcW w:w="1028" w:type="dxa"/>
            <w:shd w:val="clear" w:color="auto" w:fill="EAF1DD" w:themeFill="accent3" w:themeFillTint="33"/>
            <w:noWrap/>
            <w:hideMark/>
          </w:tcPr>
          <w:p w14:paraId="68B9F68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109</w:t>
            </w:r>
          </w:p>
        </w:tc>
        <w:tc>
          <w:tcPr>
            <w:tcW w:w="1028" w:type="dxa"/>
            <w:shd w:val="clear" w:color="auto" w:fill="EAF1DD" w:themeFill="accent3" w:themeFillTint="33"/>
            <w:noWrap/>
            <w:hideMark/>
          </w:tcPr>
          <w:p w14:paraId="4134278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08DD81F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224</w:t>
            </w:r>
          </w:p>
        </w:tc>
        <w:tc>
          <w:tcPr>
            <w:tcW w:w="1028" w:type="dxa"/>
            <w:shd w:val="clear" w:color="auto" w:fill="EAF1DD" w:themeFill="accent3" w:themeFillTint="33"/>
            <w:noWrap/>
            <w:hideMark/>
          </w:tcPr>
          <w:p w14:paraId="34CFE0B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EAF1DD" w:themeFill="accent3" w:themeFillTint="33"/>
            <w:noWrap/>
            <w:hideMark/>
          </w:tcPr>
          <w:p w14:paraId="25EC62E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333</w:t>
            </w:r>
          </w:p>
        </w:tc>
        <w:tc>
          <w:tcPr>
            <w:tcW w:w="1028" w:type="dxa"/>
            <w:shd w:val="clear" w:color="auto" w:fill="EAF1DD" w:themeFill="accent3" w:themeFillTint="33"/>
            <w:noWrap/>
            <w:hideMark/>
          </w:tcPr>
          <w:p w14:paraId="789A5DD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282</w:t>
            </w:r>
          </w:p>
        </w:tc>
        <w:tc>
          <w:tcPr>
            <w:tcW w:w="1029" w:type="dxa"/>
            <w:shd w:val="clear" w:color="auto" w:fill="EAF1DD" w:themeFill="accent3" w:themeFillTint="33"/>
            <w:noWrap/>
            <w:hideMark/>
          </w:tcPr>
          <w:p w14:paraId="550F67A9"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51</w:t>
            </w:r>
          </w:p>
        </w:tc>
      </w:tr>
      <w:tr w:rsidR="001404C4" w:rsidRPr="008F4DF9" w14:paraId="0DC98C1B" w14:textId="77777777" w:rsidTr="00F45CC2">
        <w:tc>
          <w:tcPr>
            <w:tcW w:w="2725" w:type="dxa"/>
            <w:noWrap/>
            <w:hideMark/>
          </w:tcPr>
          <w:p w14:paraId="2340CD6B"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Provisiones</w:t>
            </w:r>
          </w:p>
        </w:tc>
        <w:tc>
          <w:tcPr>
            <w:tcW w:w="1028" w:type="dxa"/>
            <w:noWrap/>
            <w:hideMark/>
          </w:tcPr>
          <w:p w14:paraId="08155904"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50</w:t>
            </w:r>
          </w:p>
        </w:tc>
        <w:tc>
          <w:tcPr>
            <w:tcW w:w="1028" w:type="dxa"/>
            <w:noWrap/>
            <w:hideMark/>
          </w:tcPr>
          <w:p w14:paraId="3604AB72"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6C3208B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178</w:t>
            </w:r>
          </w:p>
        </w:tc>
        <w:tc>
          <w:tcPr>
            <w:tcW w:w="1028" w:type="dxa"/>
            <w:noWrap/>
            <w:hideMark/>
          </w:tcPr>
          <w:p w14:paraId="5684EED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44CC1F0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228</w:t>
            </w:r>
          </w:p>
        </w:tc>
        <w:tc>
          <w:tcPr>
            <w:tcW w:w="1028" w:type="dxa"/>
            <w:noWrap/>
            <w:hideMark/>
          </w:tcPr>
          <w:p w14:paraId="65CE1BD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222</w:t>
            </w:r>
          </w:p>
        </w:tc>
        <w:tc>
          <w:tcPr>
            <w:tcW w:w="1029" w:type="dxa"/>
            <w:noWrap/>
            <w:hideMark/>
          </w:tcPr>
          <w:p w14:paraId="2F0FD77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w:t>
            </w:r>
          </w:p>
        </w:tc>
      </w:tr>
      <w:tr w:rsidR="001404C4" w:rsidRPr="008F4DF9" w14:paraId="20D9224D" w14:textId="77777777" w:rsidTr="00F45CC2">
        <w:tc>
          <w:tcPr>
            <w:tcW w:w="2725" w:type="dxa"/>
            <w:noWrap/>
            <w:hideMark/>
          </w:tcPr>
          <w:p w14:paraId="0810B12B"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Ganancias / pérdidas por fluctuaciones del tipo de cambio</w:t>
            </w:r>
          </w:p>
        </w:tc>
        <w:tc>
          <w:tcPr>
            <w:tcW w:w="1028" w:type="dxa"/>
            <w:noWrap/>
            <w:hideMark/>
          </w:tcPr>
          <w:p w14:paraId="03696B6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7E4B264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2407C73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59731C0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007A44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8" w:type="dxa"/>
            <w:noWrap/>
            <w:hideMark/>
          </w:tcPr>
          <w:p w14:paraId="3035AF7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29</w:t>
            </w:r>
          </w:p>
        </w:tc>
        <w:tc>
          <w:tcPr>
            <w:tcW w:w="1029" w:type="dxa"/>
            <w:noWrap/>
            <w:hideMark/>
          </w:tcPr>
          <w:p w14:paraId="1699AEF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(29)</w:t>
            </w:r>
          </w:p>
        </w:tc>
      </w:tr>
      <w:tr w:rsidR="001404C4" w:rsidRPr="008F4DF9" w14:paraId="3256A825" w14:textId="77777777" w:rsidTr="00F45CC2">
        <w:tc>
          <w:tcPr>
            <w:tcW w:w="2725" w:type="dxa"/>
            <w:noWrap/>
            <w:hideMark/>
          </w:tcPr>
          <w:p w14:paraId="4505BA24"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Servicios jurídicos</w:t>
            </w:r>
          </w:p>
        </w:tc>
        <w:tc>
          <w:tcPr>
            <w:tcW w:w="1028" w:type="dxa"/>
            <w:noWrap/>
            <w:hideMark/>
          </w:tcPr>
          <w:p w14:paraId="07C2CC93"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59</w:t>
            </w:r>
          </w:p>
        </w:tc>
        <w:tc>
          <w:tcPr>
            <w:tcW w:w="1028" w:type="dxa"/>
            <w:noWrap/>
            <w:hideMark/>
          </w:tcPr>
          <w:p w14:paraId="572EE08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3C6916B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46</w:t>
            </w:r>
          </w:p>
        </w:tc>
        <w:tc>
          <w:tcPr>
            <w:tcW w:w="1028" w:type="dxa"/>
            <w:noWrap/>
            <w:hideMark/>
          </w:tcPr>
          <w:p w14:paraId="2699BC6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noWrap/>
            <w:hideMark/>
          </w:tcPr>
          <w:p w14:paraId="72DEA02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105</w:t>
            </w:r>
          </w:p>
        </w:tc>
        <w:tc>
          <w:tcPr>
            <w:tcW w:w="1028" w:type="dxa"/>
            <w:noWrap/>
            <w:hideMark/>
          </w:tcPr>
          <w:p w14:paraId="61B2C9F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31</w:t>
            </w:r>
          </w:p>
        </w:tc>
        <w:tc>
          <w:tcPr>
            <w:tcW w:w="1029" w:type="dxa"/>
            <w:noWrap/>
            <w:hideMark/>
          </w:tcPr>
          <w:p w14:paraId="22FBD63D"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74</w:t>
            </w:r>
          </w:p>
        </w:tc>
      </w:tr>
      <w:tr w:rsidR="001404C4" w:rsidRPr="008F4DF9" w14:paraId="18BA26DE" w14:textId="77777777" w:rsidTr="00F45CC2">
        <w:tc>
          <w:tcPr>
            <w:tcW w:w="2725" w:type="dxa"/>
            <w:shd w:val="clear" w:color="auto" w:fill="D6E3BC" w:themeFill="accent3" w:themeFillTint="66"/>
            <w:noWrap/>
            <w:hideMark/>
          </w:tcPr>
          <w:p w14:paraId="417D5FF2" w14:textId="0138FCCD" w:rsidR="001404C4" w:rsidRPr="008F4DF9" w:rsidRDefault="009154DA" w:rsidP="00F45CC2">
            <w:pPr>
              <w:pStyle w:val="NoSpacing"/>
              <w:ind w:left="0" w:firstLine="0"/>
              <w:rPr>
                <w:rFonts w:asciiTheme="minorHAnsi" w:eastAsia="Times New Roman" w:hAnsiTheme="minorHAnsi" w:cstheme="minorHAnsi"/>
                <w:bCs/>
                <w:sz w:val="18"/>
                <w:szCs w:val="18"/>
              </w:rPr>
            </w:pPr>
            <w:r>
              <w:rPr>
                <w:rFonts w:asciiTheme="minorHAnsi" w:hAnsiTheme="minorHAnsi"/>
                <w:bCs/>
                <w:sz w:val="18"/>
                <w:szCs w:val="18"/>
              </w:rPr>
              <w:t>TOTAL,</w:t>
            </w:r>
            <w:r w:rsidR="001404C4" w:rsidRPr="008F4DF9">
              <w:rPr>
                <w:rFonts w:asciiTheme="minorHAnsi" w:hAnsiTheme="minorHAnsi"/>
                <w:bCs/>
                <w:sz w:val="18"/>
                <w:szCs w:val="18"/>
              </w:rPr>
              <w:t xml:space="preserve"> GASTOS</w:t>
            </w:r>
          </w:p>
        </w:tc>
        <w:tc>
          <w:tcPr>
            <w:tcW w:w="1028" w:type="dxa"/>
            <w:shd w:val="clear" w:color="auto" w:fill="D6E3BC" w:themeFill="accent3" w:themeFillTint="66"/>
            <w:noWrap/>
            <w:hideMark/>
          </w:tcPr>
          <w:p w14:paraId="01D68BDA" w14:textId="11A3B53C"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5</w:t>
            </w:r>
            <w:r w:rsidR="00652E0C" w:rsidRPr="008F4DF9">
              <w:rPr>
                <w:rFonts w:asciiTheme="minorHAnsi" w:hAnsiTheme="minorHAnsi"/>
                <w:bCs/>
                <w:sz w:val="18"/>
                <w:szCs w:val="18"/>
              </w:rPr>
              <w:t> </w:t>
            </w:r>
            <w:r w:rsidRPr="008F4DF9">
              <w:rPr>
                <w:rFonts w:asciiTheme="minorHAnsi" w:hAnsiTheme="minorHAnsi"/>
                <w:bCs/>
                <w:sz w:val="18"/>
                <w:szCs w:val="18"/>
              </w:rPr>
              <w:t>081</w:t>
            </w:r>
          </w:p>
        </w:tc>
        <w:tc>
          <w:tcPr>
            <w:tcW w:w="1028" w:type="dxa"/>
            <w:shd w:val="clear" w:color="auto" w:fill="D6E3BC" w:themeFill="accent3" w:themeFillTint="66"/>
            <w:noWrap/>
            <w:hideMark/>
          </w:tcPr>
          <w:p w14:paraId="1EBFE1D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76</w:t>
            </w:r>
          </w:p>
        </w:tc>
        <w:tc>
          <w:tcPr>
            <w:tcW w:w="1029" w:type="dxa"/>
            <w:shd w:val="clear" w:color="auto" w:fill="D6E3BC" w:themeFill="accent3" w:themeFillTint="66"/>
            <w:noWrap/>
            <w:hideMark/>
          </w:tcPr>
          <w:p w14:paraId="4248D9EB"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851</w:t>
            </w:r>
          </w:p>
        </w:tc>
        <w:tc>
          <w:tcPr>
            <w:tcW w:w="1028" w:type="dxa"/>
            <w:shd w:val="clear" w:color="auto" w:fill="D6E3BC" w:themeFill="accent3" w:themeFillTint="66"/>
            <w:noWrap/>
            <w:hideMark/>
          </w:tcPr>
          <w:p w14:paraId="7FDCD5CC"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0</w:t>
            </w:r>
          </w:p>
        </w:tc>
        <w:tc>
          <w:tcPr>
            <w:tcW w:w="1029" w:type="dxa"/>
            <w:shd w:val="clear" w:color="auto" w:fill="D6E3BC" w:themeFill="accent3" w:themeFillTint="66"/>
            <w:noWrap/>
            <w:hideMark/>
          </w:tcPr>
          <w:p w14:paraId="5602F39C" w14:textId="6D5722DB"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6</w:t>
            </w:r>
            <w:r w:rsidR="00652E0C" w:rsidRPr="008F4DF9">
              <w:rPr>
                <w:rFonts w:asciiTheme="minorHAnsi" w:hAnsiTheme="minorHAnsi"/>
                <w:bCs/>
                <w:sz w:val="18"/>
                <w:szCs w:val="18"/>
              </w:rPr>
              <w:t> </w:t>
            </w:r>
            <w:r w:rsidRPr="008F4DF9">
              <w:rPr>
                <w:rFonts w:asciiTheme="minorHAnsi" w:hAnsiTheme="minorHAnsi"/>
                <w:bCs/>
                <w:sz w:val="18"/>
                <w:szCs w:val="18"/>
              </w:rPr>
              <w:t>008</w:t>
            </w:r>
          </w:p>
        </w:tc>
        <w:tc>
          <w:tcPr>
            <w:tcW w:w="1028" w:type="dxa"/>
            <w:shd w:val="clear" w:color="auto" w:fill="D6E3BC" w:themeFill="accent3" w:themeFillTint="66"/>
            <w:noWrap/>
            <w:hideMark/>
          </w:tcPr>
          <w:p w14:paraId="4A48954B" w14:textId="508A09EB"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4</w:t>
            </w:r>
            <w:r w:rsidR="00652E0C" w:rsidRPr="008F4DF9">
              <w:rPr>
                <w:rFonts w:asciiTheme="minorHAnsi" w:hAnsiTheme="minorHAnsi"/>
                <w:bCs/>
                <w:sz w:val="18"/>
                <w:szCs w:val="18"/>
              </w:rPr>
              <w:t> </w:t>
            </w:r>
            <w:r w:rsidRPr="008F4DF9">
              <w:rPr>
                <w:rFonts w:asciiTheme="minorHAnsi" w:hAnsiTheme="minorHAnsi"/>
                <w:bCs/>
                <w:sz w:val="18"/>
                <w:szCs w:val="18"/>
              </w:rPr>
              <w:t>500</w:t>
            </w:r>
          </w:p>
        </w:tc>
        <w:tc>
          <w:tcPr>
            <w:tcW w:w="1029" w:type="dxa"/>
            <w:shd w:val="clear" w:color="auto" w:fill="D6E3BC" w:themeFill="accent3" w:themeFillTint="66"/>
            <w:noWrap/>
            <w:hideMark/>
          </w:tcPr>
          <w:p w14:paraId="5D942E1E" w14:textId="7A3C859B"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w:t>
            </w:r>
            <w:r w:rsidR="00652E0C" w:rsidRPr="008F4DF9">
              <w:rPr>
                <w:rFonts w:asciiTheme="minorHAnsi" w:hAnsiTheme="minorHAnsi"/>
                <w:bCs/>
                <w:sz w:val="18"/>
                <w:szCs w:val="18"/>
              </w:rPr>
              <w:t> </w:t>
            </w:r>
            <w:r w:rsidRPr="008F4DF9">
              <w:rPr>
                <w:rFonts w:asciiTheme="minorHAnsi" w:hAnsiTheme="minorHAnsi"/>
                <w:bCs/>
                <w:sz w:val="18"/>
                <w:szCs w:val="18"/>
              </w:rPr>
              <w:t>507</w:t>
            </w:r>
          </w:p>
        </w:tc>
      </w:tr>
      <w:tr w:rsidR="001404C4" w:rsidRPr="008F4DF9" w14:paraId="00C16199" w14:textId="77777777" w:rsidTr="00F45CC2">
        <w:tc>
          <w:tcPr>
            <w:tcW w:w="2725" w:type="dxa"/>
            <w:noWrap/>
            <w:hideMark/>
          </w:tcPr>
          <w:p w14:paraId="3871D0B1"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lastRenderedPageBreak/>
              <w:t> </w:t>
            </w:r>
          </w:p>
        </w:tc>
        <w:tc>
          <w:tcPr>
            <w:tcW w:w="1028" w:type="dxa"/>
            <w:noWrap/>
            <w:hideMark/>
          </w:tcPr>
          <w:p w14:paraId="015FD911"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55170E95"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9" w:type="dxa"/>
            <w:noWrap/>
            <w:hideMark/>
          </w:tcPr>
          <w:p w14:paraId="709746D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7684995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9" w:type="dxa"/>
            <w:noWrap/>
            <w:hideMark/>
          </w:tcPr>
          <w:p w14:paraId="57FA86B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410F605E"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9" w:type="dxa"/>
            <w:noWrap/>
            <w:hideMark/>
          </w:tcPr>
          <w:p w14:paraId="05F0C4F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r>
      <w:tr w:rsidR="001404C4" w:rsidRPr="008F4DF9" w14:paraId="29B614DC" w14:textId="77777777" w:rsidTr="00F45CC2">
        <w:tc>
          <w:tcPr>
            <w:tcW w:w="2725" w:type="dxa"/>
            <w:shd w:val="clear" w:color="auto" w:fill="D6E3BC" w:themeFill="accent3" w:themeFillTint="66"/>
            <w:hideMark/>
          </w:tcPr>
          <w:p w14:paraId="15C9D598" w14:textId="5E33A74F" w:rsidR="001404C4" w:rsidRPr="008F4DF9" w:rsidRDefault="001404C4" w:rsidP="00F45CC2">
            <w:pPr>
              <w:pStyle w:val="NoSpacing"/>
              <w:ind w:left="0" w:firstLine="0"/>
              <w:rPr>
                <w:rFonts w:asciiTheme="minorHAnsi" w:eastAsia="Times New Roman" w:hAnsiTheme="minorHAnsi" w:cstheme="minorHAnsi"/>
                <w:b/>
                <w:bCs/>
                <w:sz w:val="18"/>
                <w:szCs w:val="18"/>
              </w:rPr>
            </w:pPr>
            <w:r w:rsidRPr="008F4DF9">
              <w:rPr>
                <w:rFonts w:asciiTheme="minorHAnsi" w:hAnsiTheme="minorHAnsi"/>
                <w:b/>
                <w:bCs/>
                <w:sz w:val="18"/>
                <w:szCs w:val="18"/>
              </w:rPr>
              <w:t>Subtotal</w:t>
            </w:r>
            <w:r w:rsidR="006D4727">
              <w:rPr>
                <w:rFonts w:asciiTheme="minorHAnsi" w:hAnsiTheme="minorHAnsi"/>
                <w:b/>
                <w:bCs/>
                <w:sz w:val="18"/>
                <w:szCs w:val="18"/>
              </w:rPr>
              <w:t>,</w:t>
            </w:r>
            <w:r w:rsidRPr="008F4DF9">
              <w:rPr>
                <w:rFonts w:asciiTheme="minorHAnsi" w:hAnsiTheme="minorHAnsi"/>
                <w:b/>
                <w:bCs/>
                <w:sz w:val="18"/>
                <w:szCs w:val="18"/>
              </w:rPr>
              <w:t xml:space="preserve"> EXCEDENTE/(DÉFICIT)</w:t>
            </w:r>
          </w:p>
        </w:tc>
        <w:tc>
          <w:tcPr>
            <w:tcW w:w="1028" w:type="dxa"/>
            <w:shd w:val="clear" w:color="auto" w:fill="D6E3BC" w:themeFill="accent3" w:themeFillTint="66"/>
            <w:noWrap/>
            <w:hideMark/>
          </w:tcPr>
          <w:p w14:paraId="7B13E5BC"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45614782"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9" w:type="dxa"/>
            <w:shd w:val="clear" w:color="auto" w:fill="D6E3BC" w:themeFill="accent3" w:themeFillTint="66"/>
            <w:noWrap/>
            <w:hideMark/>
          </w:tcPr>
          <w:p w14:paraId="40011F2B"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06157F67"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9" w:type="dxa"/>
            <w:shd w:val="clear" w:color="auto" w:fill="D6E3BC" w:themeFill="accent3" w:themeFillTint="66"/>
            <w:noWrap/>
            <w:hideMark/>
          </w:tcPr>
          <w:p w14:paraId="01C5508A"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09AF6181"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562</w:t>
            </w:r>
          </w:p>
        </w:tc>
        <w:tc>
          <w:tcPr>
            <w:tcW w:w="1029" w:type="dxa"/>
            <w:shd w:val="clear" w:color="auto" w:fill="D6E3BC" w:themeFill="accent3" w:themeFillTint="66"/>
            <w:noWrap/>
            <w:hideMark/>
          </w:tcPr>
          <w:p w14:paraId="283C3B27" w14:textId="38422D71"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1</w:t>
            </w:r>
            <w:r w:rsidR="00652E0C" w:rsidRPr="008F4DF9">
              <w:rPr>
                <w:rFonts w:asciiTheme="minorHAnsi" w:hAnsiTheme="minorHAnsi"/>
                <w:b/>
                <w:bCs/>
                <w:sz w:val="18"/>
                <w:szCs w:val="18"/>
              </w:rPr>
              <w:t> </w:t>
            </w:r>
            <w:r w:rsidRPr="008F4DF9">
              <w:rPr>
                <w:rFonts w:asciiTheme="minorHAnsi" w:hAnsiTheme="minorHAnsi"/>
                <w:b/>
                <w:bCs/>
                <w:sz w:val="18"/>
                <w:szCs w:val="18"/>
              </w:rPr>
              <w:t>488</w:t>
            </w:r>
          </w:p>
        </w:tc>
      </w:tr>
      <w:tr w:rsidR="001404C4" w:rsidRPr="008F4DF9" w14:paraId="0E2A00BA" w14:textId="77777777" w:rsidTr="00F45CC2">
        <w:tc>
          <w:tcPr>
            <w:tcW w:w="2725" w:type="dxa"/>
            <w:noWrap/>
            <w:hideMark/>
          </w:tcPr>
          <w:p w14:paraId="494B1460" w14:textId="77777777" w:rsidR="001404C4" w:rsidRPr="008F4DF9" w:rsidRDefault="001404C4" w:rsidP="00F45CC2">
            <w:pPr>
              <w:pStyle w:val="NoSpacing"/>
              <w:ind w:left="0" w:firstLine="0"/>
              <w:rPr>
                <w:rFonts w:asciiTheme="minorHAnsi" w:eastAsia="Times New Roman" w:hAnsiTheme="minorHAnsi" w:cstheme="minorHAnsi"/>
                <w:bCs/>
                <w:sz w:val="18"/>
                <w:szCs w:val="18"/>
              </w:rPr>
            </w:pPr>
            <w:r w:rsidRPr="008F4DF9">
              <w:rPr>
                <w:rFonts w:asciiTheme="minorHAnsi" w:hAnsiTheme="minorHAnsi"/>
                <w:bCs/>
                <w:sz w:val="18"/>
                <w:szCs w:val="18"/>
              </w:rPr>
              <w:t>Correcciones descritas en el párrafo 12 y por redondeo</w:t>
            </w:r>
          </w:p>
        </w:tc>
        <w:tc>
          <w:tcPr>
            <w:tcW w:w="1028" w:type="dxa"/>
            <w:noWrap/>
            <w:hideMark/>
          </w:tcPr>
          <w:p w14:paraId="60597DE7"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643FF2F6"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9" w:type="dxa"/>
            <w:noWrap/>
            <w:hideMark/>
          </w:tcPr>
          <w:p w14:paraId="0458C4B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5C7FC2A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9" w:type="dxa"/>
            <w:noWrap/>
            <w:hideMark/>
          </w:tcPr>
          <w:p w14:paraId="2C5A50AA"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c>
          <w:tcPr>
            <w:tcW w:w="1028" w:type="dxa"/>
            <w:noWrap/>
            <w:hideMark/>
          </w:tcPr>
          <w:p w14:paraId="1FD549C0"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110</w:t>
            </w:r>
          </w:p>
        </w:tc>
        <w:tc>
          <w:tcPr>
            <w:tcW w:w="1029" w:type="dxa"/>
            <w:noWrap/>
            <w:hideMark/>
          </w:tcPr>
          <w:p w14:paraId="547B02DF" w14:textId="77777777" w:rsidR="001404C4" w:rsidRPr="008F4DF9" w:rsidRDefault="001404C4" w:rsidP="00F45CC2">
            <w:pPr>
              <w:pStyle w:val="NoSpacing"/>
              <w:ind w:left="0" w:firstLine="0"/>
              <w:jc w:val="right"/>
              <w:rPr>
                <w:rFonts w:asciiTheme="minorHAnsi" w:eastAsia="Times New Roman" w:hAnsiTheme="minorHAnsi" w:cstheme="minorHAnsi"/>
                <w:bCs/>
                <w:sz w:val="18"/>
                <w:szCs w:val="18"/>
              </w:rPr>
            </w:pPr>
            <w:r w:rsidRPr="008F4DF9">
              <w:rPr>
                <w:rFonts w:asciiTheme="minorHAnsi" w:hAnsiTheme="minorHAnsi"/>
                <w:bCs/>
                <w:sz w:val="18"/>
                <w:szCs w:val="18"/>
              </w:rPr>
              <w:t> </w:t>
            </w:r>
          </w:p>
        </w:tc>
      </w:tr>
      <w:tr w:rsidR="001404C4" w:rsidRPr="008F4DF9" w14:paraId="22BBFD85" w14:textId="77777777" w:rsidTr="00F45CC2">
        <w:tc>
          <w:tcPr>
            <w:tcW w:w="2725" w:type="dxa"/>
            <w:shd w:val="clear" w:color="auto" w:fill="D6E3BC" w:themeFill="accent3" w:themeFillTint="66"/>
            <w:hideMark/>
          </w:tcPr>
          <w:p w14:paraId="7C6A9FA1" w14:textId="77777777" w:rsidR="001404C4" w:rsidRPr="008F4DF9" w:rsidRDefault="001404C4" w:rsidP="00F45CC2">
            <w:pPr>
              <w:pStyle w:val="NoSpacing"/>
              <w:ind w:left="0" w:firstLine="0"/>
              <w:rPr>
                <w:rFonts w:asciiTheme="minorHAnsi" w:eastAsia="Times New Roman" w:hAnsiTheme="minorHAnsi" w:cstheme="minorHAnsi"/>
                <w:b/>
                <w:bCs/>
                <w:sz w:val="18"/>
                <w:szCs w:val="18"/>
              </w:rPr>
            </w:pPr>
            <w:r w:rsidRPr="008F4DF9">
              <w:rPr>
                <w:rFonts w:asciiTheme="minorHAnsi" w:hAnsiTheme="minorHAnsi"/>
                <w:b/>
                <w:bCs/>
                <w:sz w:val="18"/>
                <w:szCs w:val="18"/>
              </w:rPr>
              <w:t>Excedente total</w:t>
            </w:r>
          </w:p>
        </w:tc>
        <w:tc>
          <w:tcPr>
            <w:tcW w:w="1028" w:type="dxa"/>
            <w:shd w:val="clear" w:color="auto" w:fill="D6E3BC" w:themeFill="accent3" w:themeFillTint="66"/>
            <w:noWrap/>
            <w:hideMark/>
          </w:tcPr>
          <w:p w14:paraId="217AEF4F"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043B5B15"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9" w:type="dxa"/>
            <w:shd w:val="clear" w:color="auto" w:fill="D6E3BC" w:themeFill="accent3" w:themeFillTint="66"/>
            <w:noWrap/>
            <w:hideMark/>
          </w:tcPr>
          <w:p w14:paraId="7421DCA3"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521A5944"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9" w:type="dxa"/>
            <w:shd w:val="clear" w:color="auto" w:fill="D6E3BC" w:themeFill="accent3" w:themeFillTint="66"/>
            <w:noWrap/>
            <w:hideMark/>
          </w:tcPr>
          <w:p w14:paraId="57DF6FE0"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 </w:t>
            </w:r>
          </w:p>
        </w:tc>
        <w:tc>
          <w:tcPr>
            <w:tcW w:w="1028" w:type="dxa"/>
            <w:shd w:val="clear" w:color="auto" w:fill="D6E3BC" w:themeFill="accent3" w:themeFillTint="66"/>
            <w:noWrap/>
            <w:hideMark/>
          </w:tcPr>
          <w:p w14:paraId="31D3CCFA"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452</w:t>
            </w:r>
          </w:p>
        </w:tc>
        <w:tc>
          <w:tcPr>
            <w:tcW w:w="1029" w:type="dxa"/>
            <w:shd w:val="clear" w:color="auto" w:fill="D6E3BC" w:themeFill="accent3" w:themeFillTint="66"/>
            <w:noWrap/>
            <w:hideMark/>
          </w:tcPr>
          <w:p w14:paraId="256B5C2D" w14:textId="77777777" w:rsidR="001404C4" w:rsidRPr="008F4DF9" w:rsidRDefault="001404C4" w:rsidP="00F45CC2">
            <w:pPr>
              <w:pStyle w:val="NoSpacing"/>
              <w:ind w:left="0" w:firstLine="0"/>
              <w:jc w:val="right"/>
              <w:rPr>
                <w:rFonts w:asciiTheme="minorHAnsi" w:eastAsia="Times New Roman" w:hAnsiTheme="minorHAnsi" w:cstheme="minorHAnsi"/>
                <w:b/>
                <w:bCs/>
                <w:sz w:val="18"/>
                <w:szCs w:val="18"/>
              </w:rPr>
            </w:pPr>
            <w:r w:rsidRPr="008F4DF9">
              <w:rPr>
                <w:rFonts w:asciiTheme="minorHAnsi" w:hAnsiTheme="minorHAnsi"/>
                <w:b/>
                <w:bCs/>
                <w:sz w:val="18"/>
                <w:szCs w:val="18"/>
              </w:rPr>
              <w:t>1 488</w:t>
            </w:r>
          </w:p>
        </w:tc>
      </w:tr>
    </w:tbl>
    <w:p w14:paraId="20F9A29F" w14:textId="77777777" w:rsidR="001404C4" w:rsidRPr="008F4DF9" w:rsidRDefault="001404C4" w:rsidP="001404C4">
      <w:pPr>
        <w:pStyle w:val="NoSpacing"/>
        <w:ind w:left="-426" w:firstLine="0"/>
        <w:rPr>
          <w:rFonts w:asciiTheme="minorHAnsi" w:eastAsia="Times New Roman" w:hAnsiTheme="minorHAnsi" w:cs="Arial"/>
          <w:bCs/>
          <w:sz w:val="20"/>
          <w:szCs w:val="20"/>
        </w:rPr>
      </w:pPr>
      <w:r w:rsidRPr="008F4DF9">
        <w:rPr>
          <w:rFonts w:asciiTheme="minorHAnsi" w:hAnsiTheme="minorHAnsi"/>
          <w:bCs/>
          <w:sz w:val="20"/>
          <w:szCs w:val="20"/>
        </w:rPr>
        <w:t>Notas:</w:t>
      </w:r>
    </w:p>
    <w:p w14:paraId="23E0764B" w14:textId="77777777" w:rsidR="001404C4" w:rsidRPr="008F4DF9" w:rsidRDefault="001404C4" w:rsidP="001404C4">
      <w:pPr>
        <w:pStyle w:val="NoSpacing"/>
        <w:ind w:left="-426" w:firstLine="0"/>
        <w:rPr>
          <w:rFonts w:asciiTheme="minorHAnsi" w:eastAsia="Times New Roman" w:hAnsiTheme="minorHAnsi" w:cs="Arial"/>
          <w:bCs/>
          <w:sz w:val="20"/>
          <w:szCs w:val="20"/>
        </w:rPr>
      </w:pPr>
      <w:r w:rsidRPr="008F4DF9">
        <w:rPr>
          <w:rFonts w:asciiTheme="minorHAnsi" w:hAnsiTheme="minorHAnsi"/>
          <w:bCs/>
          <w:sz w:val="20"/>
          <w:szCs w:val="20"/>
        </w:rPr>
        <w:t>1) Excedente de 562 francos suizos menos 110 francos suizos (correcciones entre fondos básicos y complementarios como se indica en el párrafo 12 y diferencias de redondeo) equivale a un excedente de 452 francos suizos según los estados financieros.</w:t>
      </w:r>
    </w:p>
    <w:p w14:paraId="7526EE7D" w14:textId="77777777" w:rsidR="001404C4" w:rsidRPr="008F4DF9" w:rsidRDefault="001404C4" w:rsidP="001404C4">
      <w:pPr>
        <w:pStyle w:val="NoSpacing"/>
        <w:ind w:left="-426" w:firstLine="0"/>
        <w:rPr>
          <w:rFonts w:asciiTheme="minorHAnsi" w:eastAsia="Times New Roman" w:hAnsiTheme="minorHAnsi" w:cs="Arial"/>
          <w:bCs/>
          <w:sz w:val="20"/>
          <w:szCs w:val="20"/>
        </w:rPr>
      </w:pPr>
      <w:r w:rsidRPr="008F4DF9">
        <w:rPr>
          <w:rFonts w:asciiTheme="minorHAnsi" w:hAnsiTheme="minorHAnsi"/>
          <w:bCs/>
          <w:sz w:val="20"/>
          <w:szCs w:val="20"/>
        </w:rPr>
        <w:t>2) Véase el cuadro 1 para los detalles de las cantidades previamente comprometidas para 2019 a gastar en 2020 del excedente total de 1 488 000 francos suizos</w:t>
      </w:r>
      <w:r w:rsidRPr="008F4DF9">
        <w:rPr>
          <w:rFonts w:asciiTheme="minorHAnsi" w:hAnsiTheme="minorHAnsi"/>
          <w:bCs/>
          <w:sz w:val="20"/>
          <w:szCs w:val="20"/>
        </w:rPr>
        <w:br w:type="page"/>
      </w:r>
    </w:p>
    <w:p w14:paraId="0B2A0F52" w14:textId="40E82E5D" w:rsidR="00BA0F3C" w:rsidRPr="008F4DF9" w:rsidRDefault="001458BE" w:rsidP="007114B2">
      <w:pPr>
        <w:ind w:left="0" w:firstLine="0"/>
        <w:rPr>
          <w:rFonts w:asciiTheme="minorHAnsi" w:eastAsia="Times New Roman" w:hAnsiTheme="minorHAnsi" w:cs="Arial"/>
          <w:b/>
          <w:bCs/>
          <w:sz w:val="24"/>
          <w:szCs w:val="24"/>
        </w:rPr>
      </w:pPr>
      <w:r w:rsidRPr="008F4DF9">
        <w:rPr>
          <w:rFonts w:asciiTheme="minorHAnsi" w:hAnsiTheme="minorHAnsi"/>
          <w:b/>
          <w:bCs/>
          <w:sz w:val="24"/>
          <w:szCs w:val="24"/>
        </w:rPr>
        <w:lastRenderedPageBreak/>
        <w:t>Anexo 3</w:t>
      </w:r>
    </w:p>
    <w:p w14:paraId="098F563F" w14:textId="77777777" w:rsidR="00330040" w:rsidRPr="008F4DF9" w:rsidRDefault="001458BE" w:rsidP="007114B2">
      <w:pPr>
        <w:ind w:left="0" w:firstLine="0"/>
        <w:rPr>
          <w:rFonts w:asciiTheme="minorHAnsi" w:eastAsia="Times New Roman" w:hAnsiTheme="minorHAnsi" w:cs="Arial"/>
          <w:b/>
          <w:bCs/>
        </w:rPr>
      </w:pPr>
      <w:r w:rsidRPr="008F4DF9">
        <w:rPr>
          <w:rFonts w:asciiTheme="minorHAnsi" w:hAnsiTheme="minorHAnsi"/>
          <w:b/>
          <w:bCs/>
        </w:rPr>
        <w:t>Proyectos financiados por fondos de uso restringido para el período comprendido entre el 1 de enero de 2019 y el 31 de diciembre de 2019</w:t>
      </w:r>
    </w:p>
    <w:p w14:paraId="2A9B630D" w14:textId="4CB4D91A" w:rsidR="00413AEE" w:rsidRPr="008F4DF9" w:rsidRDefault="001458BE" w:rsidP="007114B2">
      <w:pPr>
        <w:ind w:left="0" w:firstLine="0"/>
        <w:rPr>
          <w:rFonts w:asciiTheme="minorHAnsi" w:eastAsia="Times New Roman" w:hAnsiTheme="minorHAnsi" w:cs="Arial"/>
          <w:bCs/>
          <w:i/>
          <w:sz w:val="20"/>
          <w:szCs w:val="20"/>
        </w:rPr>
      </w:pPr>
      <w:r w:rsidRPr="008F4DF9">
        <w:rPr>
          <w:rFonts w:asciiTheme="minorHAnsi" w:hAnsiTheme="minorHAnsi"/>
          <w:bCs/>
          <w:i/>
          <w:sz w:val="20"/>
          <w:szCs w:val="20"/>
        </w:rPr>
        <w:t>(en miles de francos suizos, con posibles diferencias por redondeo)</w:t>
      </w:r>
    </w:p>
    <w:p w14:paraId="50F98C31" w14:textId="77777777" w:rsidR="001404C4" w:rsidRPr="008F4DF9" w:rsidRDefault="001404C4" w:rsidP="007114B2">
      <w:pPr>
        <w:ind w:left="0" w:firstLine="0"/>
        <w:rPr>
          <w:rFonts w:asciiTheme="minorHAnsi" w:eastAsia="Times New Roman" w:hAnsiTheme="minorHAnsi" w:cs="Arial"/>
          <w:bCs/>
          <w:i/>
          <w:sz w:val="20"/>
          <w:szCs w:val="20"/>
          <w:lang w:eastAsia="en-GB"/>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1277"/>
        <w:gridCol w:w="2131"/>
        <w:gridCol w:w="1332"/>
        <w:gridCol w:w="1191"/>
        <w:gridCol w:w="1190"/>
        <w:gridCol w:w="1191"/>
        <w:gridCol w:w="1333"/>
      </w:tblGrid>
      <w:tr w:rsidR="00F45CC2" w:rsidRPr="008F4DF9" w14:paraId="32A7CE5D" w14:textId="77777777" w:rsidTr="00D8194D">
        <w:trPr>
          <w:cantSplit/>
          <w:tblHeader/>
        </w:trPr>
        <w:tc>
          <w:tcPr>
            <w:tcW w:w="1277" w:type="dxa"/>
            <w:tcBorders>
              <w:bottom w:val="nil"/>
            </w:tcBorders>
            <w:shd w:val="clear" w:color="000000" w:fill="D6E3BC"/>
            <w:vAlign w:val="center"/>
            <w:hideMark/>
          </w:tcPr>
          <w:p w14:paraId="4223B323"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Número de proyecto</w:t>
            </w:r>
          </w:p>
        </w:tc>
        <w:tc>
          <w:tcPr>
            <w:tcW w:w="2131" w:type="dxa"/>
            <w:tcBorders>
              <w:bottom w:val="nil"/>
            </w:tcBorders>
            <w:shd w:val="clear" w:color="000000" w:fill="D6E3BC"/>
            <w:vAlign w:val="center"/>
            <w:hideMark/>
          </w:tcPr>
          <w:p w14:paraId="6E9C14B0"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Nombre del proyecto</w:t>
            </w:r>
          </w:p>
        </w:tc>
        <w:tc>
          <w:tcPr>
            <w:tcW w:w="1332" w:type="dxa"/>
            <w:tcBorders>
              <w:bottom w:val="nil"/>
            </w:tcBorders>
            <w:shd w:val="clear" w:color="000000" w:fill="D6E3BC"/>
            <w:vAlign w:val="center"/>
            <w:hideMark/>
          </w:tcPr>
          <w:p w14:paraId="74D28F02"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Saldo (déficit) al 31 de diciembre de 2018</w:t>
            </w:r>
          </w:p>
        </w:tc>
        <w:tc>
          <w:tcPr>
            <w:tcW w:w="1191" w:type="dxa"/>
            <w:tcBorders>
              <w:bottom w:val="nil"/>
            </w:tcBorders>
            <w:shd w:val="clear" w:color="000000" w:fill="D6E3BC"/>
            <w:vAlign w:val="center"/>
            <w:hideMark/>
          </w:tcPr>
          <w:p w14:paraId="4CC52F4B"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Ingresos durante 2019</w:t>
            </w:r>
          </w:p>
        </w:tc>
        <w:tc>
          <w:tcPr>
            <w:tcW w:w="1190" w:type="dxa"/>
            <w:tcBorders>
              <w:bottom w:val="nil"/>
            </w:tcBorders>
            <w:shd w:val="clear" w:color="000000" w:fill="D6E3BC"/>
            <w:vAlign w:val="center"/>
            <w:hideMark/>
          </w:tcPr>
          <w:p w14:paraId="43B43BEB"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Gastos durante 2019</w:t>
            </w:r>
          </w:p>
        </w:tc>
        <w:tc>
          <w:tcPr>
            <w:tcW w:w="1191" w:type="dxa"/>
            <w:tcBorders>
              <w:bottom w:val="nil"/>
            </w:tcBorders>
            <w:shd w:val="clear" w:color="000000" w:fill="D6E3BC"/>
            <w:vAlign w:val="center"/>
            <w:hideMark/>
          </w:tcPr>
          <w:p w14:paraId="746B80E2" w14:textId="79BF866E" w:rsidR="00F45CC2" w:rsidRPr="008F4DF9" w:rsidRDefault="00F45CC2" w:rsidP="00F45CC2">
            <w:pPr>
              <w:ind w:left="0" w:firstLine="0"/>
              <w:jc w:val="center"/>
              <w:rPr>
                <w:rFonts w:eastAsia="Times New Roman" w:cs="Calibri"/>
                <w:b/>
                <w:bCs/>
                <w:sz w:val="20"/>
                <w:szCs w:val="20"/>
              </w:rPr>
            </w:pPr>
            <w:r w:rsidRPr="008F4DF9">
              <w:rPr>
                <w:b/>
                <w:bCs/>
                <w:sz w:val="20"/>
                <w:szCs w:val="20"/>
              </w:rPr>
              <w:t>Transferen</w:t>
            </w:r>
            <w:r w:rsidR="00652E0C" w:rsidRPr="008F4DF9">
              <w:rPr>
                <w:b/>
                <w:bCs/>
                <w:sz w:val="20"/>
                <w:szCs w:val="20"/>
              </w:rPr>
              <w:softHyphen/>
            </w:r>
            <w:r w:rsidRPr="008F4DF9">
              <w:rPr>
                <w:b/>
                <w:bCs/>
                <w:sz w:val="20"/>
                <w:szCs w:val="20"/>
              </w:rPr>
              <w:t>cias entre proyectos y cargos transver</w:t>
            </w:r>
            <w:r w:rsidR="00652E0C" w:rsidRPr="008F4DF9">
              <w:rPr>
                <w:b/>
                <w:bCs/>
                <w:sz w:val="20"/>
                <w:szCs w:val="20"/>
              </w:rPr>
              <w:softHyphen/>
            </w:r>
            <w:r w:rsidRPr="008F4DF9">
              <w:rPr>
                <w:b/>
                <w:bCs/>
                <w:sz w:val="20"/>
                <w:szCs w:val="20"/>
              </w:rPr>
              <w:t>sales</w:t>
            </w:r>
          </w:p>
        </w:tc>
        <w:tc>
          <w:tcPr>
            <w:tcW w:w="1333" w:type="dxa"/>
            <w:tcBorders>
              <w:bottom w:val="nil"/>
            </w:tcBorders>
            <w:shd w:val="clear" w:color="000000" w:fill="D6E3BC"/>
            <w:vAlign w:val="center"/>
            <w:hideMark/>
          </w:tcPr>
          <w:p w14:paraId="5B3C4820" w14:textId="77777777" w:rsidR="00F45CC2" w:rsidRPr="008F4DF9" w:rsidRDefault="00F45CC2" w:rsidP="00F45CC2">
            <w:pPr>
              <w:ind w:left="0" w:firstLine="0"/>
              <w:jc w:val="center"/>
              <w:rPr>
                <w:rFonts w:eastAsia="Times New Roman" w:cs="Calibri"/>
                <w:b/>
                <w:bCs/>
                <w:sz w:val="20"/>
                <w:szCs w:val="20"/>
              </w:rPr>
            </w:pPr>
            <w:r w:rsidRPr="008F4DF9">
              <w:rPr>
                <w:b/>
                <w:bCs/>
                <w:sz w:val="20"/>
                <w:szCs w:val="20"/>
              </w:rPr>
              <w:t>Saldo (déficit) al 31 de diciembre de 2019</w:t>
            </w:r>
          </w:p>
        </w:tc>
      </w:tr>
      <w:tr w:rsidR="00F45CC2" w:rsidRPr="008F4DF9" w14:paraId="42BE731C" w14:textId="77777777" w:rsidTr="00D8194D">
        <w:trPr>
          <w:cantSplit/>
          <w:tblHeader/>
        </w:trPr>
        <w:tc>
          <w:tcPr>
            <w:tcW w:w="1277" w:type="dxa"/>
            <w:tcBorders>
              <w:top w:val="nil"/>
            </w:tcBorders>
            <w:shd w:val="clear" w:color="000000" w:fill="D6E3BC"/>
            <w:hideMark/>
          </w:tcPr>
          <w:p w14:paraId="6AA49E59" w14:textId="15C271D0" w:rsidR="00F45CC2" w:rsidRPr="008F4DF9" w:rsidRDefault="00F45CC2" w:rsidP="00F45CC2">
            <w:pPr>
              <w:ind w:left="0" w:firstLine="0"/>
              <w:jc w:val="center"/>
              <w:rPr>
                <w:rFonts w:eastAsia="Times New Roman" w:cs="Calibri"/>
                <w:lang w:eastAsia="en-GB"/>
              </w:rPr>
            </w:pPr>
          </w:p>
        </w:tc>
        <w:tc>
          <w:tcPr>
            <w:tcW w:w="2131" w:type="dxa"/>
            <w:tcBorders>
              <w:top w:val="nil"/>
            </w:tcBorders>
            <w:shd w:val="clear" w:color="000000" w:fill="D6E3BC"/>
            <w:hideMark/>
          </w:tcPr>
          <w:p w14:paraId="485BB0FF" w14:textId="5F94EAB0" w:rsidR="00F45CC2" w:rsidRPr="008F4DF9" w:rsidRDefault="00F45CC2" w:rsidP="00F45CC2">
            <w:pPr>
              <w:ind w:left="0" w:firstLine="0"/>
              <w:jc w:val="center"/>
              <w:rPr>
                <w:rFonts w:eastAsia="Times New Roman" w:cs="Calibri"/>
                <w:lang w:eastAsia="en-GB"/>
              </w:rPr>
            </w:pPr>
          </w:p>
        </w:tc>
        <w:tc>
          <w:tcPr>
            <w:tcW w:w="1332" w:type="dxa"/>
            <w:tcBorders>
              <w:top w:val="nil"/>
            </w:tcBorders>
            <w:shd w:val="clear" w:color="000000" w:fill="D6E3BC"/>
            <w:vAlign w:val="center"/>
            <w:hideMark/>
          </w:tcPr>
          <w:p w14:paraId="00A1F95D" w14:textId="77777777" w:rsidR="00F45CC2" w:rsidRPr="008F4DF9" w:rsidRDefault="00F45CC2" w:rsidP="00DC0921">
            <w:pPr>
              <w:ind w:left="0" w:firstLine="0"/>
              <w:jc w:val="center"/>
              <w:rPr>
                <w:rFonts w:eastAsia="Times New Roman" w:cs="Calibri"/>
                <w:sz w:val="20"/>
                <w:szCs w:val="20"/>
              </w:rPr>
            </w:pPr>
            <w:r w:rsidRPr="008F4DF9">
              <w:rPr>
                <w:sz w:val="20"/>
                <w:szCs w:val="20"/>
              </w:rPr>
              <w:t>(DR)/CR</w:t>
            </w:r>
          </w:p>
        </w:tc>
        <w:tc>
          <w:tcPr>
            <w:tcW w:w="1191" w:type="dxa"/>
            <w:tcBorders>
              <w:top w:val="nil"/>
            </w:tcBorders>
            <w:shd w:val="clear" w:color="000000" w:fill="D6E3BC"/>
            <w:vAlign w:val="center"/>
            <w:hideMark/>
          </w:tcPr>
          <w:p w14:paraId="60E80647" w14:textId="77777777" w:rsidR="00F45CC2" w:rsidRPr="008F4DF9" w:rsidRDefault="00F45CC2" w:rsidP="00DC0921">
            <w:pPr>
              <w:ind w:left="0" w:firstLine="0"/>
              <w:jc w:val="center"/>
              <w:rPr>
                <w:rFonts w:eastAsia="Times New Roman" w:cs="Calibri"/>
                <w:sz w:val="20"/>
                <w:szCs w:val="20"/>
              </w:rPr>
            </w:pPr>
            <w:r w:rsidRPr="008F4DF9">
              <w:rPr>
                <w:sz w:val="20"/>
                <w:szCs w:val="20"/>
              </w:rPr>
              <w:t>(DR)/CR</w:t>
            </w:r>
          </w:p>
        </w:tc>
        <w:tc>
          <w:tcPr>
            <w:tcW w:w="1190" w:type="dxa"/>
            <w:tcBorders>
              <w:top w:val="nil"/>
            </w:tcBorders>
            <w:shd w:val="clear" w:color="000000" w:fill="D6E3BC"/>
            <w:vAlign w:val="center"/>
            <w:hideMark/>
          </w:tcPr>
          <w:p w14:paraId="4045B30D" w14:textId="77777777" w:rsidR="00F45CC2" w:rsidRPr="008F4DF9" w:rsidRDefault="00F45CC2" w:rsidP="00DC0921">
            <w:pPr>
              <w:ind w:left="0" w:firstLine="0"/>
              <w:jc w:val="center"/>
              <w:rPr>
                <w:rFonts w:eastAsia="Times New Roman" w:cs="Calibri"/>
                <w:sz w:val="20"/>
                <w:szCs w:val="20"/>
              </w:rPr>
            </w:pPr>
            <w:r w:rsidRPr="008F4DF9">
              <w:rPr>
                <w:sz w:val="20"/>
                <w:szCs w:val="20"/>
              </w:rPr>
              <w:t>(DR)/CR</w:t>
            </w:r>
          </w:p>
        </w:tc>
        <w:tc>
          <w:tcPr>
            <w:tcW w:w="1191" w:type="dxa"/>
            <w:tcBorders>
              <w:top w:val="nil"/>
            </w:tcBorders>
            <w:shd w:val="clear" w:color="000000" w:fill="D6E3BC"/>
            <w:vAlign w:val="center"/>
            <w:hideMark/>
          </w:tcPr>
          <w:p w14:paraId="4CF2D62F" w14:textId="77777777" w:rsidR="00F45CC2" w:rsidRPr="008F4DF9" w:rsidRDefault="00F45CC2" w:rsidP="00DC0921">
            <w:pPr>
              <w:ind w:left="0" w:firstLine="0"/>
              <w:jc w:val="center"/>
              <w:rPr>
                <w:rFonts w:eastAsia="Times New Roman" w:cs="Calibri"/>
                <w:sz w:val="20"/>
                <w:szCs w:val="20"/>
              </w:rPr>
            </w:pPr>
            <w:r w:rsidRPr="008F4DF9">
              <w:rPr>
                <w:sz w:val="20"/>
                <w:szCs w:val="20"/>
              </w:rPr>
              <w:t>(DR)/CR</w:t>
            </w:r>
          </w:p>
        </w:tc>
        <w:tc>
          <w:tcPr>
            <w:tcW w:w="1333" w:type="dxa"/>
            <w:tcBorders>
              <w:top w:val="nil"/>
            </w:tcBorders>
            <w:shd w:val="clear" w:color="000000" w:fill="D6E3BC"/>
            <w:vAlign w:val="center"/>
            <w:hideMark/>
          </w:tcPr>
          <w:p w14:paraId="1B0FA876" w14:textId="77777777" w:rsidR="00F45CC2" w:rsidRPr="008F4DF9" w:rsidRDefault="00F45CC2" w:rsidP="00DC0921">
            <w:pPr>
              <w:ind w:left="0" w:firstLine="0"/>
              <w:jc w:val="center"/>
              <w:rPr>
                <w:rFonts w:eastAsia="Times New Roman" w:cs="Calibri"/>
                <w:sz w:val="20"/>
                <w:szCs w:val="20"/>
              </w:rPr>
            </w:pPr>
            <w:r w:rsidRPr="008F4DF9">
              <w:rPr>
                <w:sz w:val="20"/>
                <w:szCs w:val="20"/>
              </w:rPr>
              <w:t>(DR)/CR</w:t>
            </w:r>
          </w:p>
        </w:tc>
      </w:tr>
      <w:tr w:rsidR="00DC0921" w:rsidRPr="008F4DF9" w14:paraId="288CF680" w14:textId="77777777" w:rsidTr="00D8194D">
        <w:trPr>
          <w:cantSplit/>
        </w:trPr>
        <w:tc>
          <w:tcPr>
            <w:tcW w:w="3408" w:type="dxa"/>
            <w:gridSpan w:val="2"/>
            <w:shd w:val="clear" w:color="auto" w:fill="auto"/>
            <w:vAlign w:val="center"/>
            <w:hideMark/>
          </w:tcPr>
          <w:p w14:paraId="6FB6F874" w14:textId="77777777" w:rsidR="00DC0921" w:rsidRPr="008F4DF9" w:rsidRDefault="00DC0921" w:rsidP="00F45CC2">
            <w:pPr>
              <w:ind w:left="0" w:firstLine="0"/>
              <w:rPr>
                <w:rFonts w:eastAsia="Times New Roman" w:cs="Calibri"/>
                <w:b/>
                <w:bCs/>
                <w:sz w:val="20"/>
                <w:szCs w:val="20"/>
              </w:rPr>
            </w:pPr>
            <w:r w:rsidRPr="008F4DF9">
              <w:rPr>
                <w:b/>
                <w:bCs/>
                <w:sz w:val="20"/>
                <w:szCs w:val="20"/>
              </w:rPr>
              <w:t> </w:t>
            </w:r>
          </w:p>
          <w:p w14:paraId="1F52D483" w14:textId="59667B9E" w:rsidR="00DC0921" w:rsidRPr="008F4DF9" w:rsidRDefault="00DC0921" w:rsidP="00DC0921">
            <w:pPr>
              <w:ind w:left="0" w:firstLine="0"/>
              <w:rPr>
                <w:rFonts w:eastAsia="Times New Roman" w:cs="Calibri"/>
                <w:b/>
                <w:bCs/>
                <w:sz w:val="20"/>
                <w:szCs w:val="20"/>
              </w:rPr>
            </w:pPr>
            <w:r w:rsidRPr="008F4DF9">
              <w:rPr>
                <w:b/>
                <w:bCs/>
                <w:sz w:val="20"/>
                <w:szCs w:val="20"/>
                <w:u w:val="single"/>
              </w:rPr>
              <w:t>Cooperación Internacional</w:t>
            </w:r>
          </w:p>
        </w:tc>
        <w:tc>
          <w:tcPr>
            <w:tcW w:w="1332" w:type="dxa"/>
            <w:shd w:val="clear" w:color="auto" w:fill="auto"/>
            <w:vAlign w:val="bottom"/>
            <w:hideMark/>
          </w:tcPr>
          <w:p w14:paraId="47AF692D" w14:textId="77777777" w:rsidR="00DC0921" w:rsidRPr="008F4DF9" w:rsidRDefault="00DC0921" w:rsidP="00DC0921">
            <w:pPr>
              <w:ind w:left="0" w:firstLine="0"/>
              <w:jc w:val="right"/>
              <w:rPr>
                <w:rFonts w:eastAsia="Times New Roman" w:cs="Calibri"/>
                <w:sz w:val="20"/>
                <w:szCs w:val="20"/>
              </w:rPr>
            </w:pPr>
            <w:r w:rsidRPr="008F4DF9">
              <w:rPr>
                <w:sz w:val="20"/>
                <w:szCs w:val="20"/>
              </w:rPr>
              <w:t> </w:t>
            </w:r>
          </w:p>
        </w:tc>
        <w:tc>
          <w:tcPr>
            <w:tcW w:w="1191" w:type="dxa"/>
            <w:shd w:val="clear" w:color="auto" w:fill="auto"/>
            <w:vAlign w:val="bottom"/>
            <w:hideMark/>
          </w:tcPr>
          <w:p w14:paraId="2F62B70B" w14:textId="77777777" w:rsidR="00DC0921" w:rsidRPr="008F4DF9" w:rsidRDefault="00DC0921" w:rsidP="00DC0921">
            <w:pPr>
              <w:ind w:left="0" w:firstLine="0"/>
              <w:rPr>
                <w:rFonts w:eastAsia="Times New Roman" w:cs="Calibri"/>
              </w:rPr>
            </w:pPr>
            <w:r w:rsidRPr="008F4DF9">
              <w:t> </w:t>
            </w:r>
          </w:p>
        </w:tc>
        <w:tc>
          <w:tcPr>
            <w:tcW w:w="1190" w:type="dxa"/>
            <w:shd w:val="clear" w:color="auto" w:fill="auto"/>
            <w:vAlign w:val="bottom"/>
            <w:hideMark/>
          </w:tcPr>
          <w:p w14:paraId="7914F6B6" w14:textId="77777777" w:rsidR="00DC0921" w:rsidRPr="008F4DF9" w:rsidRDefault="00DC0921" w:rsidP="00DC0921">
            <w:pPr>
              <w:ind w:left="0" w:firstLine="0"/>
              <w:rPr>
                <w:rFonts w:eastAsia="Times New Roman" w:cs="Calibri"/>
              </w:rPr>
            </w:pPr>
            <w:r w:rsidRPr="008F4DF9">
              <w:t> </w:t>
            </w:r>
          </w:p>
        </w:tc>
        <w:tc>
          <w:tcPr>
            <w:tcW w:w="1191" w:type="dxa"/>
            <w:shd w:val="clear" w:color="auto" w:fill="auto"/>
            <w:vAlign w:val="bottom"/>
            <w:hideMark/>
          </w:tcPr>
          <w:p w14:paraId="34499C87" w14:textId="77777777" w:rsidR="00DC0921" w:rsidRPr="008F4DF9" w:rsidRDefault="00DC0921" w:rsidP="00DC0921">
            <w:pPr>
              <w:ind w:left="0" w:firstLine="0"/>
              <w:rPr>
                <w:rFonts w:eastAsia="Times New Roman" w:cs="Calibri"/>
              </w:rPr>
            </w:pPr>
            <w:r w:rsidRPr="008F4DF9">
              <w:t> </w:t>
            </w:r>
          </w:p>
        </w:tc>
        <w:tc>
          <w:tcPr>
            <w:tcW w:w="1333" w:type="dxa"/>
            <w:shd w:val="clear" w:color="auto" w:fill="auto"/>
            <w:vAlign w:val="bottom"/>
            <w:hideMark/>
          </w:tcPr>
          <w:p w14:paraId="0706BCFD" w14:textId="77777777" w:rsidR="00DC0921" w:rsidRPr="008F4DF9" w:rsidRDefault="00DC0921" w:rsidP="00DC0921">
            <w:pPr>
              <w:ind w:left="0" w:firstLine="0"/>
              <w:rPr>
                <w:rFonts w:eastAsia="Times New Roman" w:cs="Calibri"/>
              </w:rPr>
            </w:pPr>
            <w:r w:rsidRPr="008F4DF9">
              <w:t> </w:t>
            </w:r>
          </w:p>
        </w:tc>
      </w:tr>
      <w:tr w:rsidR="00F45CC2" w:rsidRPr="008F4DF9" w14:paraId="7E3A25BA" w14:textId="77777777" w:rsidTr="00D8194D">
        <w:tc>
          <w:tcPr>
            <w:tcW w:w="1277" w:type="dxa"/>
            <w:shd w:val="clear" w:color="auto" w:fill="auto"/>
            <w:hideMark/>
          </w:tcPr>
          <w:p w14:paraId="2219CAB7" w14:textId="77777777" w:rsidR="00F45CC2" w:rsidRPr="008F4DF9" w:rsidRDefault="00F45CC2" w:rsidP="00DC0921">
            <w:pPr>
              <w:ind w:left="0" w:firstLine="0"/>
              <w:rPr>
                <w:rFonts w:eastAsia="Times New Roman" w:cs="Calibri"/>
                <w:sz w:val="20"/>
                <w:szCs w:val="20"/>
              </w:rPr>
            </w:pPr>
            <w:r w:rsidRPr="008F4DF9">
              <w:rPr>
                <w:sz w:val="20"/>
                <w:szCs w:val="20"/>
              </w:rPr>
              <w:t>R100159</w:t>
            </w:r>
          </w:p>
        </w:tc>
        <w:tc>
          <w:tcPr>
            <w:tcW w:w="2131" w:type="dxa"/>
            <w:shd w:val="clear" w:color="auto" w:fill="auto"/>
            <w:noWrap/>
            <w:hideMark/>
          </w:tcPr>
          <w:p w14:paraId="528287F3"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FPS-2009</w:t>
            </w:r>
          </w:p>
        </w:tc>
        <w:tc>
          <w:tcPr>
            <w:tcW w:w="1332" w:type="dxa"/>
            <w:shd w:val="clear" w:color="auto" w:fill="auto"/>
            <w:hideMark/>
          </w:tcPr>
          <w:p w14:paraId="74A65B54" w14:textId="77777777" w:rsidR="00F45CC2" w:rsidRPr="008F4DF9" w:rsidRDefault="00F45CC2" w:rsidP="00DC0921">
            <w:pPr>
              <w:ind w:left="0" w:firstLine="0"/>
              <w:jc w:val="right"/>
              <w:rPr>
                <w:rFonts w:eastAsia="Times New Roman" w:cs="Calibri"/>
                <w:sz w:val="20"/>
                <w:szCs w:val="20"/>
              </w:rPr>
            </w:pPr>
            <w:r w:rsidRPr="008F4DF9">
              <w:rPr>
                <w:sz w:val="20"/>
                <w:szCs w:val="20"/>
              </w:rPr>
              <w:t>60</w:t>
            </w:r>
          </w:p>
        </w:tc>
        <w:tc>
          <w:tcPr>
            <w:tcW w:w="1191" w:type="dxa"/>
            <w:shd w:val="clear" w:color="auto" w:fill="auto"/>
            <w:hideMark/>
          </w:tcPr>
          <w:p w14:paraId="2D0A8E7E"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9093DAF"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4290281C" w14:textId="77777777" w:rsidR="00F45CC2" w:rsidRPr="008F4DF9" w:rsidRDefault="00F45CC2" w:rsidP="00DC0921">
            <w:pPr>
              <w:ind w:left="0" w:firstLine="0"/>
              <w:jc w:val="right"/>
              <w:rPr>
                <w:rFonts w:eastAsia="Times New Roman" w:cs="Calibri"/>
                <w:sz w:val="20"/>
                <w:szCs w:val="20"/>
              </w:rPr>
            </w:pPr>
            <w:r w:rsidRPr="008F4DF9">
              <w:rPr>
                <w:sz w:val="20"/>
                <w:szCs w:val="20"/>
              </w:rPr>
              <w:t>(60)</w:t>
            </w:r>
          </w:p>
        </w:tc>
        <w:tc>
          <w:tcPr>
            <w:tcW w:w="1333" w:type="dxa"/>
            <w:shd w:val="clear" w:color="auto" w:fill="auto"/>
            <w:hideMark/>
          </w:tcPr>
          <w:p w14:paraId="2F5F833A"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33CE37CE" w14:textId="77777777" w:rsidTr="00D8194D">
        <w:tc>
          <w:tcPr>
            <w:tcW w:w="1277" w:type="dxa"/>
            <w:shd w:val="clear" w:color="auto" w:fill="auto"/>
            <w:hideMark/>
          </w:tcPr>
          <w:p w14:paraId="17C652B9" w14:textId="77777777" w:rsidR="00F45CC2" w:rsidRPr="008F4DF9" w:rsidRDefault="00F45CC2" w:rsidP="00DC0921">
            <w:pPr>
              <w:ind w:left="0" w:firstLine="0"/>
              <w:rPr>
                <w:rFonts w:eastAsia="Times New Roman" w:cs="Calibri"/>
                <w:sz w:val="20"/>
                <w:szCs w:val="20"/>
              </w:rPr>
            </w:pPr>
            <w:r w:rsidRPr="008F4DF9">
              <w:rPr>
                <w:sz w:val="20"/>
                <w:szCs w:val="20"/>
              </w:rPr>
              <w:t>R100160</w:t>
            </w:r>
          </w:p>
        </w:tc>
        <w:tc>
          <w:tcPr>
            <w:tcW w:w="2131" w:type="dxa"/>
            <w:shd w:val="clear" w:color="auto" w:fill="auto"/>
            <w:noWrap/>
            <w:hideMark/>
          </w:tcPr>
          <w:p w14:paraId="2E604A51"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FPS-2010</w:t>
            </w:r>
          </w:p>
        </w:tc>
        <w:tc>
          <w:tcPr>
            <w:tcW w:w="1332" w:type="dxa"/>
            <w:shd w:val="clear" w:color="auto" w:fill="auto"/>
            <w:hideMark/>
          </w:tcPr>
          <w:p w14:paraId="3F0FC75D" w14:textId="77777777" w:rsidR="00F45CC2" w:rsidRPr="008F4DF9" w:rsidRDefault="00F45CC2" w:rsidP="00DC0921">
            <w:pPr>
              <w:ind w:left="0" w:firstLine="0"/>
              <w:jc w:val="right"/>
              <w:rPr>
                <w:rFonts w:eastAsia="Times New Roman" w:cs="Calibri"/>
                <w:sz w:val="20"/>
                <w:szCs w:val="20"/>
              </w:rPr>
            </w:pPr>
            <w:r w:rsidRPr="008F4DF9">
              <w:rPr>
                <w:sz w:val="20"/>
                <w:szCs w:val="20"/>
              </w:rPr>
              <w:t>53</w:t>
            </w:r>
          </w:p>
        </w:tc>
        <w:tc>
          <w:tcPr>
            <w:tcW w:w="1191" w:type="dxa"/>
            <w:shd w:val="clear" w:color="auto" w:fill="auto"/>
            <w:hideMark/>
          </w:tcPr>
          <w:p w14:paraId="5B600EA1"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F1E1A2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10DDC740" w14:textId="77777777" w:rsidR="00F45CC2" w:rsidRPr="008F4DF9" w:rsidRDefault="00F45CC2" w:rsidP="00DC0921">
            <w:pPr>
              <w:ind w:left="0" w:firstLine="0"/>
              <w:jc w:val="right"/>
              <w:rPr>
                <w:rFonts w:eastAsia="Times New Roman" w:cs="Calibri"/>
                <w:sz w:val="20"/>
                <w:szCs w:val="20"/>
              </w:rPr>
            </w:pPr>
            <w:r w:rsidRPr="008F4DF9">
              <w:rPr>
                <w:sz w:val="20"/>
                <w:szCs w:val="20"/>
              </w:rPr>
              <w:t>(53)</w:t>
            </w:r>
          </w:p>
        </w:tc>
        <w:tc>
          <w:tcPr>
            <w:tcW w:w="1333" w:type="dxa"/>
            <w:shd w:val="clear" w:color="auto" w:fill="auto"/>
            <w:hideMark/>
          </w:tcPr>
          <w:p w14:paraId="27319281"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6419D841" w14:textId="77777777" w:rsidTr="00D8194D">
        <w:tc>
          <w:tcPr>
            <w:tcW w:w="1277" w:type="dxa"/>
            <w:shd w:val="clear" w:color="auto" w:fill="auto"/>
            <w:hideMark/>
          </w:tcPr>
          <w:p w14:paraId="093FA49E" w14:textId="77777777" w:rsidR="00F45CC2" w:rsidRPr="008F4DF9" w:rsidRDefault="00F45CC2" w:rsidP="00DC0921">
            <w:pPr>
              <w:ind w:left="0" w:firstLine="0"/>
              <w:rPr>
                <w:rFonts w:eastAsia="Times New Roman" w:cs="Calibri"/>
                <w:sz w:val="20"/>
                <w:szCs w:val="20"/>
              </w:rPr>
            </w:pPr>
            <w:r w:rsidRPr="008F4DF9">
              <w:rPr>
                <w:sz w:val="20"/>
                <w:szCs w:val="20"/>
              </w:rPr>
              <w:t>R100161</w:t>
            </w:r>
          </w:p>
        </w:tc>
        <w:tc>
          <w:tcPr>
            <w:tcW w:w="2131" w:type="dxa"/>
            <w:shd w:val="clear" w:color="auto" w:fill="auto"/>
            <w:noWrap/>
            <w:hideMark/>
          </w:tcPr>
          <w:p w14:paraId="699AFF83"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FPS-2011</w:t>
            </w:r>
          </w:p>
        </w:tc>
        <w:tc>
          <w:tcPr>
            <w:tcW w:w="1332" w:type="dxa"/>
            <w:shd w:val="clear" w:color="auto" w:fill="auto"/>
            <w:hideMark/>
          </w:tcPr>
          <w:p w14:paraId="7A4934AE" w14:textId="77777777" w:rsidR="00F45CC2" w:rsidRPr="008F4DF9" w:rsidRDefault="00F45CC2" w:rsidP="00DC0921">
            <w:pPr>
              <w:ind w:left="0" w:firstLine="0"/>
              <w:jc w:val="right"/>
              <w:rPr>
                <w:rFonts w:eastAsia="Times New Roman" w:cs="Calibri"/>
                <w:sz w:val="20"/>
                <w:szCs w:val="20"/>
              </w:rPr>
            </w:pPr>
            <w:r w:rsidRPr="008F4DF9">
              <w:rPr>
                <w:sz w:val="20"/>
                <w:szCs w:val="20"/>
              </w:rPr>
              <w:t>23</w:t>
            </w:r>
          </w:p>
        </w:tc>
        <w:tc>
          <w:tcPr>
            <w:tcW w:w="1191" w:type="dxa"/>
            <w:shd w:val="clear" w:color="auto" w:fill="auto"/>
            <w:hideMark/>
          </w:tcPr>
          <w:p w14:paraId="6576ED3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1E7780D8"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6996AFD7" w14:textId="77777777" w:rsidR="00F45CC2" w:rsidRPr="008F4DF9" w:rsidRDefault="00F45CC2" w:rsidP="00DC0921">
            <w:pPr>
              <w:ind w:left="0" w:firstLine="0"/>
              <w:jc w:val="right"/>
              <w:rPr>
                <w:rFonts w:eastAsia="Times New Roman" w:cs="Calibri"/>
                <w:sz w:val="20"/>
                <w:szCs w:val="20"/>
              </w:rPr>
            </w:pPr>
            <w:r w:rsidRPr="008F4DF9">
              <w:rPr>
                <w:sz w:val="20"/>
                <w:szCs w:val="20"/>
              </w:rPr>
              <w:t>(23)</w:t>
            </w:r>
          </w:p>
        </w:tc>
        <w:tc>
          <w:tcPr>
            <w:tcW w:w="1333" w:type="dxa"/>
            <w:shd w:val="clear" w:color="auto" w:fill="auto"/>
            <w:hideMark/>
          </w:tcPr>
          <w:p w14:paraId="54E4AEF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56A5968B" w14:textId="77777777" w:rsidTr="00D8194D">
        <w:tc>
          <w:tcPr>
            <w:tcW w:w="1277" w:type="dxa"/>
            <w:shd w:val="clear" w:color="auto" w:fill="auto"/>
            <w:hideMark/>
          </w:tcPr>
          <w:p w14:paraId="4E8A263B" w14:textId="77777777" w:rsidR="00F45CC2" w:rsidRPr="008F4DF9" w:rsidRDefault="00F45CC2" w:rsidP="00DC0921">
            <w:pPr>
              <w:ind w:left="0" w:firstLine="0"/>
              <w:rPr>
                <w:rFonts w:eastAsia="Times New Roman" w:cs="Calibri"/>
                <w:sz w:val="20"/>
                <w:szCs w:val="20"/>
              </w:rPr>
            </w:pPr>
            <w:r w:rsidRPr="008F4DF9">
              <w:rPr>
                <w:sz w:val="20"/>
                <w:szCs w:val="20"/>
              </w:rPr>
              <w:t>R100163</w:t>
            </w:r>
          </w:p>
        </w:tc>
        <w:tc>
          <w:tcPr>
            <w:tcW w:w="2131" w:type="dxa"/>
            <w:shd w:val="clear" w:color="auto" w:fill="auto"/>
            <w:noWrap/>
            <w:hideMark/>
          </w:tcPr>
          <w:p w14:paraId="24E97F80"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FPS-2009-2020</w:t>
            </w:r>
          </w:p>
        </w:tc>
        <w:tc>
          <w:tcPr>
            <w:tcW w:w="1332" w:type="dxa"/>
            <w:shd w:val="clear" w:color="auto" w:fill="auto"/>
            <w:hideMark/>
          </w:tcPr>
          <w:p w14:paraId="2CCD11B7" w14:textId="77777777" w:rsidR="00F45CC2" w:rsidRPr="008F4DF9" w:rsidRDefault="00F45CC2" w:rsidP="00DC0921">
            <w:pPr>
              <w:ind w:left="0" w:firstLine="0"/>
              <w:jc w:val="right"/>
              <w:rPr>
                <w:rFonts w:eastAsia="Times New Roman" w:cs="Calibri"/>
                <w:sz w:val="20"/>
                <w:szCs w:val="20"/>
              </w:rPr>
            </w:pPr>
            <w:r w:rsidRPr="008F4DF9">
              <w:rPr>
                <w:sz w:val="20"/>
                <w:szCs w:val="20"/>
              </w:rPr>
              <w:t>1</w:t>
            </w:r>
          </w:p>
        </w:tc>
        <w:tc>
          <w:tcPr>
            <w:tcW w:w="1191" w:type="dxa"/>
            <w:shd w:val="clear" w:color="auto" w:fill="auto"/>
            <w:hideMark/>
          </w:tcPr>
          <w:p w14:paraId="522D668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32C25894" w14:textId="77777777" w:rsidR="00F45CC2" w:rsidRPr="008F4DF9" w:rsidRDefault="00F45CC2" w:rsidP="00DC0921">
            <w:pPr>
              <w:ind w:left="0" w:firstLine="0"/>
              <w:jc w:val="right"/>
              <w:rPr>
                <w:rFonts w:eastAsia="Times New Roman" w:cs="Calibri"/>
                <w:sz w:val="20"/>
                <w:szCs w:val="20"/>
              </w:rPr>
            </w:pPr>
            <w:r w:rsidRPr="008F4DF9">
              <w:rPr>
                <w:sz w:val="20"/>
                <w:szCs w:val="20"/>
              </w:rPr>
              <w:t>(82)</w:t>
            </w:r>
          </w:p>
        </w:tc>
        <w:tc>
          <w:tcPr>
            <w:tcW w:w="1191" w:type="dxa"/>
            <w:shd w:val="clear" w:color="auto" w:fill="auto"/>
            <w:hideMark/>
          </w:tcPr>
          <w:p w14:paraId="64CCE6F4" w14:textId="77777777" w:rsidR="00F45CC2" w:rsidRPr="008F4DF9" w:rsidRDefault="00F45CC2" w:rsidP="00DC0921">
            <w:pPr>
              <w:ind w:left="0" w:firstLine="0"/>
              <w:jc w:val="right"/>
              <w:rPr>
                <w:rFonts w:eastAsia="Times New Roman" w:cs="Calibri"/>
                <w:sz w:val="20"/>
                <w:szCs w:val="20"/>
              </w:rPr>
            </w:pPr>
            <w:r w:rsidRPr="008F4DF9">
              <w:rPr>
                <w:sz w:val="20"/>
                <w:szCs w:val="20"/>
              </w:rPr>
              <w:t>137</w:t>
            </w:r>
          </w:p>
        </w:tc>
        <w:tc>
          <w:tcPr>
            <w:tcW w:w="1333" w:type="dxa"/>
            <w:shd w:val="clear" w:color="auto" w:fill="auto"/>
            <w:hideMark/>
          </w:tcPr>
          <w:p w14:paraId="23C4F988" w14:textId="77777777" w:rsidR="00F45CC2" w:rsidRPr="008F4DF9" w:rsidRDefault="00F45CC2" w:rsidP="00DC0921">
            <w:pPr>
              <w:ind w:left="0" w:firstLine="0"/>
              <w:jc w:val="right"/>
              <w:rPr>
                <w:rFonts w:eastAsia="Times New Roman" w:cs="Calibri"/>
                <w:sz w:val="20"/>
                <w:szCs w:val="20"/>
              </w:rPr>
            </w:pPr>
            <w:r w:rsidRPr="008F4DF9">
              <w:rPr>
                <w:sz w:val="20"/>
                <w:szCs w:val="20"/>
              </w:rPr>
              <w:t>56</w:t>
            </w:r>
          </w:p>
        </w:tc>
      </w:tr>
      <w:tr w:rsidR="00F45CC2" w:rsidRPr="008F4DF9" w14:paraId="7B62DF63" w14:textId="77777777" w:rsidTr="00D8194D">
        <w:tc>
          <w:tcPr>
            <w:tcW w:w="1277" w:type="dxa"/>
            <w:shd w:val="clear" w:color="auto" w:fill="auto"/>
            <w:hideMark/>
          </w:tcPr>
          <w:p w14:paraId="298D3EEB" w14:textId="77777777" w:rsidR="00F45CC2" w:rsidRPr="008F4DF9" w:rsidRDefault="00F45CC2" w:rsidP="00DC0921">
            <w:pPr>
              <w:ind w:left="0" w:firstLine="0"/>
              <w:rPr>
                <w:rFonts w:eastAsia="Times New Roman" w:cs="Calibri"/>
                <w:sz w:val="20"/>
                <w:szCs w:val="20"/>
              </w:rPr>
            </w:pPr>
            <w:r w:rsidRPr="008F4DF9">
              <w:rPr>
                <w:sz w:val="20"/>
                <w:szCs w:val="20"/>
              </w:rPr>
              <w:t>R100265</w:t>
            </w:r>
          </w:p>
        </w:tc>
        <w:tc>
          <w:tcPr>
            <w:tcW w:w="2131" w:type="dxa"/>
            <w:shd w:val="clear" w:color="auto" w:fill="auto"/>
            <w:noWrap/>
            <w:hideMark/>
          </w:tcPr>
          <w:p w14:paraId="2AB390D8"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Subvención Suiza para África (SSA)-Pre-2016</w:t>
            </w:r>
          </w:p>
        </w:tc>
        <w:tc>
          <w:tcPr>
            <w:tcW w:w="1332" w:type="dxa"/>
            <w:shd w:val="clear" w:color="auto" w:fill="auto"/>
            <w:hideMark/>
          </w:tcPr>
          <w:p w14:paraId="45C86F48" w14:textId="77777777" w:rsidR="00F45CC2" w:rsidRPr="008F4DF9" w:rsidRDefault="00F45CC2" w:rsidP="00DC0921">
            <w:pPr>
              <w:ind w:left="0" w:firstLine="0"/>
              <w:jc w:val="right"/>
              <w:rPr>
                <w:rFonts w:eastAsia="Times New Roman" w:cs="Calibri"/>
                <w:sz w:val="20"/>
                <w:szCs w:val="20"/>
              </w:rPr>
            </w:pPr>
            <w:r w:rsidRPr="008F4DF9">
              <w:rPr>
                <w:sz w:val="20"/>
                <w:szCs w:val="20"/>
              </w:rPr>
              <w:t>235</w:t>
            </w:r>
          </w:p>
        </w:tc>
        <w:tc>
          <w:tcPr>
            <w:tcW w:w="1191" w:type="dxa"/>
            <w:shd w:val="clear" w:color="auto" w:fill="auto"/>
            <w:hideMark/>
          </w:tcPr>
          <w:p w14:paraId="3561FB91"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AFCBE6C"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1D21F96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3B6A62F3" w14:textId="77777777" w:rsidR="00F45CC2" w:rsidRPr="008F4DF9" w:rsidRDefault="00F45CC2" w:rsidP="00DC0921">
            <w:pPr>
              <w:ind w:left="0" w:firstLine="0"/>
              <w:jc w:val="right"/>
              <w:rPr>
                <w:rFonts w:eastAsia="Times New Roman" w:cs="Calibri"/>
                <w:sz w:val="20"/>
                <w:szCs w:val="20"/>
              </w:rPr>
            </w:pPr>
            <w:r w:rsidRPr="008F4DF9">
              <w:rPr>
                <w:sz w:val="20"/>
                <w:szCs w:val="20"/>
              </w:rPr>
              <w:t>231</w:t>
            </w:r>
          </w:p>
        </w:tc>
      </w:tr>
      <w:tr w:rsidR="00F45CC2" w:rsidRPr="008F4DF9" w14:paraId="664FC802" w14:textId="77777777" w:rsidTr="00D8194D">
        <w:tc>
          <w:tcPr>
            <w:tcW w:w="1277" w:type="dxa"/>
            <w:shd w:val="clear" w:color="auto" w:fill="auto"/>
            <w:hideMark/>
          </w:tcPr>
          <w:p w14:paraId="1B20D460" w14:textId="77777777" w:rsidR="00F45CC2" w:rsidRPr="008F4DF9" w:rsidRDefault="00F45CC2" w:rsidP="00DC0921">
            <w:pPr>
              <w:ind w:left="0" w:firstLine="0"/>
              <w:rPr>
                <w:rFonts w:eastAsia="Times New Roman" w:cs="Calibri"/>
                <w:sz w:val="20"/>
                <w:szCs w:val="20"/>
              </w:rPr>
            </w:pPr>
            <w:r w:rsidRPr="008F4DF9">
              <w:rPr>
                <w:sz w:val="20"/>
                <w:szCs w:val="20"/>
              </w:rPr>
              <w:t>R100266</w:t>
            </w:r>
          </w:p>
        </w:tc>
        <w:tc>
          <w:tcPr>
            <w:tcW w:w="2131" w:type="dxa"/>
            <w:shd w:val="clear" w:color="auto" w:fill="auto"/>
            <w:noWrap/>
            <w:hideMark/>
          </w:tcPr>
          <w:p w14:paraId="558020A5"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SSA-2016</w:t>
            </w:r>
          </w:p>
        </w:tc>
        <w:tc>
          <w:tcPr>
            <w:tcW w:w="1332" w:type="dxa"/>
            <w:shd w:val="clear" w:color="auto" w:fill="auto"/>
            <w:hideMark/>
          </w:tcPr>
          <w:p w14:paraId="2F713581" w14:textId="77777777" w:rsidR="00F45CC2" w:rsidRPr="008F4DF9" w:rsidRDefault="00F45CC2" w:rsidP="00DC0921">
            <w:pPr>
              <w:ind w:left="0" w:firstLine="0"/>
              <w:jc w:val="right"/>
              <w:rPr>
                <w:rFonts w:eastAsia="Times New Roman" w:cs="Calibri"/>
                <w:sz w:val="20"/>
                <w:szCs w:val="20"/>
              </w:rPr>
            </w:pPr>
            <w:r w:rsidRPr="008F4DF9">
              <w:rPr>
                <w:sz w:val="20"/>
                <w:szCs w:val="20"/>
              </w:rPr>
              <w:t>26</w:t>
            </w:r>
          </w:p>
        </w:tc>
        <w:tc>
          <w:tcPr>
            <w:tcW w:w="1191" w:type="dxa"/>
            <w:shd w:val="clear" w:color="auto" w:fill="auto"/>
            <w:hideMark/>
          </w:tcPr>
          <w:p w14:paraId="251E6E5B"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0" w:type="dxa"/>
            <w:shd w:val="clear" w:color="auto" w:fill="auto"/>
            <w:hideMark/>
          </w:tcPr>
          <w:p w14:paraId="1B7C6065"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0D8AB32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1D086678" w14:textId="77777777" w:rsidR="00F45CC2" w:rsidRPr="008F4DF9" w:rsidRDefault="00F45CC2" w:rsidP="00DC0921">
            <w:pPr>
              <w:ind w:left="0" w:firstLine="0"/>
              <w:jc w:val="right"/>
              <w:rPr>
                <w:rFonts w:eastAsia="Times New Roman" w:cs="Calibri"/>
                <w:sz w:val="20"/>
                <w:szCs w:val="20"/>
              </w:rPr>
            </w:pPr>
            <w:r w:rsidRPr="008F4DF9">
              <w:rPr>
                <w:sz w:val="20"/>
                <w:szCs w:val="20"/>
              </w:rPr>
              <w:t>22</w:t>
            </w:r>
          </w:p>
        </w:tc>
      </w:tr>
      <w:tr w:rsidR="00F45CC2" w:rsidRPr="008F4DF9" w14:paraId="5BF5023B" w14:textId="77777777" w:rsidTr="00D8194D">
        <w:tc>
          <w:tcPr>
            <w:tcW w:w="1277" w:type="dxa"/>
            <w:shd w:val="clear" w:color="auto" w:fill="auto"/>
            <w:hideMark/>
          </w:tcPr>
          <w:p w14:paraId="1DB8DA55" w14:textId="77777777" w:rsidR="00F45CC2" w:rsidRPr="008F4DF9" w:rsidRDefault="00F45CC2" w:rsidP="00DC0921">
            <w:pPr>
              <w:ind w:left="0" w:firstLine="0"/>
              <w:rPr>
                <w:rFonts w:eastAsia="Times New Roman" w:cs="Calibri"/>
                <w:sz w:val="20"/>
                <w:szCs w:val="20"/>
              </w:rPr>
            </w:pPr>
            <w:r w:rsidRPr="008F4DF9">
              <w:rPr>
                <w:sz w:val="20"/>
                <w:szCs w:val="20"/>
              </w:rPr>
              <w:t>R100362</w:t>
            </w:r>
          </w:p>
        </w:tc>
        <w:tc>
          <w:tcPr>
            <w:tcW w:w="2131" w:type="dxa"/>
            <w:shd w:val="clear" w:color="auto" w:fill="auto"/>
            <w:noWrap/>
            <w:hideMark/>
          </w:tcPr>
          <w:p w14:paraId="579CAE0B"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Fondo de Humedales para el Futuro (FHF)-2012</w:t>
            </w:r>
          </w:p>
        </w:tc>
        <w:tc>
          <w:tcPr>
            <w:tcW w:w="1332" w:type="dxa"/>
            <w:shd w:val="clear" w:color="auto" w:fill="auto"/>
            <w:hideMark/>
          </w:tcPr>
          <w:p w14:paraId="30CDBA8F" w14:textId="77777777" w:rsidR="00F45CC2" w:rsidRPr="008F4DF9" w:rsidRDefault="00F45CC2" w:rsidP="00DC0921">
            <w:pPr>
              <w:ind w:left="0" w:firstLine="0"/>
              <w:jc w:val="right"/>
              <w:rPr>
                <w:rFonts w:eastAsia="Times New Roman" w:cs="Calibri"/>
                <w:sz w:val="20"/>
                <w:szCs w:val="20"/>
              </w:rPr>
            </w:pPr>
            <w:r w:rsidRPr="008F4DF9">
              <w:rPr>
                <w:sz w:val="20"/>
                <w:szCs w:val="20"/>
              </w:rPr>
              <w:t>34</w:t>
            </w:r>
          </w:p>
        </w:tc>
        <w:tc>
          <w:tcPr>
            <w:tcW w:w="1191" w:type="dxa"/>
            <w:shd w:val="clear" w:color="auto" w:fill="auto"/>
            <w:hideMark/>
          </w:tcPr>
          <w:p w14:paraId="5F7ABC44"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2955F0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376AB58E" w14:textId="77777777" w:rsidR="00F45CC2" w:rsidRPr="008F4DF9" w:rsidRDefault="00F45CC2" w:rsidP="00DC0921">
            <w:pPr>
              <w:ind w:left="0" w:firstLine="0"/>
              <w:jc w:val="right"/>
              <w:rPr>
                <w:rFonts w:eastAsia="Times New Roman" w:cs="Calibri"/>
                <w:sz w:val="20"/>
                <w:szCs w:val="20"/>
              </w:rPr>
            </w:pPr>
            <w:r w:rsidRPr="008F4DF9">
              <w:rPr>
                <w:sz w:val="20"/>
                <w:szCs w:val="20"/>
              </w:rPr>
              <w:t>(34)</w:t>
            </w:r>
          </w:p>
        </w:tc>
        <w:tc>
          <w:tcPr>
            <w:tcW w:w="1333" w:type="dxa"/>
            <w:shd w:val="clear" w:color="auto" w:fill="auto"/>
            <w:hideMark/>
          </w:tcPr>
          <w:p w14:paraId="13C3DCA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62EEAF39" w14:textId="77777777" w:rsidTr="00D8194D">
        <w:tc>
          <w:tcPr>
            <w:tcW w:w="1277" w:type="dxa"/>
            <w:shd w:val="clear" w:color="auto" w:fill="auto"/>
            <w:hideMark/>
          </w:tcPr>
          <w:p w14:paraId="61636C2C" w14:textId="77777777" w:rsidR="00F45CC2" w:rsidRPr="008F4DF9" w:rsidRDefault="00F45CC2" w:rsidP="00DC0921">
            <w:pPr>
              <w:ind w:left="0" w:firstLine="0"/>
              <w:rPr>
                <w:rFonts w:eastAsia="Times New Roman" w:cs="Calibri"/>
                <w:sz w:val="20"/>
                <w:szCs w:val="20"/>
              </w:rPr>
            </w:pPr>
            <w:r w:rsidRPr="008F4DF9">
              <w:rPr>
                <w:sz w:val="20"/>
                <w:szCs w:val="20"/>
              </w:rPr>
              <w:t>R100364</w:t>
            </w:r>
          </w:p>
        </w:tc>
        <w:tc>
          <w:tcPr>
            <w:tcW w:w="2131" w:type="dxa"/>
            <w:shd w:val="clear" w:color="auto" w:fill="auto"/>
            <w:noWrap/>
            <w:hideMark/>
          </w:tcPr>
          <w:p w14:paraId="3E39AC8D" w14:textId="072CA51C" w:rsidR="00F45CC2" w:rsidRPr="008F4DF9" w:rsidRDefault="006D4727" w:rsidP="00DC0921">
            <w:pPr>
              <w:ind w:left="0" w:firstLine="0"/>
              <w:rPr>
                <w:rFonts w:eastAsia="Times New Roman" w:cs="Calibri"/>
                <w:color w:val="000000"/>
                <w:sz w:val="20"/>
                <w:szCs w:val="20"/>
              </w:rPr>
            </w:pPr>
            <w:r w:rsidRPr="008F4DF9">
              <w:rPr>
                <w:color w:val="000000"/>
                <w:sz w:val="20"/>
                <w:szCs w:val="20"/>
              </w:rPr>
              <w:t>FHF-</w:t>
            </w:r>
            <w:r w:rsidR="00F45CC2" w:rsidRPr="008F4DF9">
              <w:rPr>
                <w:color w:val="000000"/>
                <w:sz w:val="20"/>
                <w:szCs w:val="20"/>
              </w:rPr>
              <w:t>2014</w:t>
            </w:r>
          </w:p>
        </w:tc>
        <w:tc>
          <w:tcPr>
            <w:tcW w:w="1332" w:type="dxa"/>
            <w:shd w:val="clear" w:color="auto" w:fill="auto"/>
            <w:hideMark/>
          </w:tcPr>
          <w:p w14:paraId="459D6B86" w14:textId="77777777" w:rsidR="00F45CC2" w:rsidRPr="008F4DF9" w:rsidRDefault="00F45CC2" w:rsidP="00DC0921">
            <w:pPr>
              <w:ind w:left="0" w:firstLine="0"/>
              <w:jc w:val="right"/>
              <w:rPr>
                <w:rFonts w:eastAsia="Times New Roman" w:cs="Calibri"/>
                <w:sz w:val="20"/>
                <w:szCs w:val="20"/>
              </w:rPr>
            </w:pPr>
            <w:r w:rsidRPr="008F4DF9">
              <w:rPr>
                <w:sz w:val="20"/>
                <w:szCs w:val="20"/>
              </w:rPr>
              <w:t>22</w:t>
            </w:r>
          </w:p>
        </w:tc>
        <w:tc>
          <w:tcPr>
            <w:tcW w:w="1191" w:type="dxa"/>
            <w:shd w:val="clear" w:color="auto" w:fill="auto"/>
            <w:hideMark/>
          </w:tcPr>
          <w:p w14:paraId="4332C66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DF22547"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1D8CCFB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3E0863EF" w14:textId="77777777" w:rsidR="00F45CC2" w:rsidRPr="008F4DF9" w:rsidRDefault="00F45CC2" w:rsidP="00DC0921">
            <w:pPr>
              <w:ind w:left="0" w:firstLine="0"/>
              <w:jc w:val="right"/>
              <w:rPr>
                <w:rFonts w:eastAsia="Times New Roman" w:cs="Calibri"/>
                <w:sz w:val="20"/>
                <w:szCs w:val="20"/>
              </w:rPr>
            </w:pPr>
            <w:r w:rsidRPr="008F4DF9">
              <w:rPr>
                <w:sz w:val="20"/>
                <w:szCs w:val="20"/>
              </w:rPr>
              <w:t>18</w:t>
            </w:r>
          </w:p>
        </w:tc>
      </w:tr>
      <w:tr w:rsidR="00F45CC2" w:rsidRPr="008F4DF9" w14:paraId="131ADF90" w14:textId="77777777" w:rsidTr="00D8194D">
        <w:tc>
          <w:tcPr>
            <w:tcW w:w="1277" w:type="dxa"/>
            <w:shd w:val="clear" w:color="auto" w:fill="auto"/>
            <w:hideMark/>
          </w:tcPr>
          <w:p w14:paraId="79C51105" w14:textId="77777777" w:rsidR="00F45CC2" w:rsidRPr="008F4DF9" w:rsidRDefault="00F45CC2" w:rsidP="00DC0921">
            <w:pPr>
              <w:ind w:left="0" w:firstLine="0"/>
              <w:rPr>
                <w:rFonts w:eastAsia="Times New Roman" w:cs="Calibri"/>
                <w:sz w:val="20"/>
                <w:szCs w:val="20"/>
              </w:rPr>
            </w:pPr>
            <w:r w:rsidRPr="008F4DF9">
              <w:rPr>
                <w:sz w:val="20"/>
                <w:szCs w:val="20"/>
              </w:rPr>
              <w:t>R100365</w:t>
            </w:r>
          </w:p>
        </w:tc>
        <w:tc>
          <w:tcPr>
            <w:tcW w:w="2131" w:type="dxa"/>
            <w:shd w:val="clear" w:color="auto" w:fill="auto"/>
            <w:noWrap/>
            <w:hideMark/>
          </w:tcPr>
          <w:p w14:paraId="182ADB90"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FHF-2015-2017</w:t>
            </w:r>
          </w:p>
        </w:tc>
        <w:tc>
          <w:tcPr>
            <w:tcW w:w="1332" w:type="dxa"/>
            <w:shd w:val="clear" w:color="auto" w:fill="auto"/>
            <w:hideMark/>
          </w:tcPr>
          <w:p w14:paraId="3F35E8C5" w14:textId="77777777" w:rsidR="00F45CC2" w:rsidRPr="008F4DF9" w:rsidRDefault="00F45CC2" w:rsidP="00DC0921">
            <w:pPr>
              <w:ind w:left="0" w:firstLine="0"/>
              <w:jc w:val="right"/>
              <w:rPr>
                <w:rFonts w:eastAsia="Times New Roman" w:cs="Calibri"/>
                <w:sz w:val="20"/>
                <w:szCs w:val="20"/>
              </w:rPr>
            </w:pPr>
            <w:r w:rsidRPr="008F4DF9">
              <w:rPr>
                <w:sz w:val="20"/>
                <w:szCs w:val="20"/>
              </w:rPr>
              <w:t>201</w:t>
            </w:r>
          </w:p>
        </w:tc>
        <w:tc>
          <w:tcPr>
            <w:tcW w:w="1191" w:type="dxa"/>
            <w:shd w:val="clear" w:color="auto" w:fill="auto"/>
            <w:hideMark/>
          </w:tcPr>
          <w:p w14:paraId="122FB605"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0" w:type="dxa"/>
            <w:shd w:val="clear" w:color="auto" w:fill="auto"/>
            <w:hideMark/>
          </w:tcPr>
          <w:p w14:paraId="4B66993C" w14:textId="77777777" w:rsidR="00F45CC2" w:rsidRPr="008F4DF9" w:rsidRDefault="00F45CC2" w:rsidP="00DC0921">
            <w:pPr>
              <w:ind w:left="0" w:firstLine="0"/>
              <w:jc w:val="right"/>
              <w:rPr>
                <w:rFonts w:eastAsia="Times New Roman" w:cs="Calibri"/>
                <w:sz w:val="20"/>
                <w:szCs w:val="20"/>
              </w:rPr>
            </w:pPr>
            <w:r w:rsidRPr="008F4DF9">
              <w:rPr>
                <w:sz w:val="20"/>
                <w:szCs w:val="20"/>
              </w:rPr>
              <w:t>(24)</w:t>
            </w:r>
          </w:p>
        </w:tc>
        <w:tc>
          <w:tcPr>
            <w:tcW w:w="1191" w:type="dxa"/>
            <w:shd w:val="clear" w:color="auto" w:fill="auto"/>
            <w:hideMark/>
          </w:tcPr>
          <w:p w14:paraId="3A116E36" w14:textId="77777777" w:rsidR="00F45CC2" w:rsidRPr="008F4DF9" w:rsidRDefault="00F45CC2" w:rsidP="00DC0921">
            <w:pPr>
              <w:ind w:left="0" w:firstLine="0"/>
              <w:jc w:val="right"/>
              <w:rPr>
                <w:rFonts w:eastAsia="Times New Roman" w:cs="Calibri"/>
                <w:sz w:val="20"/>
                <w:szCs w:val="20"/>
              </w:rPr>
            </w:pPr>
            <w:r w:rsidRPr="008F4DF9">
              <w:rPr>
                <w:sz w:val="20"/>
                <w:szCs w:val="20"/>
              </w:rPr>
              <w:t>30</w:t>
            </w:r>
          </w:p>
        </w:tc>
        <w:tc>
          <w:tcPr>
            <w:tcW w:w="1333" w:type="dxa"/>
            <w:shd w:val="clear" w:color="auto" w:fill="auto"/>
            <w:hideMark/>
          </w:tcPr>
          <w:p w14:paraId="49BDD82C" w14:textId="77777777" w:rsidR="00F45CC2" w:rsidRPr="008F4DF9" w:rsidRDefault="00F45CC2" w:rsidP="00DC0921">
            <w:pPr>
              <w:ind w:left="0" w:firstLine="0"/>
              <w:jc w:val="right"/>
              <w:rPr>
                <w:rFonts w:eastAsia="Times New Roman" w:cs="Calibri"/>
                <w:sz w:val="20"/>
                <w:szCs w:val="20"/>
              </w:rPr>
            </w:pPr>
            <w:r w:rsidRPr="008F4DF9">
              <w:rPr>
                <w:sz w:val="20"/>
                <w:szCs w:val="20"/>
              </w:rPr>
              <w:t>208</w:t>
            </w:r>
          </w:p>
        </w:tc>
      </w:tr>
      <w:tr w:rsidR="00F45CC2" w:rsidRPr="008F4DF9" w14:paraId="632C49B6" w14:textId="77777777" w:rsidTr="00D8194D">
        <w:tc>
          <w:tcPr>
            <w:tcW w:w="1277" w:type="dxa"/>
            <w:shd w:val="clear" w:color="auto" w:fill="auto"/>
            <w:hideMark/>
          </w:tcPr>
          <w:p w14:paraId="08FF470C" w14:textId="77777777" w:rsidR="00F45CC2" w:rsidRPr="008F4DF9" w:rsidRDefault="00F45CC2" w:rsidP="00DC0921">
            <w:pPr>
              <w:ind w:left="0" w:firstLine="0"/>
              <w:rPr>
                <w:rFonts w:eastAsia="Times New Roman" w:cs="Calibri"/>
                <w:sz w:val="20"/>
                <w:szCs w:val="20"/>
              </w:rPr>
            </w:pPr>
            <w:r w:rsidRPr="008F4DF9">
              <w:rPr>
                <w:sz w:val="20"/>
                <w:szCs w:val="20"/>
              </w:rPr>
              <w:t>R100407</w:t>
            </w:r>
          </w:p>
        </w:tc>
        <w:tc>
          <w:tcPr>
            <w:tcW w:w="2131" w:type="dxa"/>
            <w:shd w:val="clear" w:color="auto" w:fill="auto"/>
            <w:noWrap/>
            <w:hideMark/>
          </w:tcPr>
          <w:p w14:paraId="44553F85"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IR Asia Central (Noruega)</w:t>
            </w:r>
          </w:p>
        </w:tc>
        <w:tc>
          <w:tcPr>
            <w:tcW w:w="1332" w:type="dxa"/>
            <w:shd w:val="clear" w:color="auto" w:fill="auto"/>
            <w:hideMark/>
          </w:tcPr>
          <w:p w14:paraId="1572B8F2" w14:textId="77777777" w:rsidR="00F45CC2" w:rsidRPr="008F4DF9" w:rsidRDefault="00F45CC2" w:rsidP="00DC0921">
            <w:pPr>
              <w:ind w:left="0" w:firstLine="0"/>
              <w:jc w:val="right"/>
              <w:rPr>
                <w:rFonts w:eastAsia="Times New Roman" w:cs="Calibri"/>
                <w:sz w:val="20"/>
                <w:szCs w:val="20"/>
              </w:rPr>
            </w:pPr>
            <w:r w:rsidRPr="008F4DF9">
              <w:rPr>
                <w:sz w:val="20"/>
                <w:szCs w:val="20"/>
              </w:rPr>
              <w:t>3</w:t>
            </w:r>
          </w:p>
        </w:tc>
        <w:tc>
          <w:tcPr>
            <w:tcW w:w="1191" w:type="dxa"/>
            <w:shd w:val="clear" w:color="auto" w:fill="auto"/>
            <w:hideMark/>
          </w:tcPr>
          <w:p w14:paraId="6D2DD768"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12AD932A"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27F378C4"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426CCE1F" w14:textId="77777777" w:rsidR="00F45CC2" w:rsidRPr="008F4DF9" w:rsidRDefault="00F45CC2" w:rsidP="00DC0921">
            <w:pPr>
              <w:ind w:left="0" w:firstLine="0"/>
              <w:jc w:val="right"/>
              <w:rPr>
                <w:rFonts w:eastAsia="Times New Roman" w:cs="Calibri"/>
                <w:sz w:val="20"/>
                <w:szCs w:val="20"/>
              </w:rPr>
            </w:pPr>
            <w:r w:rsidRPr="008F4DF9">
              <w:rPr>
                <w:sz w:val="20"/>
                <w:szCs w:val="20"/>
              </w:rPr>
              <w:t>3</w:t>
            </w:r>
          </w:p>
        </w:tc>
      </w:tr>
      <w:tr w:rsidR="00F45CC2" w:rsidRPr="008F4DF9" w14:paraId="799BC881" w14:textId="77777777" w:rsidTr="00D8194D">
        <w:tc>
          <w:tcPr>
            <w:tcW w:w="1277" w:type="dxa"/>
            <w:shd w:val="clear" w:color="auto" w:fill="auto"/>
            <w:hideMark/>
          </w:tcPr>
          <w:p w14:paraId="3514ABC7" w14:textId="77777777" w:rsidR="00F45CC2" w:rsidRPr="008F4DF9" w:rsidRDefault="00F45CC2" w:rsidP="00DC0921">
            <w:pPr>
              <w:ind w:left="0" w:firstLine="0"/>
              <w:rPr>
                <w:rFonts w:eastAsia="Times New Roman" w:cs="Calibri"/>
                <w:sz w:val="20"/>
                <w:szCs w:val="20"/>
              </w:rPr>
            </w:pPr>
            <w:r w:rsidRPr="008F4DF9">
              <w:rPr>
                <w:sz w:val="20"/>
                <w:szCs w:val="20"/>
              </w:rPr>
              <w:t>R100408</w:t>
            </w:r>
          </w:p>
        </w:tc>
        <w:tc>
          <w:tcPr>
            <w:tcW w:w="2131" w:type="dxa"/>
            <w:shd w:val="clear" w:color="auto" w:fill="auto"/>
            <w:noWrap/>
            <w:hideMark/>
          </w:tcPr>
          <w:p w14:paraId="750EB0E7"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Fondo Nagao para los Humedales (NEF Japón)</w:t>
            </w:r>
          </w:p>
        </w:tc>
        <w:tc>
          <w:tcPr>
            <w:tcW w:w="1332" w:type="dxa"/>
            <w:shd w:val="clear" w:color="auto" w:fill="auto"/>
            <w:hideMark/>
          </w:tcPr>
          <w:p w14:paraId="4FA59649" w14:textId="77777777" w:rsidR="00F45CC2" w:rsidRPr="008F4DF9" w:rsidRDefault="00F45CC2" w:rsidP="00DC0921">
            <w:pPr>
              <w:ind w:left="0" w:firstLine="0"/>
              <w:jc w:val="right"/>
              <w:rPr>
                <w:rFonts w:eastAsia="Times New Roman" w:cs="Calibri"/>
                <w:sz w:val="20"/>
                <w:szCs w:val="20"/>
              </w:rPr>
            </w:pPr>
            <w:r w:rsidRPr="008F4DF9">
              <w:rPr>
                <w:sz w:val="20"/>
                <w:szCs w:val="20"/>
              </w:rPr>
              <w:t>108</w:t>
            </w:r>
          </w:p>
        </w:tc>
        <w:tc>
          <w:tcPr>
            <w:tcW w:w="1191" w:type="dxa"/>
            <w:shd w:val="clear" w:color="auto" w:fill="auto"/>
            <w:hideMark/>
          </w:tcPr>
          <w:p w14:paraId="1E835ED7" w14:textId="77777777" w:rsidR="00F45CC2" w:rsidRPr="008F4DF9" w:rsidRDefault="00F45CC2" w:rsidP="00DC0921">
            <w:pPr>
              <w:ind w:left="0" w:firstLine="0"/>
              <w:jc w:val="right"/>
              <w:rPr>
                <w:rFonts w:eastAsia="Times New Roman" w:cs="Calibri"/>
                <w:sz w:val="20"/>
                <w:szCs w:val="20"/>
              </w:rPr>
            </w:pPr>
            <w:r w:rsidRPr="008F4DF9">
              <w:rPr>
                <w:sz w:val="20"/>
                <w:szCs w:val="20"/>
              </w:rPr>
              <w:t>90</w:t>
            </w:r>
          </w:p>
        </w:tc>
        <w:tc>
          <w:tcPr>
            <w:tcW w:w="1190" w:type="dxa"/>
            <w:shd w:val="clear" w:color="auto" w:fill="auto"/>
            <w:hideMark/>
          </w:tcPr>
          <w:p w14:paraId="30DA1C4C" w14:textId="77777777" w:rsidR="00F45CC2" w:rsidRPr="008F4DF9" w:rsidRDefault="00F45CC2" w:rsidP="00DC0921">
            <w:pPr>
              <w:ind w:left="0" w:firstLine="0"/>
              <w:jc w:val="right"/>
              <w:rPr>
                <w:rFonts w:eastAsia="Times New Roman" w:cs="Calibri"/>
                <w:sz w:val="20"/>
                <w:szCs w:val="20"/>
              </w:rPr>
            </w:pPr>
            <w:r w:rsidRPr="008F4DF9">
              <w:rPr>
                <w:sz w:val="20"/>
                <w:szCs w:val="20"/>
              </w:rPr>
              <w:t>(12)</w:t>
            </w:r>
          </w:p>
        </w:tc>
        <w:tc>
          <w:tcPr>
            <w:tcW w:w="1191" w:type="dxa"/>
            <w:shd w:val="clear" w:color="auto" w:fill="auto"/>
            <w:hideMark/>
          </w:tcPr>
          <w:p w14:paraId="3A7C604F" w14:textId="77777777" w:rsidR="00F45CC2" w:rsidRPr="008F4DF9" w:rsidRDefault="00F45CC2" w:rsidP="00DC0921">
            <w:pPr>
              <w:ind w:left="0" w:firstLine="0"/>
              <w:jc w:val="right"/>
              <w:rPr>
                <w:rFonts w:eastAsia="Times New Roman" w:cs="Calibri"/>
                <w:sz w:val="20"/>
                <w:szCs w:val="20"/>
              </w:rPr>
            </w:pPr>
            <w:r w:rsidRPr="008F4DF9">
              <w:rPr>
                <w:sz w:val="20"/>
                <w:szCs w:val="20"/>
              </w:rPr>
              <w:t>(9)</w:t>
            </w:r>
          </w:p>
        </w:tc>
        <w:tc>
          <w:tcPr>
            <w:tcW w:w="1333" w:type="dxa"/>
            <w:shd w:val="clear" w:color="auto" w:fill="auto"/>
            <w:hideMark/>
          </w:tcPr>
          <w:p w14:paraId="5087823A" w14:textId="77777777" w:rsidR="00F45CC2" w:rsidRPr="008F4DF9" w:rsidRDefault="00F45CC2" w:rsidP="00DC0921">
            <w:pPr>
              <w:ind w:left="0" w:firstLine="0"/>
              <w:jc w:val="right"/>
              <w:rPr>
                <w:rFonts w:eastAsia="Times New Roman" w:cs="Calibri"/>
                <w:sz w:val="20"/>
                <w:szCs w:val="20"/>
              </w:rPr>
            </w:pPr>
            <w:r w:rsidRPr="008F4DF9">
              <w:rPr>
                <w:sz w:val="20"/>
                <w:szCs w:val="20"/>
              </w:rPr>
              <w:t>178</w:t>
            </w:r>
          </w:p>
        </w:tc>
      </w:tr>
      <w:tr w:rsidR="00F45CC2" w:rsidRPr="008F4DF9" w14:paraId="28BCE063" w14:textId="77777777" w:rsidTr="00D8194D">
        <w:tc>
          <w:tcPr>
            <w:tcW w:w="3408" w:type="dxa"/>
            <w:gridSpan w:val="2"/>
            <w:shd w:val="clear" w:color="000000" w:fill="EAF1DD"/>
            <w:hideMark/>
          </w:tcPr>
          <w:p w14:paraId="604372D0" w14:textId="7985E138" w:rsidR="00F45CC2" w:rsidRPr="008F4DF9" w:rsidRDefault="009154DA" w:rsidP="00DC0921">
            <w:pPr>
              <w:ind w:left="0" w:firstLine="0"/>
              <w:rPr>
                <w:rFonts w:eastAsia="Times New Roman" w:cs="Calibri"/>
                <w:b/>
                <w:bCs/>
                <w:sz w:val="20"/>
                <w:szCs w:val="20"/>
              </w:rPr>
            </w:pPr>
            <w:r>
              <w:rPr>
                <w:b/>
                <w:bCs/>
                <w:sz w:val="20"/>
                <w:szCs w:val="20"/>
              </w:rPr>
              <w:t>Total,</w:t>
            </w:r>
            <w:r w:rsidR="00F45CC2" w:rsidRPr="008F4DF9">
              <w:rPr>
                <w:b/>
                <w:bCs/>
                <w:sz w:val="20"/>
                <w:szCs w:val="20"/>
              </w:rPr>
              <w:t xml:space="preserve"> Cooperación Internacional</w:t>
            </w:r>
          </w:p>
        </w:tc>
        <w:tc>
          <w:tcPr>
            <w:tcW w:w="1332" w:type="dxa"/>
            <w:shd w:val="clear" w:color="000000" w:fill="EAF1DD"/>
            <w:hideMark/>
          </w:tcPr>
          <w:p w14:paraId="169885CF"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768</w:t>
            </w:r>
          </w:p>
        </w:tc>
        <w:tc>
          <w:tcPr>
            <w:tcW w:w="1191" w:type="dxa"/>
            <w:shd w:val="clear" w:color="000000" w:fill="EAF1DD"/>
            <w:hideMark/>
          </w:tcPr>
          <w:p w14:paraId="74520D6B"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90</w:t>
            </w:r>
          </w:p>
        </w:tc>
        <w:tc>
          <w:tcPr>
            <w:tcW w:w="1190" w:type="dxa"/>
            <w:shd w:val="clear" w:color="000000" w:fill="EAF1DD"/>
            <w:hideMark/>
          </w:tcPr>
          <w:p w14:paraId="0AD9BD0F"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(130)</w:t>
            </w:r>
          </w:p>
        </w:tc>
        <w:tc>
          <w:tcPr>
            <w:tcW w:w="1191" w:type="dxa"/>
            <w:shd w:val="clear" w:color="000000" w:fill="EAF1DD"/>
            <w:hideMark/>
          </w:tcPr>
          <w:p w14:paraId="5E368D3D"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(13)</w:t>
            </w:r>
          </w:p>
        </w:tc>
        <w:tc>
          <w:tcPr>
            <w:tcW w:w="1333" w:type="dxa"/>
            <w:shd w:val="clear" w:color="000000" w:fill="EAF1DD"/>
            <w:hideMark/>
          </w:tcPr>
          <w:p w14:paraId="6DD53E1D"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715</w:t>
            </w:r>
          </w:p>
        </w:tc>
      </w:tr>
      <w:tr w:rsidR="00DC0921" w:rsidRPr="008F4DF9" w14:paraId="420A5406" w14:textId="77777777" w:rsidTr="00D8194D">
        <w:tc>
          <w:tcPr>
            <w:tcW w:w="3408" w:type="dxa"/>
            <w:gridSpan w:val="2"/>
            <w:shd w:val="clear" w:color="auto" w:fill="auto"/>
            <w:hideMark/>
          </w:tcPr>
          <w:p w14:paraId="585160EE" w14:textId="77777777" w:rsidR="00DC0921" w:rsidRPr="008F4DF9" w:rsidRDefault="00DC0921" w:rsidP="00DC0921">
            <w:pPr>
              <w:ind w:left="0" w:firstLine="0"/>
              <w:rPr>
                <w:rFonts w:eastAsia="Times New Roman" w:cs="Calibri"/>
                <w:b/>
                <w:bCs/>
                <w:sz w:val="20"/>
                <w:szCs w:val="20"/>
                <w:u w:val="single"/>
                <w:lang w:eastAsia="en-GB"/>
              </w:rPr>
            </w:pPr>
          </w:p>
          <w:p w14:paraId="18B6C738" w14:textId="52606D63" w:rsidR="00DC0921" w:rsidRPr="008F4DF9" w:rsidRDefault="00DC0921" w:rsidP="00DC0921">
            <w:pPr>
              <w:ind w:left="0" w:firstLine="0"/>
              <w:rPr>
                <w:rFonts w:eastAsia="Times New Roman" w:cs="Calibri"/>
              </w:rPr>
            </w:pPr>
            <w:r w:rsidRPr="008F4DF9">
              <w:rPr>
                <w:b/>
                <w:bCs/>
                <w:sz w:val="20"/>
                <w:szCs w:val="20"/>
                <w:u w:val="single"/>
              </w:rPr>
              <w:t>Sitios de la Lista de Ramsar</w:t>
            </w:r>
          </w:p>
        </w:tc>
        <w:tc>
          <w:tcPr>
            <w:tcW w:w="1332" w:type="dxa"/>
            <w:shd w:val="clear" w:color="auto" w:fill="auto"/>
            <w:textDirection w:val="btLr"/>
            <w:hideMark/>
          </w:tcPr>
          <w:p w14:paraId="37057FF8" w14:textId="77777777" w:rsidR="00DC0921" w:rsidRPr="008F4DF9" w:rsidRDefault="00DC0921"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690B11A7" w14:textId="77777777" w:rsidR="00DC0921" w:rsidRPr="008F4DF9" w:rsidRDefault="00DC0921"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68B11539" w14:textId="77777777" w:rsidR="00DC0921" w:rsidRPr="008F4DF9" w:rsidRDefault="00DC0921"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6C881893" w14:textId="77777777" w:rsidR="00DC0921" w:rsidRPr="008F4DF9" w:rsidRDefault="00DC0921"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3C23BCAF" w14:textId="77777777" w:rsidR="00DC0921" w:rsidRPr="008F4DF9" w:rsidRDefault="00DC0921" w:rsidP="00DC0921">
            <w:pPr>
              <w:ind w:left="0" w:firstLine="0"/>
              <w:jc w:val="right"/>
              <w:rPr>
                <w:rFonts w:ascii="Times New Roman" w:eastAsia="Times New Roman" w:hAnsi="Times New Roman"/>
                <w:sz w:val="20"/>
                <w:szCs w:val="20"/>
                <w:lang w:eastAsia="en-GB"/>
              </w:rPr>
            </w:pPr>
          </w:p>
        </w:tc>
      </w:tr>
      <w:tr w:rsidR="00F45CC2" w:rsidRPr="008F4DF9" w14:paraId="153ECA04" w14:textId="77777777" w:rsidTr="00D8194D">
        <w:tc>
          <w:tcPr>
            <w:tcW w:w="1277" w:type="dxa"/>
            <w:shd w:val="clear" w:color="auto" w:fill="auto"/>
            <w:hideMark/>
          </w:tcPr>
          <w:p w14:paraId="41C3C4D2" w14:textId="77777777" w:rsidR="00F45CC2" w:rsidRPr="008F4DF9" w:rsidRDefault="00F45CC2" w:rsidP="00DC0921">
            <w:pPr>
              <w:ind w:left="0" w:firstLine="0"/>
              <w:rPr>
                <w:rFonts w:eastAsia="Times New Roman" w:cs="Calibri"/>
                <w:sz w:val="20"/>
                <w:szCs w:val="20"/>
              </w:rPr>
            </w:pPr>
            <w:r w:rsidRPr="008F4DF9">
              <w:rPr>
                <w:sz w:val="20"/>
                <w:szCs w:val="20"/>
              </w:rPr>
              <w:t>R100110</w:t>
            </w:r>
          </w:p>
        </w:tc>
        <w:tc>
          <w:tcPr>
            <w:tcW w:w="2131" w:type="dxa"/>
            <w:shd w:val="clear" w:color="auto" w:fill="auto"/>
            <w:hideMark/>
          </w:tcPr>
          <w:p w14:paraId="0E628A2D"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Misión Ramsar de Asesoramiento (MRA)</w:t>
            </w:r>
          </w:p>
        </w:tc>
        <w:tc>
          <w:tcPr>
            <w:tcW w:w="1332" w:type="dxa"/>
            <w:shd w:val="clear" w:color="auto" w:fill="auto"/>
            <w:hideMark/>
          </w:tcPr>
          <w:p w14:paraId="755BAAAC" w14:textId="77777777" w:rsidR="00F45CC2" w:rsidRPr="008F4DF9" w:rsidRDefault="00F45CC2" w:rsidP="00DC0921">
            <w:pPr>
              <w:ind w:left="0" w:firstLine="0"/>
              <w:jc w:val="right"/>
              <w:rPr>
                <w:rFonts w:eastAsia="Times New Roman" w:cs="Calibri"/>
                <w:sz w:val="20"/>
                <w:szCs w:val="20"/>
              </w:rPr>
            </w:pPr>
            <w:r w:rsidRPr="008F4DF9">
              <w:rPr>
                <w:sz w:val="20"/>
                <w:szCs w:val="20"/>
              </w:rPr>
              <w:t>118</w:t>
            </w:r>
          </w:p>
        </w:tc>
        <w:tc>
          <w:tcPr>
            <w:tcW w:w="1191" w:type="dxa"/>
            <w:shd w:val="clear" w:color="auto" w:fill="auto"/>
            <w:hideMark/>
          </w:tcPr>
          <w:p w14:paraId="58AF8FE1"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0" w:type="dxa"/>
            <w:shd w:val="clear" w:color="auto" w:fill="auto"/>
            <w:hideMark/>
          </w:tcPr>
          <w:p w14:paraId="622F8D44" w14:textId="77777777" w:rsidR="00F45CC2" w:rsidRPr="008F4DF9" w:rsidRDefault="00F45CC2" w:rsidP="00DC0921">
            <w:pPr>
              <w:ind w:left="0" w:firstLine="0"/>
              <w:jc w:val="right"/>
              <w:rPr>
                <w:rFonts w:eastAsia="Times New Roman" w:cs="Calibri"/>
                <w:sz w:val="20"/>
                <w:szCs w:val="20"/>
              </w:rPr>
            </w:pPr>
            <w:r w:rsidRPr="008F4DF9">
              <w:rPr>
                <w:sz w:val="20"/>
                <w:szCs w:val="20"/>
              </w:rPr>
              <w:t>(41)</w:t>
            </w:r>
          </w:p>
        </w:tc>
        <w:tc>
          <w:tcPr>
            <w:tcW w:w="1191" w:type="dxa"/>
            <w:shd w:val="clear" w:color="auto" w:fill="auto"/>
            <w:hideMark/>
          </w:tcPr>
          <w:p w14:paraId="554B646F"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333" w:type="dxa"/>
            <w:shd w:val="clear" w:color="auto" w:fill="auto"/>
            <w:hideMark/>
          </w:tcPr>
          <w:p w14:paraId="4858E465" w14:textId="77777777" w:rsidR="00F45CC2" w:rsidRPr="008F4DF9" w:rsidRDefault="00F45CC2" w:rsidP="00DC0921">
            <w:pPr>
              <w:ind w:left="0" w:firstLine="0"/>
              <w:jc w:val="right"/>
              <w:rPr>
                <w:rFonts w:eastAsia="Times New Roman" w:cs="Calibri"/>
                <w:sz w:val="20"/>
                <w:szCs w:val="20"/>
              </w:rPr>
            </w:pPr>
            <w:r w:rsidRPr="008F4DF9">
              <w:rPr>
                <w:sz w:val="20"/>
                <w:szCs w:val="20"/>
              </w:rPr>
              <w:t>77</w:t>
            </w:r>
          </w:p>
        </w:tc>
      </w:tr>
      <w:tr w:rsidR="00F45CC2" w:rsidRPr="008F4DF9" w14:paraId="0FBC9E1A" w14:textId="77777777" w:rsidTr="00D8194D">
        <w:tc>
          <w:tcPr>
            <w:tcW w:w="3408" w:type="dxa"/>
            <w:gridSpan w:val="2"/>
            <w:shd w:val="clear" w:color="000000" w:fill="EAF1DD"/>
            <w:hideMark/>
          </w:tcPr>
          <w:p w14:paraId="4DC069B9" w14:textId="77777777" w:rsidR="00F45CC2" w:rsidRPr="008F4DF9" w:rsidRDefault="00F45CC2" w:rsidP="00DC0921">
            <w:pPr>
              <w:ind w:left="0" w:firstLine="0"/>
              <w:rPr>
                <w:rFonts w:eastAsia="Times New Roman" w:cs="Calibri"/>
                <w:b/>
                <w:bCs/>
                <w:sz w:val="20"/>
                <w:szCs w:val="20"/>
              </w:rPr>
            </w:pPr>
            <w:r w:rsidRPr="008F4DF9">
              <w:rPr>
                <w:b/>
                <w:bCs/>
                <w:sz w:val="20"/>
                <w:szCs w:val="20"/>
              </w:rPr>
              <w:t>Sitios de la Lista de Ramsar</w:t>
            </w:r>
          </w:p>
        </w:tc>
        <w:tc>
          <w:tcPr>
            <w:tcW w:w="1332" w:type="dxa"/>
            <w:shd w:val="clear" w:color="000000" w:fill="EAF1DD"/>
            <w:hideMark/>
          </w:tcPr>
          <w:p w14:paraId="69A4AB28"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118</w:t>
            </w:r>
          </w:p>
        </w:tc>
        <w:tc>
          <w:tcPr>
            <w:tcW w:w="1191" w:type="dxa"/>
            <w:shd w:val="clear" w:color="000000" w:fill="EAF1DD"/>
            <w:hideMark/>
          </w:tcPr>
          <w:p w14:paraId="6D470C46"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0</w:t>
            </w:r>
          </w:p>
        </w:tc>
        <w:tc>
          <w:tcPr>
            <w:tcW w:w="1190" w:type="dxa"/>
            <w:shd w:val="clear" w:color="000000" w:fill="EAF1DD"/>
            <w:hideMark/>
          </w:tcPr>
          <w:p w14:paraId="59AEC51A"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(41)</w:t>
            </w:r>
          </w:p>
        </w:tc>
        <w:tc>
          <w:tcPr>
            <w:tcW w:w="1191" w:type="dxa"/>
            <w:shd w:val="clear" w:color="000000" w:fill="EAF1DD"/>
            <w:hideMark/>
          </w:tcPr>
          <w:p w14:paraId="20CC5109"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0</w:t>
            </w:r>
          </w:p>
        </w:tc>
        <w:tc>
          <w:tcPr>
            <w:tcW w:w="1333" w:type="dxa"/>
            <w:shd w:val="clear" w:color="000000" w:fill="EAF1DD"/>
            <w:hideMark/>
          </w:tcPr>
          <w:p w14:paraId="594D90E6"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77</w:t>
            </w:r>
          </w:p>
        </w:tc>
      </w:tr>
      <w:tr w:rsidR="00F45CC2" w:rsidRPr="008F4DF9" w14:paraId="22FEFDD7" w14:textId="77777777" w:rsidTr="00D8194D">
        <w:tc>
          <w:tcPr>
            <w:tcW w:w="1277" w:type="dxa"/>
            <w:shd w:val="clear" w:color="auto" w:fill="auto"/>
            <w:hideMark/>
          </w:tcPr>
          <w:p w14:paraId="3D5AF3BD" w14:textId="77777777" w:rsidR="00DC0921" w:rsidRPr="008F4DF9" w:rsidRDefault="00DC0921" w:rsidP="00DC0921">
            <w:pPr>
              <w:ind w:left="0" w:firstLine="0"/>
              <w:rPr>
                <w:rFonts w:eastAsia="Times New Roman" w:cs="Calibri"/>
                <w:b/>
                <w:bCs/>
                <w:sz w:val="20"/>
                <w:szCs w:val="20"/>
                <w:u w:val="single"/>
                <w:lang w:eastAsia="en-GB"/>
              </w:rPr>
            </w:pPr>
          </w:p>
          <w:p w14:paraId="5209F70E" w14:textId="0C4E929B" w:rsidR="00F45CC2" w:rsidRPr="008F4DF9" w:rsidRDefault="00F45CC2" w:rsidP="00DC0921">
            <w:pPr>
              <w:ind w:left="0" w:firstLine="0"/>
              <w:rPr>
                <w:rFonts w:eastAsia="Times New Roman" w:cs="Calibri"/>
                <w:b/>
                <w:bCs/>
                <w:sz w:val="20"/>
                <w:szCs w:val="20"/>
                <w:u w:val="single"/>
              </w:rPr>
            </w:pPr>
            <w:r w:rsidRPr="008F4DF9">
              <w:rPr>
                <w:b/>
                <w:bCs/>
                <w:sz w:val="20"/>
                <w:szCs w:val="20"/>
                <w:u w:val="single"/>
              </w:rPr>
              <w:t>Otros</w:t>
            </w:r>
          </w:p>
        </w:tc>
        <w:tc>
          <w:tcPr>
            <w:tcW w:w="2131" w:type="dxa"/>
            <w:shd w:val="clear" w:color="auto" w:fill="auto"/>
            <w:hideMark/>
          </w:tcPr>
          <w:p w14:paraId="6357A2FC" w14:textId="77777777" w:rsidR="00F45CC2" w:rsidRPr="008F4DF9" w:rsidRDefault="00F45CC2" w:rsidP="00DC0921">
            <w:pPr>
              <w:ind w:left="0" w:firstLine="0"/>
              <w:rPr>
                <w:rFonts w:eastAsia="Times New Roman" w:cs="Calibri"/>
                <w:b/>
                <w:bCs/>
                <w:sz w:val="20"/>
                <w:szCs w:val="20"/>
                <w:u w:val="single"/>
                <w:lang w:eastAsia="en-GB"/>
              </w:rPr>
            </w:pPr>
          </w:p>
        </w:tc>
        <w:tc>
          <w:tcPr>
            <w:tcW w:w="1332" w:type="dxa"/>
            <w:shd w:val="clear" w:color="auto" w:fill="auto"/>
            <w:textDirection w:val="btLr"/>
            <w:hideMark/>
          </w:tcPr>
          <w:p w14:paraId="341481A7"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11BEB0EC"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5B960BA0"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2648D451"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5305DD13" w14:textId="77777777" w:rsidR="00F45CC2" w:rsidRPr="008F4DF9" w:rsidRDefault="00F45CC2" w:rsidP="00DC0921">
            <w:pPr>
              <w:ind w:left="0" w:firstLine="0"/>
              <w:jc w:val="right"/>
              <w:rPr>
                <w:rFonts w:ascii="Times New Roman" w:eastAsia="Times New Roman" w:hAnsi="Times New Roman"/>
                <w:sz w:val="20"/>
                <w:szCs w:val="20"/>
                <w:lang w:eastAsia="en-GB"/>
              </w:rPr>
            </w:pPr>
          </w:p>
        </w:tc>
      </w:tr>
      <w:tr w:rsidR="00F45CC2" w:rsidRPr="008F4DF9" w14:paraId="4952D988" w14:textId="77777777" w:rsidTr="00D8194D">
        <w:tc>
          <w:tcPr>
            <w:tcW w:w="1277" w:type="dxa"/>
            <w:shd w:val="clear" w:color="auto" w:fill="auto"/>
            <w:hideMark/>
          </w:tcPr>
          <w:p w14:paraId="2B5CF613" w14:textId="77777777" w:rsidR="00F45CC2" w:rsidRPr="008F4DF9" w:rsidRDefault="00F45CC2" w:rsidP="00DC0921">
            <w:pPr>
              <w:ind w:left="0" w:firstLine="0"/>
              <w:rPr>
                <w:rFonts w:eastAsia="Times New Roman" w:cs="Calibri"/>
                <w:sz w:val="20"/>
                <w:szCs w:val="20"/>
              </w:rPr>
            </w:pPr>
            <w:r w:rsidRPr="008F4DF9">
              <w:rPr>
                <w:sz w:val="20"/>
                <w:szCs w:val="20"/>
              </w:rPr>
              <w:t>R100100</w:t>
            </w:r>
          </w:p>
        </w:tc>
        <w:tc>
          <w:tcPr>
            <w:tcW w:w="2131" w:type="dxa"/>
            <w:shd w:val="clear" w:color="auto" w:fill="auto"/>
            <w:hideMark/>
          </w:tcPr>
          <w:p w14:paraId="28590FFE"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Admin</w:t>
            </w:r>
          </w:p>
        </w:tc>
        <w:tc>
          <w:tcPr>
            <w:tcW w:w="1332" w:type="dxa"/>
            <w:shd w:val="clear" w:color="auto" w:fill="auto"/>
            <w:hideMark/>
          </w:tcPr>
          <w:p w14:paraId="7BC75BFC" w14:textId="77777777" w:rsidR="00F45CC2" w:rsidRPr="008F4DF9" w:rsidRDefault="00F45CC2" w:rsidP="00DC0921">
            <w:pPr>
              <w:ind w:left="0" w:firstLine="0"/>
              <w:jc w:val="right"/>
              <w:rPr>
                <w:rFonts w:eastAsia="Times New Roman" w:cs="Calibri"/>
                <w:sz w:val="20"/>
                <w:szCs w:val="20"/>
              </w:rPr>
            </w:pPr>
            <w:r w:rsidRPr="008F4DF9">
              <w:rPr>
                <w:sz w:val="20"/>
                <w:szCs w:val="20"/>
              </w:rPr>
              <w:t>363</w:t>
            </w:r>
          </w:p>
        </w:tc>
        <w:tc>
          <w:tcPr>
            <w:tcW w:w="1191" w:type="dxa"/>
            <w:shd w:val="clear" w:color="auto" w:fill="auto"/>
            <w:hideMark/>
          </w:tcPr>
          <w:p w14:paraId="2A20D526"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489DDD5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6B41E1FE" w14:textId="77777777" w:rsidR="00F45CC2" w:rsidRPr="008F4DF9" w:rsidRDefault="00F45CC2" w:rsidP="00DC0921">
            <w:pPr>
              <w:ind w:left="0" w:firstLine="0"/>
              <w:jc w:val="right"/>
              <w:rPr>
                <w:rFonts w:eastAsia="Times New Roman" w:cs="Calibri"/>
                <w:sz w:val="20"/>
                <w:szCs w:val="20"/>
              </w:rPr>
            </w:pPr>
            <w:r w:rsidRPr="008F4DF9">
              <w:rPr>
                <w:sz w:val="20"/>
                <w:szCs w:val="20"/>
              </w:rPr>
              <w:t>13</w:t>
            </w:r>
          </w:p>
        </w:tc>
        <w:tc>
          <w:tcPr>
            <w:tcW w:w="1333" w:type="dxa"/>
            <w:shd w:val="clear" w:color="auto" w:fill="auto"/>
            <w:hideMark/>
          </w:tcPr>
          <w:p w14:paraId="5987C9BA" w14:textId="77777777" w:rsidR="00F45CC2" w:rsidRPr="008F4DF9" w:rsidRDefault="00F45CC2" w:rsidP="00DC0921">
            <w:pPr>
              <w:ind w:left="0" w:firstLine="0"/>
              <w:jc w:val="right"/>
              <w:rPr>
                <w:rFonts w:eastAsia="Times New Roman" w:cs="Calibri"/>
                <w:sz w:val="20"/>
                <w:szCs w:val="20"/>
              </w:rPr>
            </w:pPr>
            <w:r w:rsidRPr="008F4DF9">
              <w:rPr>
                <w:sz w:val="20"/>
                <w:szCs w:val="20"/>
              </w:rPr>
              <w:t>377</w:t>
            </w:r>
          </w:p>
        </w:tc>
      </w:tr>
      <w:tr w:rsidR="00F45CC2" w:rsidRPr="008F4DF9" w14:paraId="3DA20B8F" w14:textId="77777777" w:rsidTr="00D8194D">
        <w:tc>
          <w:tcPr>
            <w:tcW w:w="1277" w:type="dxa"/>
            <w:shd w:val="clear" w:color="auto" w:fill="auto"/>
            <w:hideMark/>
          </w:tcPr>
          <w:p w14:paraId="0A702501" w14:textId="77777777" w:rsidR="00F45CC2" w:rsidRPr="008F4DF9" w:rsidRDefault="00F45CC2" w:rsidP="00DC0921">
            <w:pPr>
              <w:ind w:left="0" w:firstLine="0"/>
              <w:rPr>
                <w:rFonts w:eastAsia="Times New Roman" w:cs="Calibri"/>
                <w:sz w:val="20"/>
                <w:szCs w:val="20"/>
              </w:rPr>
            </w:pPr>
            <w:r w:rsidRPr="008F4DF9">
              <w:rPr>
                <w:sz w:val="20"/>
                <w:szCs w:val="20"/>
              </w:rPr>
              <w:t>R100102</w:t>
            </w:r>
          </w:p>
        </w:tc>
        <w:tc>
          <w:tcPr>
            <w:tcW w:w="2131" w:type="dxa"/>
            <w:shd w:val="clear" w:color="auto" w:fill="auto"/>
            <w:noWrap/>
            <w:hideMark/>
          </w:tcPr>
          <w:p w14:paraId="0B484EBD"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Remodelación del SISR</w:t>
            </w:r>
          </w:p>
        </w:tc>
        <w:tc>
          <w:tcPr>
            <w:tcW w:w="1332" w:type="dxa"/>
            <w:shd w:val="clear" w:color="auto" w:fill="auto"/>
            <w:hideMark/>
          </w:tcPr>
          <w:p w14:paraId="7001650D" w14:textId="77777777" w:rsidR="00F45CC2" w:rsidRPr="008F4DF9" w:rsidRDefault="00F45CC2" w:rsidP="00DC0921">
            <w:pPr>
              <w:ind w:left="0" w:firstLine="0"/>
              <w:jc w:val="right"/>
              <w:rPr>
                <w:rFonts w:eastAsia="Times New Roman" w:cs="Calibri"/>
                <w:sz w:val="20"/>
                <w:szCs w:val="20"/>
              </w:rPr>
            </w:pPr>
            <w:r w:rsidRPr="008F4DF9">
              <w:rPr>
                <w:sz w:val="20"/>
                <w:szCs w:val="20"/>
              </w:rPr>
              <w:t>39</w:t>
            </w:r>
          </w:p>
        </w:tc>
        <w:tc>
          <w:tcPr>
            <w:tcW w:w="1191" w:type="dxa"/>
            <w:shd w:val="clear" w:color="auto" w:fill="auto"/>
            <w:hideMark/>
          </w:tcPr>
          <w:p w14:paraId="008E8D0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77C3F46A"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3384884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7E6D2E9C" w14:textId="77777777" w:rsidR="00F45CC2" w:rsidRPr="008F4DF9" w:rsidRDefault="00F45CC2" w:rsidP="00DC0921">
            <w:pPr>
              <w:ind w:left="0" w:firstLine="0"/>
              <w:jc w:val="right"/>
              <w:rPr>
                <w:rFonts w:eastAsia="Times New Roman" w:cs="Calibri"/>
                <w:sz w:val="20"/>
                <w:szCs w:val="20"/>
              </w:rPr>
            </w:pPr>
            <w:r w:rsidRPr="008F4DF9">
              <w:rPr>
                <w:sz w:val="20"/>
                <w:szCs w:val="20"/>
              </w:rPr>
              <w:t>39</w:t>
            </w:r>
          </w:p>
        </w:tc>
      </w:tr>
      <w:tr w:rsidR="00F45CC2" w:rsidRPr="008F4DF9" w14:paraId="295C9BD4" w14:textId="77777777" w:rsidTr="00D8194D">
        <w:tc>
          <w:tcPr>
            <w:tcW w:w="1277" w:type="dxa"/>
            <w:shd w:val="clear" w:color="auto" w:fill="auto"/>
            <w:hideMark/>
          </w:tcPr>
          <w:p w14:paraId="0CA25494" w14:textId="77777777" w:rsidR="00F45CC2" w:rsidRPr="008F4DF9" w:rsidRDefault="00F45CC2" w:rsidP="00DC0921">
            <w:pPr>
              <w:ind w:left="0" w:firstLine="0"/>
              <w:rPr>
                <w:rFonts w:eastAsia="Times New Roman" w:cs="Calibri"/>
                <w:sz w:val="20"/>
                <w:szCs w:val="20"/>
              </w:rPr>
            </w:pPr>
            <w:r w:rsidRPr="008F4DF9">
              <w:rPr>
                <w:sz w:val="20"/>
                <w:szCs w:val="20"/>
              </w:rPr>
              <w:t>R100103</w:t>
            </w:r>
          </w:p>
        </w:tc>
        <w:tc>
          <w:tcPr>
            <w:tcW w:w="2131" w:type="dxa"/>
            <w:shd w:val="clear" w:color="auto" w:fill="auto"/>
            <w:noWrap/>
            <w:hideMark/>
          </w:tcPr>
          <w:p w14:paraId="4A936D42"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Remodelación del sitio web</w:t>
            </w:r>
          </w:p>
        </w:tc>
        <w:tc>
          <w:tcPr>
            <w:tcW w:w="1332" w:type="dxa"/>
            <w:shd w:val="clear" w:color="auto" w:fill="auto"/>
            <w:hideMark/>
          </w:tcPr>
          <w:p w14:paraId="14D35F5C" w14:textId="77777777" w:rsidR="00F45CC2" w:rsidRPr="008F4DF9" w:rsidRDefault="00F45CC2" w:rsidP="00DC0921">
            <w:pPr>
              <w:ind w:left="0" w:firstLine="0"/>
              <w:jc w:val="right"/>
              <w:rPr>
                <w:rFonts w:eastAsia="Times New Roman" w:cs="Calibri"/>
                <w:sz w:val="20"/>
                <w:szCs w:val="20"/>
              </w:rPr>
            </w:pPr>
            <w:r w:rsidRPr="008F4DF9">
              <w:rPr>
                <w:sz w:val="20"/>
                <w:szCs w:val="20"/>
              </w:rPr>
              <w:t>64</w:t>
            </w:r>
          </w:p>
        </w:tc>
        <w:tc>
          <w:tcPr>
            <w:tcW w:w="1191" w:type="dxa"/>
            <w:shd w:val="clear" w:color="auto" w:fill="auto"/>
            <w:hideMark/>
          </w:tcPr>
          <w:p w14:paraId="0BFE12D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2D262B8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2C5FECCD"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770C2E64" w14:textId="77777777" w:rsidR="00F45CC2" w:rsidRPr="008F4DF9" w:rsidRDefault="00F45CC2" w:rsidP="00DC0921">
            <w:pPr>
              <w:ind w:left="0" w:firstLine="0"/>
              <w:jc w:val="right"/>
              <w:rPr>
                <w:rFonts w:eastAsia="Times New Roman" w:cs="Calibri"/>
                <w:sz w:val="20"/>
                <w:szCs w:val="20"/>
              </w:rPr>
            </w:pPr>
            <w:r w:rsidRPr="008F4DF9">
              <w:rPr>
                <w:sz w:val="20"/>
                <w:szCs w:val="20"/>
              </w:rPr>
              <w:t>64</w:t>
            </w:r>
          </w:p>
        </w:tc>
      </w:tr>
      <w:tr w:rsidR="00F45CC2" w:rsidRPr="008F4DF9" w14:paraId="5B4DCF49" w14:textId="77777777" w:rsidTr="00D8194D">
        <w:tc>
          <w:tcPr>
            <w:tcW w:w="1277" w:type="dxa"/>
            <w:shd w:val="clear" w:color="auto" w:fill="auto"/>
            <w:hideMark/>
          </w:tcPr>
          <w:p w14:paraId="60D2E443" w14:textId="77777777" w:rsidR="00F45CC2" w:rsidRPr="008F4DF9" w:rsidRDefault="00F45CC2" w:rsidP="00DC0921">
            <w:pPr>
              <w:ind w:left="0" w:firstLine="0"/>
              <w:rPr>
                <w:rFonts w:eastAsia="Times New Roman" w:cs="Calibri"/>
                <w:sz w:val="20"/>
                <w:szCs w:val="20"/>
              </w:rPr>
            </w:pPr>
            <w:r w:rsidRPr="008F4DF9">
              <w:rPr>
                <w:sz w:val="20"/>
                <w:szCs w:val="20"/>
              </w:rPr>
              <w:t>R100104</w:t>
            </w:r>
          </w:p>
        </w:tc>
        <w:tc>
          <w:tcPr>
            <w:tcW w:w="2131" w:type="dxa"/>
            <w:shd w:val="clear" w:color="auto" w:fill="auto"/>
            <w:noWrap/>
            <w:hideMark/>
          </w:tcPr>
          <w:p w14:paraId="158BCCC9"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Desarrollo</w:t>
            </w:r>
          </w:p>
        </w:tc>
        <w:tc>
          <w:tcPr>
            <w:tcW w:w="1332" w:type="dxa"/>
            <w:shd w:val="clear" w:color="auto" w:fill="auto"/>
            <w:hideMark/>
          </w:tcPr>
          <w:p w14:paraId="2F3C0AD2"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c>
          <w:tcPr>
            <w:tcW w:w="1191" w:type="dxa"/>
            <w:shd w:val="clear" w:color="auto" w:fill="auto"/>
            <w:hideMark/>
          </w:tcPr>
          <w:p w14:paraId="2D77DEED"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6AAFEC42"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7A0788B9" w14:textId="77777777" w:rsidR="00F45CC2" w:rsidRPr="008F4DF9" w:rsidRDefault="00F45CC2" w:rsidP="00DC0921">
            <w:pPr>
              <w:ind w:left="0" w:firstLine="0"/>
              <w:jc w:val="right"/>
              <w:rPr>
                <w:rFonts w:eastAsia="Times New Roman" w:cs="Calibri"/>
                <w:sz w:val="20"/>
                <w:szCs w:val="20"/>
              </w:rPr>
            </w:pPr>
            <w:r w:rsidRPr="008F4DF9">
              <w:rPr>
                <w:sz w:val="20"/>
                <w:szCs w:val="20"/>
              </w:rPr>
              <w:t>20</w:t>
            </w:r>
          </w:p>
        </w:tc>
        <w:tc>
          <w:tcPr>
            <w:tcW w:w="1333" w:type="dxa"/>
            <w:shd w:val="clear" w:color="auto" w:fill="auto"/>
            <w:hideMark/>
          </w:tcPr>
          <w:p w14:paraId="0E151EDD" w14:textId="77777777" w:rsidR="00F45CC2" w:rsidRPr="008F4DF9" w:rsidRDefault="00F45CC2" w:rsidP="00DC0921">
            <w:pPr>
              <w:ind w:left="0" w:firstLine="0"/>
              <w:jc w:val="right"/>
              <w:rPr>
                <w:rFonts w:eastAsia="Times New Roman" w:cs="Calibri"/>
                <w:sz w:val="20"/>
                <w:szCs w:val="20"/>
              </w:rPr>
            </w:pPr>
            <w:r w:rsidRPr="008F4DF9">
              <w:rPr>
                <w:sz w:val="20"/>
                <w:szCs w:val="20"/>
              </w:rPr>
              <w:t>27</w:t>
            </w:r>
          </w:p>
        </w:tc>
      </w:tr>
      <w:tr w:rsidR="00F45CC2" w:rsidRPr="008F4DF9" w14:paraId="52010AC8" w14:textId="77777777" w:rsidTr="00D8194D">
        <w:tc>
          <w:tcPr>
            <w:tcW w:w="1277" w:type="dxa"/>
            <w:shd w:val="clear" w:color="auto" w:fill="auto"/>
            <w:hideMark/>
          </w:tcPr>
          <w:p w14:paraId="53161CE7" w14:textId="77777777" w:rsidR="00F45CC2" w:rsidRPr="008F4DF9" w:rsidRDefault="00F45CC2" w:rsidP="00DC0921">
            <w:pPr>
              <w:ind w:left="0" w:firstLine="0"/>
              <w:rPr>
                <w:rFonts w:eastAsia="Times New Roman" w:cs="Calibri"/>
                <w:sz w:val="20"/>
                <w:szCs w:val="20"/>
              </w:rPr>
            </w:pPr>
            <w:r w:rsidRPr="008F4DF9">
              <w:rPr>
                <w:sz w:val="20"/>
                <w:szCs w:val="20"/>
              </w:rPr>
              <w:t>R100105</w:t>
            </w:r>
          </w:p>
        </w:tc>
        <w:tc>
          <w:tcPr>
            <w:tcW w:w="2131" w:type="dxa"/>
            <w:shd w:val="clear" w:color="auto" w:fill="auto"/>
            <w:noWrap/>
            <w:hideMark/>
          </w:tcPr>
          <w:p w14:paraId="125FADA7"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Examen Científico</w:t>
            </w:r>
          </w:p>
        </w:tc>
        <w:tc>
          <w:tcPr>
            <w:tcW w:w="1332" w:type="dxa"/>
            <w:shd w:val="clear" w:color="auto" w:fill="auto"/>
            <w:hideMark/>
          </w:tcPr>
          <w:p w14:paraId="7B958A13" w14:textId="77777777" w:rsidR="00F45CC2" w:rsidRPr="008F4DF9" w:rsidRDefault="00F45CC2" w:rsidP="00DC0921">
            <w:pPr>
              <w:ind w:left="0" w:firstLine="0"/>
              <w:jc w:val="right"/>
              <w:rPr>
                <w:rFonts w:eastAsia="Times New Roman" w:cs="Calibri"/>
                <w:sz w:val="20"/>
                <w:szCs w:val="20"/>
              </w:rPr>
            </w:pPr>
            <w:r w:rsidRPr="008F4DF9">
              <w:rPr>
                <w:sz w:val="20"/>
                <w:szCs w:val="20"/>
              </w:rPr>
              <w:t>33</w:t>
            </w:r>
          </w:p>
        </w:tc>
        <w:tc>
          <w:tcPr>
            <w:tcW w:w="1191" w:type="dxa"/>
            <w:shd w:val="clear" w:color="auto" w:fill="auto"/>
            <w:hideMark/>
          </w:tcPr>
          <w:p w14:paraId="32DEF3C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2E3A593B"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0F7DFAA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6F05F125" w14:textId="77777777" w:rsidR="00F45CC2" w:rsidRPr="008F4DF9" w:rsidRDefault="00F45CC2" w:rsidP="00DC0921">
            <w:pPr>
              <w:ind w:left="0" w:firstLine="0"/>
              <w:jc w:val="right"/>
              <w:rPr>
                <w:rFonts w:eastAsia="Times New Roman" w:cs="Calibri"/>
                <w:sz w:val="20"/>
                <w:szCs w:val="20"/>
              </w:rPr>
            </w:pPr>
            <w:r w:rsidRPr="008F4DF9">
              <w:rPr>
                <w:sz w:val="20"/>
                <w:szCs w:val="20"/>
              </w:rPr>
              <w:t>33</w:t>
            </w:r>
          </w:p>
        </w:tc>
      </w:tr>
      <w:tr w:rsidR="00F45CC2" w:rsidRPr="008F4DF9" w14:paraId="7B847CAE" w14:textId="77777777" w:rsidTr="00D8194D">
        <w:tc>
          <w:tcPr>
            <w:tcW w:w="1277" w:type="dxa"/>
            <w:shd w:val="clear" w:color="auto" w:fill="auto"/>
            <w:hideMark/>
          </w:tcPr>
          <w:p w14:paraId="0D077BB1" w14:textId="77777777" w:rsidR="00F45CC2" w:rsidRPr="008F4DF9" w:rsidRDefault="00F45CC2" w:rsidP="00DC0921">
            <w:pPr>
              <w:ind w:left="0" w:firstLine="0"/>
              <w:rPr>
                <w:rFonts w:eastAsia="Times New Roman" w:cs="Calibri"/>
                <w:sz w:val="20"/>
                <w:szCs w:val="20"/>
              </w:rPr>
            </w:pPr>
            <w:r w:rsidRPr="008F4DF9">
              <w:rPr>
                <w:sz w:val="20"/>
                <w:szCs w:val="20"/>
              </w:rPr>
              <w:t>R100106</w:t>
            </w:r>
          </w:p>
        </w:tc>
        <w:tc>
          <w:tcPr>
            <w:tcW w:w="2131" w:type="dxa"/>
            <w:shd w:val="clear" w:color="auto" w:fill="auto"/>
            <w:noWrap/>
            <w:hideMark/>
          </w:tcPr>
          <w:p w14:paraId="7320F164"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Plan Estratégico 2016</w:t>
            </w:r>
          </w:p>
        </w:tc>
        <w:tc>
          <w:tcPr>
            <w:tcW w:w="1332" w:type="dxa"/>
            <w:shd w:val="clear" w:color="auto" w:fill="auto"/>
            <w:hideMark/>
          </w:tcPr>
          <w:p w14:paraId="51D97D17" w14:textId="77777777" w:rsidR="00F45CC2" w:rsidRPr="008F4DF9" w:rsidRDefault="00F45CC2" w:rsidP="00DC0921">
            <w:pPr>
              <w:ind w:left="0" w:firstLine="0"/>
              <w:jc w:val="right"/>
              <w:rPr>
                <w:rFonts w:eastAsia="Times New Roman" w:cs="Calibri"/>
                <w:sz w:val="20"/>
                <w:szCs w:val="20"/>
              </w:rPr>
            </w:pPr>
            <w:r w:rsidRPr="008F4DF9">
              <w:rPr>
                <w:sz w:val="20"/>
                <w:szCs w:val="20"/>
              </w:rPr>
              <w:t>18</w:t>
            </w:r>
          </w:p>
        </w:tc>
        <w:tc>
          <w:tcPr>
            <w:tcW w:w="1191" w:type="dxa"/>
            <w:shd w:val="clear" w:color="auto" w:fill="auto"/>
            <w:hideMark/>
          </w:tcPr>
          <w:p w14:paraId="1FA0CDA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76FD26A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68C1937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6543F7C0" w14:textId="77777777" w:rsidR="00F45CC2" w:rsidRPr="008F4DF9" w:rsidRDefault="00F45CC2" w:rsidP="00DC0921">
            <w:pPr>
              <w:ind w:left="0" w:firstLine="0"/>
              <w:jc w:val="right"/>
              <w:rPr>
                <w:rFonts w:eastAsia="Times New Roman" w:cs="Calibri"/>
                <w:sz w:val="20"/>
                <w:szCs w:val="20"/>
              </w:rPr>
            </w:pPr>
            <w:r w:rsidRPr="008F4DF9">
              <w:rPr>
                <w:sz w:val="20"/>
                <w:szCs w:val="20"/>
              </w:rPr>
              <w:t>18</w:t>
            </w:r>
          </w:p>
        </w:tc>
      </w:tr>
      <w:tr w:rsidR="00F45CC2" w:rsidRPr="008F4DF9" w14:paraId="5867538E" w14:textId="77777777" w:rsidTr="00D8194D">
        <w:tc>
          <w:tcPr>
            <w:tcW w:w="1277" w:type="dxa"/>
            <w:shd w:val="clear" w:color="auto" w:fill="auto"/>
            <w:hideMark/>
          </w:tcPr>
          <w:p w14:paraId="24B009B0" w14:textId="77777777" w:rsidR="00F45CC2" w:rsidRPr="008F4DF9" w:rsidRDefault="00F45CC2" w:rsidP="00DC0921">
            <w:pPr>
              <w:ind w:left="0" w:firstLine="0"/>
              <w:rPr>
                <w:rFonts w:eastAsia="Times New Roman" w:cs="Calibri"/>
                <w:sz w:val="20"/>
                <w:szCs w:val="20"/>
              </w:rPr>
            </w:pPr>
            <w:r w:rsidRPr="008F4DF9">
              <w:rPr>
                <w:sz w:val="20"/>
                <w:szCs w:val="20"/>
              </w:rPr>
              <w:t>R100108</w:t>
            </w:r>
          </w:p>
        </w:tc>
        <w:tc>
          <w:tcPr>
            <w:tcW w:w="2131" w:type="dxa"/>
            <w:shd w:val="clear" w:color="auto" w:fill="auto"/>
            <w:noWrap/>
            <w:hideMark/>
          </w:tcPr>
          <w:p w14:paraId="10705CC3"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Traducciones para la COP12 (FOEN-CH)</w:t>
            </w:r>
          </w:p>
        </w:tc>
        <w:tc>
          <w:tcPr>
            <w:tcW w:w="1332" w:type="dxa"/>
            <w:shd w:val="clear" w:color="auto" w:fill="auto"/>
            <w:hideMark/>
          </w:tcPr>
          <w:p w14:paraId="41A364AE" w14:textId="77777777" w:rsidR="00F45CC2" w:rsidRPr="008F4DF9" w:rsidRDefault="00F45CC2" w:rsidP="00DC0921">
            <w:pPr>
              <w:ind w:left="0" w:firstLine="0"/>
              <w:jc w:val="right"/>
              <w:rPr>
                <w:rFonts w:eastAsia="Times New Roman" w:cs="Calibri"/>
                <w:sz w:val="20"/>
                <w:szCs w:val="20"/>
              </w:rPr>
            </w:pPr>
            <w:r w:rsidRPr="008F4DF9">
              <w:rPr>
                <w:sz w:val="20"/>
                <w:szCs w:val="20"/>
              </w:rPr>
              <w:t>45</w:t>
            </w:r>
          </w:p>
        </w:tc>
        <w:tc>
          <w:tcPr>
            <w:tcW w:w="1191" w:type="dxa"/>
            <w:shd w:val="clear" w:color="auto" w:fill="auto"/>
            <w:hideMark/>
          </w:tcPr>
          <w:p w14:paraId="345A37C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419F16F"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724FEEA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7F82CFB5" w14:textId="77777777" w:rsidR="00F45CC2" w:rsidRPr="008F4DF9" w:rsidRDefault="00F45CC2" w:rsidP="00DC0921">
            <w:pPr>
              <w:ind w:left="0" w:firstLine="0"/>
              <w:jc w:val="right"/>
              <w:rPr>
                <w:rFonts w:eastAsia="Times New Roman" w:cs="Calibri"/>
                <w:sz w:val="20"/>
                <w:szCs w:val="20"/>
              </w:rPr>
            </w:pPr>
            <w:r w:rsidRPr="008F4DF9">
              <w:rPr>
                <w:sz w:val="20"/>
                <w:szCs w:val="20"/>
              </w:rPr>
              <w:t>45</w:t>
            </w:r>
          </w:p>
        </w:tc>
      </w:tr>
      <w:tr w:rsidR="00F45CC2" w:rsidRPr="008F4DF9" w14:paraId="452E438E" w14:textId="77777777" w:rsidTr="00D8194D">
        <w:tc>
          <w:tcPr>
            <w:tcW w:w="1277" w:type="dxa"/>
            <w:shd w:val="clear" w:color="auto" w:fill="auto"/>
            <w:hideMark/>
          </w:tcPr>
          <w:p w14:paraId="0EFD51B8" w14:textId="77777777" w:rsidR="00F45CC2" w:rsidRPr="008F4DF9" w:rsidRDefault="00F45CC2" w:rsidP="00DC0921">
            <w:pPr>
              <w:ind w:left="0" w:firstLine="0"/>
              <w:rPr>
                <w:rFonts w:eastAsia="Times New Roman" w:cs="Calibri"/>
                <w:sz w:val="20"/>
                <w:szCs w:val="20"/>
              </w:rPr>
            </w:pPr>
            <w:r w:rsidRPr="008F4DF9">
              <w:rPr>
                <w:sz w:val="20"/>
                <w:szCs w:val="20"/>
              </w:rPr>
              <w:t>R100190</w:t>
            </w:r>
          </w:p>
        </w:tc>
        <w:tc>
          <w:tcPr>
            <w:tcW w:w="2131" w:type="dxa"/>
            <w:shd w:val="clear" w:color="auto" w:fill="auto"/>
            <w:noWrap/>
            <w:hideMark/>
          </w:tcPr>
          <w:p w14:paraId="2734BF3C"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Ciclo hidrológico</w:t>
            </w:r>
          </w:p>
        </w:tc>
        <w:tc>
          <w:tcPr>
            <w:tcW w:w="1332" w:type="dxa"/>
            <w:shd w:val="clear" w:color="auto" w:fill="auto"/>
            <w:hideMark/>
          </w:tcPr>
          <w:p w14:paraId="2D992DE6" w14:textId="77777777" w:rsidR="00F45CC2" w:rsidRPr="008F4DF9" w:rsidRDefault="00F45CC2" w:rsidP="00DC0921">
            <w:pPr>
              <w:ind w:left="0" w:firstLine="0"/>
              <w:jc w:val="right"/>
              <w:rPr>
                <w:rFonts w:eastAsia="Times New Roman" w:cs="Calibri"/>
                <w:sz w:val="20"/>
                <w:szCs w:val="20"/>
              </w:rPr>
            </w:pPr>
            <w:r w:rsidRPr="008F4DF9">
              <w:rPr>
                <w:sz w:val="20"/>
                <w:szCs w:val="20"/>
              </w:rPr>
              <w:t>11</w:t>
            </w:r>
          </w:p>
        </w:tc>
        <w:tc>
          <w:tcPr>
            <w:tcW w:w="1191" w:type="dxa"/>
            <w:shd w:val="clear" w:color="auto" w:fill="auto"/>
            <w:hideMark/>
          </w:tcPr>
          <w:p w14:paraId="6882A6DF"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77489C7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37A6765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0815BE32" w14:textId="77777777" w:rsidR="00F45CC2" w:rsidRPr="008F4DF9" w:rsidRDefault="00F45CC2" w:rsidP="00DC0921">
            <w:pPr>
              <w:ind w:left="0" w:firstLine="0"/>
              <w:jc w:val="right"/>
              <w:rPr>
                <w:rFonts w:eastAsia="Times New Roman" w:cs="Calibri"/>
                <w:sz w:val="20"/>
                <w:szCs w:val="20"/>
              </w:rPr>
            </w:pPr>
            <w:r w:rsidRPr="008F4DF9">
              <w:rPr>
                <w:sz w:val="20"/>
                <w:szCs w:val="20"/>
              </w:rPr>
              <w:t>11</w:t>
            </w:r>
          </w:p>
        </w:tc>
      </w:tr>
      <w:tr w:rsidR="00F45CC2" w:rsidRPr="008F4DF9" w14:paraId="27F287B9" w14:textId="77777777" w:rsidTr="00D8194D">
        <w:tc>
          <w:tcPr>
            <w:tcW w:w="1277" w:type="dxa"/>
            <w:shd w:val="clear" w:color="auto" w:fill="auto"/>
            <w:hideMark/>
          </w:tcPr>
          <w:p w14:paraId="1AE26BB1" w14:textId="77777777" w:rsidR="00F45CC2" w:rsidRPr="008F4DF9" w:rsidRDefault="00F45CC2" w:rsidP="00DC0921">
            <w:pPr>
              <w:ind w:left="0" w:firstLine="0"/>
              <w:rPr>
                <w:rFonts w:eastAsia="Times New Roman" w:cs="Calibri"/>
                <w:sz w:val="20"/>
                <w:szCs w:val="20"/>
              </w:rPr>
            </w:pPr>
            <w:r w:rsidRPr="008F4DF9">
              <w:rPr>
                <w:sz w:val="20"/>
                <w:szCs w:val="20"/>
              </w:rPr>
              <w:t>R100210</w:t>
            </w:r>
          </w:p>
        </w:tc>
        <w:tc>
          <w:tcPr>
            <w:tcW w:w="2131" w:type="dxa"/>
            <w:shd w:val="clear" w:color="auto" w:fill="auto"/>
            <w:noWrap/>
            <w:hideMark/>
          </w:tcPr>
          <w:p w14:paraId="7B4A1540"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Urbanización en África Occidental</w:t>
            </w:r>
          </w:p>
        </w:tc>
        <w:tc>
          <w:tcPr>
            <w:tcW w:w="1332" w:type="dxa"/>
            <w:shd w:val="clear" w:color="auto" w:fill="auto"/>
            <w:hideMark/>
          </w:tcPr>
          <w:p w14:paraId="641E420B" w14:textId="77777777" w:rsidR="00F45CC2" w:rsidRPr="008F4DF9" w:rsidRDefault="00F45CC2" w:rsidP="00DC0921">
            <w:pPr>
              <w:ind w:left="0" w:firstLine="0"/>
              <w:jc w:val="right"/>
              <w:rPr>
                <w:rFonts w:eastAsia="Times New Roman" w:cs="Calibri"/>
                <w:sz w:val="20"/>
                <w:szCs w:val="20"/>
              </w:rPr>
            </w:pPr>
            <w:r w:rsidRPr="008F4DF9">
              <w:rPr>
                <w:sz w:val="20"/>
                <w:szCs w:val="20"/>
              </w:rPr>
              <w:t>16</w:t>
            </w:r>
          </w:p>
        </w:tc>
        <w:tc>
          <w:tcPr>
            <w:tcW w:w="1191" w:type="dxa"/>
            <w:shd w:val="clear" w:color="auto" w:fill="auto"/>
            <w:hideMark/>
          </w:tcPr>
          <w:p w14:paraId="77D87B5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470055D4"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72E979DC" w14:textId="77777777" w:rsidR="00F45CC2" w:rsidRPr="008F4DF9" w:rsidRDefault="00F45CC2" w:rsidP="00DC0921">
            <w:pPr>
              <w:ind w:left="0" w:firstLine="0"/>
              <w:jc w:val="right"/>
              <w:rPr>
                <w:rFonts w:eastAsia="Times New Roman" w:cs="Calibri"/>
                <w:sz w:val="20"/>
                <w:szCs w:val="20"/>
              </w:rPr>
            </w:pPr>
            <w:r w:rsidRPr="008F4DF9">
              <w:rPr>
                <w:sz w:val="20"/>
                <w:szCs w:val="20"/>
              </w:rPr>
              <w:t>(16)</w:t>
            </w:r>
          </w:p>
        </w:tc>
        <w:tc>
          <w:tcPr>
            <w:tcW w:w="1333" w:type="dxa"/>
            <w:shd w:val="clear" w:color="auto" w:fill="auto"/>
            <w:hideMark/>
          </w:tcPr>
          <w:p w14:paraId="01F4D09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245E0743" w14:textId="77777777" w:rsidTr="00D8194D">
        <w:tc>
          <w:tcPr>
            <w:tcW w:w="1277" w:type="dxa"/>
            <w:shd w:val="clear" w:color="auto" w:fill="auto"/>
            <w:hideMark/>
          </w:tcPr>
          <w:p w14:paraId="1E4D8267" w14:textId="77777777" w:rsidR="00F45CC2" w:rsidRPr="008F4DF9" w:rsidRDefault="00F45CC2" w:rsidP="00DC0921">
            <w:pPr>
              <w:ind w:left="0" w:firstLine="0"/>
              <w:rPr>
                <w:rFonts w:eastAsia="Times New Roman" w:cs="Calibri"/>
                <w:sz w:val="20"/>
                <w:szCs w:val="20"/>
              </w:rPr>
            </w:pPr>
            <w:r w:rsidRPr="008F4DF9">
              <w:rPr>
                <w:sz w:val="20"/>
                <w:szCs w:val="20"/>
              </w:rPr>
              <w:t>R100311</w:t>
            </w:r>
          </w:p>
        </w:tc>
        <w:tc>
          <w:tcPr>
            <w:tcW w:w="2131" w:type="dxa"/>
            <w:shd w:val="clear" w:color="auto" w:fill="auto"/>
            <w:noWrap/>
            <w:hideMark/>
          </w:tcPr>
          <w:p w14:paraId="1E906AC2"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Rio Cruces</w:t>
            </w:r>
          </w:p>
        </w:tc>
        <w:tc>
          <w:tcPr>
            <w:tcW w:w="1332" w:type="dxa"/>
            <w:shd w:val="clear" w:color="auto" w:fill="auto"/>
            <w:hideMark/>
          </w:tcPr>
          <w:p w14:paraId="255C56F1" w14:textId="77777777" w:rsidR="00F45CC2" w:rsidRPr="008F4DF9" w:rsidRDefault="00F45CC2" w:rsidP="00DC0921">
            <w:pPr>
              <w:ind w:left="0" w:firstLine="0"/>
              <w:jc w:val="right"/>
              <w:rPr>
                <w:rFonts w:eastAsia="Times New Roman" w:cs="Calibri"/>
                <w:sz w:val="20"/>
                <w:szCs w:val="20"/>
              </w:rPr>
            </w:pPr>
            <w:r w:rsidRPr="008F4DF9">
              <w:rPr>
                <w:sz w:val="20"/>
                <w:szCs w:val="20"/>
              </w:rPr>
              <w:t>55</w:t>
            </w:r>
          </w:p>
        </w:tc>
        <w:tc>
          <w:tcPr>
            <w:tcW w:w="1191" w:type="dxa"/>
            <w:shd w:val="clear" w:color="auto" w:fill="auto"/>
            <w:hideMark/>
          </w:tcPr>
          <w:p w14:paraId="6280137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6676E995" w14:textId="77777777" w:rsidR="00F45CC2" w:rsidRPr="008F4DF9" w:rsidRDefault="00F45CC2" w:rsidP="00DC0921">
            <w:pPr>
              <w:ind w:left="0" w:firstLine="0"/>
              <w:jc w:val="right"/>
              <w:rPr>
                <w:rFonts w:eastAsia="Times New Roman" w:cs="Calibri"/>
                <w:sz w:val="20"/>
                <w:szCs w:val="20"/>
              </w:rPr>
            </w:pPr>
            <w:r w:rsidRPr="008F4DF9">
              <w:rPr>
                <w:sz w:val="20"/>
                <w:szCs w:val="20"/>
              </w:rPr>
              <w:t>(3)</w:t>
            </w:r>
          </w:p>
        </w:tc>
        <w:tc>
          <w:tcPr>
            <w:tcW w:w="1191" w:type="dxa"/>
            <w:shd w:val="clear" w:color="auto" w:fill="auto"/>
            <w:hideMark/>
          </w:tcPr>
          <w:p w14:paraId="7AEBEBEA"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47C67AB3" w14:textId="77777777" w:rsidR="00F45CC2" w:rsidRPr="008F4DF9" w:rsidRDefault="00F45CC2" w:rsidP="00DC0921">
            <w:pPr>
              <w:ind w:left="0" w:firstLine="0"/>
              <w:jc w:val="right"/>
              <w:rPr>
                <w:rFonts w:eastAsia="Times New Roman" w:cs="Calibri"/>
                <w:sz w:val="20"/>
                <w:szCs w:val="20"/>
              </w:rPr>
            </w:pPr>
            <w:r w:rsidRPr="008F4DF9">
              <w:rPr>
                <w:sz w:val="20"/>
                <w:szCs w:val="20"/>
              </w:rPr>
              <w:t>52</w:t>
            </w:r>
          </w:p>
        </w:tc>
      </w:tr>
      <w:tr w:rsidR="00F45CC2" w:rsidRPr="008F4DF9" w14:paraId="4205E766" w14:textId="77777777" w:rsidTr="00D8194D">
        <w:tc>
          <w:tcPr>
            <w:tcW w:w="1277" w:type="dxa"/>
            <w:shd w:val="clear" w:color="auto" w:fill="auto"/>
            <w:hideMark/>
          </w:tcPr>
          <w:p w14:paraId="46494DD6" w14:textId="77777777" w:rsidR="00F45CC2" w:rsidRPr="008F4DF9" w:rsidRDefault="00F45CC2" w:rsidP="00DC0921">
            <w:pPr>
              <w:ind w:left="0" w:firstLine="0"/>
              <w:rPr>
                <w:rFonts w:eastAsia="Times New Roman" w:cs="Calibri"/>
                <w:sz w:val="20"/>
                <w:szCs w:val="20"/>
              </w:rPr>
            </w:pPr>
            <w:r w:rsidRPr="008F4DF9">
              <w:rPr>
                <w:sz w:val="20"/>
                <w:szCs w:val="20"/>
              </w:rPr>
              <w:t>R100402</w:t>
            </w:r>
          </w:p>
        </w:tc>
        <w:tc>
          <w:tcPr>
            <w:tcW w:w="2131" w:type="dxa"/>
            <w:shd w:val="clear" w:color="auto" w:fill="auto"/>
            <w:noWrap/>
            <w:hideMark/>
          </w:tcPr>
          <w:p w14:paraId="053BE2F0"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Bhután</w:t>
            </w:r>
          </w:p>
        </w:tc>
        <w:tc>
          <w:tcPr>
            <w:tcW w:w="1332" w:type="dxa"/>
            <w:shd w:val="clear" w:color="auto" w:fill="auto"/>
            <w:hideMark/>
          </w:tcPr>
          <w:p w14:paraId="657DBCA5" w14:textId="77777777" w:rsidR="00F45CC2" w:rsidRPr="008F4DF9" w:rsidRDefault="00F45CC2" w:rsidP="00DC0921">
            <w:pPr>
              <w:ind w:left="0" w:firstLine="0"/>
              <w:jc w:val="right"/>
              <w:rPr>
                <w:rFonts w:eastAsia="Times New Roman" w:cs="Calibri"/>
                <w:sz w:val="20"/>
                <w:szCs w:val="20"/>
              </w:rPr>
            </w:pPr>
            <w:r w:rsidRPr="008F4DF9">
              <w:rPr>
                <w:sz w:val="20"/>
                <w:szCs w:val="20"/>
              </w:rPr>
              <w:t>(10)</w:t>
            </w:r>
          </w:p>
        </w:tc>
        <w:tc>
          <w:tcPr>
            <w:tcW w:w="1191" w:type="dxa"/>
            <w:shd w:val="clear" w:color="auto" w:fill="auto"/>
            <w:hideMark/>
          </w:tcPr>
          <w:p w14:paraId="23BAED4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552D360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427F5D3A" w14:textId="77777777" w:rsidR="00F45CC2" w:rsidRPr="008F4DF9" w:rsidRDefault="00F45CC2" w:rsidP="00DC0921">
            <w:pPr>
              <w:ind w:left="0" w:firstLine="0"/>
              <w:jc w:val="right"/>
              <w:rPr>
                <w:rFonts w:eastAsia="Times New Roman" w:cs="Calibri"/>
                <w:sz w:val="20"/>
                <w:szCs w:val="20"/>
              </w:rPr>
            </w:pPr>
            <w:r w:rsidRPr="008F4DF9">
              <w:rPr>
                <w:sz w:val="20"/>
                <w:szCs w:val="20"/>
              </w:rPr>
              <w:t>10</w:t>
            </w:r>
          </w:p>
        </w:tc>
        <w:tc>
          <w:tcPr>
            <w:tcW w:w="1333" w:type="dxa"/>
            <w:shd w:val="clear" w:color="auto" w:fill="auto"/>
            <w:hideMark/>
          </w:tcPr>
          <w:p w14:paraId="2B283F0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513F0FB6" w14:textId="77777777" w:rsidTr="00D8194D">
        <w:tc>
          <w:tcPr>
            <w:tcW w:w="1277" w:type="dxa"/>
            <w:shd w:val="clear" w:color="auto" w:fill="auto"/>
            <w:hideMark/>
          </w:tcPr>
          <w:p w14:paraId="778B0C51" w14:textId="77777777" w:rsidR="00F45CC2" w:rsidRPr="008F4DF9" w:rsidRDefault="00F45CC2" w:rsidP="00DC0921">
            <w:pPr>
              <w:ind w:left="0" w:firstLine="0"/>
              <w:rPr>
                <w:rFonts w:eastAsia="Times New Roman" w:cs="Calibri"/>
                <w:sz w:val="20"/>
                <w:szCs w:val="20"/>
              </w:rPr>
            </w:pPr>
            <w:r w:rsidRPr="008F4DF9">
              <w:rPr>
                <w:sz w:val="20"/>
                <w:szCs w:val="20"/>
              </w:rPr>
              <w:lastRenderedPageBreak/>
              <w:t>R100406</w:t>
            </w:r>
          </w:p>
        </w:tc>
        <w:tc>
          <w:tcPr>
            <w:tcW w:w="2131" w:type="dxa"/>
            <w:shd w:val="clear" w:color="auto" w:fill="auto"/>
            <w:noWrap/>
            <w:hideMark/>
          </w:tcPr>
          <w:p w14:paraId="2C647E95"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Subvención del WWF, DMH Corea</w:t>
            </w:r>
          </w:p>
        </w:tc>
        <w:tc>
          <w:tcPr>
            <w:tcW w:w="1332" w:type="dxa"/>
            <w:shd w:val="clear" w:color="auto" w:fill="auto"/>
            <w:hideMark/>
          </w:tcPr>
          <w:p w14:paraId="2658D70C"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393EB4B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35A688C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50DAD12D"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333" w:type="dxa"/>
            <w:shd w:val="clear" w:color="auto" w:fill="auto"/>
            <w:hideMark/>
          </w:tcPr>
          <w:p w14:paraId="759787BB"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37E04268" w14:textId="77777777" w:rsidTr="00D8194D">
        <w:tc>
          <w:tcPr>
            <w:tcW w:w="1277" w:type="dxa"/>
            <w:shd w:val="clear" w:color="auto" w:fill="auto"/>
            <w:hideMark/>
          </w:tcPr>
          <w:p w14:paraId="7B4A9FD7" w14:textId="77777777" w:rsidR="00F45CC2" w:rsidRPr="008F4DF9" w:rsidRDefault="00F45CC2" w:rsidP="00DC0921">
            <w:pPr>
              <w:ind w:left="0" w:firstLine="0"/>
              <w:rPr>
                <w:rFonts w:eastAsia="Times New Roman" w:cs="Calibri"/>
                <w:sz w:val="20"/>
                <w:szCs w:val="20"/>
              </w:rPr>
            </w:pPr>
            <w:r w:rsidRPr="008F4DF9">
              <w:rPr>
                <w:sz w:val="20"/>
                <w:szCs w:val="20"/>
              </w:rPr>
              <w:t>R100637</w:t>
            </w:r>
          </w:p>
        </w:tc>
        <w:tc>
          <w:tcPr>
            <w:tcW w:w="2131" w:type="dxa"/>
            <w:shd w:val="clear" w:color="auto" w:fill="auto"/>
            <w:noWrap/>
            <w:hideMark/>
          </w:tcPr>
          <w:p w14:paraId="78E2FC6E"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COP13, EAU</w:t>
            </w:r>
          </w:p>
        </w:tc>
        <w:tc>
          <w:tcPr>
            <w:tcW w:w="1332" w:type="dxa"/>
            <w:shd w:val="clear" w:color="auto" w:fill="auto"/>
            <w:hideMark/>
          </w:tcPr>
          <w:p w14:paraId="36FAF595" w14:textId="77777777" w:rsidR="00F45CC2" w:rsidRPr="008F4DF9" w:rsidRDefault="00F45CC2" w:rsidP="00DC0921">
            <w:pPr>
              <w:ind w:left="0" w:firstLine="0"/>
              <w:jc w:val="right"/>
              <w:rPr>
                <w:rFonts w:eastAsia="Times New Roman" w:cs="Calibri"/>
                <w:sz w:val="20"/>
                <w:szCs w:val="20"/>
              </w:rPr>
            </w:pPr>
            <w:r w:rsidRPr="008F4DF9">
              <w:rPr>
                <w:sz w:val="20"/>
                <w:szCs w:val="20"/>
              </w:rPr>
              <w:t>206</w:t>
            </w:r>
          </w:p>
        </w:tc>
        <w:tc>
          <w:tcPr>
            <w:tcW w:w="1191" w:type="dxa"/>
            <w:shd w:val="clear" w:color="auto" w:fill="auto"/>
            <w:hideMark/>
          </w:tcPr>
          <w:p w14:paraId="54AC2514" w14:textId="77777777" w:rsidR="00F45CC2" w:rsidRPr="008F4DF9" w:rsidRDefault="00F45CC2" w:rsidP="00DC0921">
            <w:pPr>
              <w:ind w:left="0" w:firstLine="0"/>
              <w:jc w:val="right"/>
              <w:rPr>
                <w:rFonts w:eastAsia="Times New Roman" w:cs="Calibri"/>
                <w:sz w:val="20"/>
                <w:szCs w:val="20"/>
              </w:rPr>
            </w:pPr>
            <w:r w:rsidRPr="008F4DF9">
              <w:rPr>
                <w:sz w:val="20"/>
                <w:szCs w:val="20"/>
              </w:rPr>
              <w:t>(206)</w:t>
            </w:r>
          </w:p>
        </w:tc>
        <w:tc>
          <w:tcPr>
            <w:tcW w:w="1190" w:type="dxa"/>
            <w:shd w:val="clear" w:color="auto" w:fill="auto"/>
            <w:hideMark/>
          </w:tcPr>
          <w:p w14:paraId="6B1742D6"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766BEC06"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254A8BC1"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r>
      <w:tr w:rsidR="00F45CC2" w:rsidRPr="008F4DF9" w14:paraId="180DCCF5" w14:textId="77777777" w:rsidTr="00D8194D">
        <w:tc>
          <w:tcPr>
            <w:tcW w:w="1277" w:type="dxa"/>
            <w:shd w:val="clear" w:color="auto" w:fill="auto"/>
            <w:hideMark/>
          </w:tcPr>
          <w:p w14:paraId="31605AB6" w14:textId="77777777" w:rsidR="00F45CC2" w:rsidRPr="008F4DF9" w:rsidRDefault="00F45CC2" w:rsidP="00DC0921">
            <w:pPr>
              <w:ind w:left="0" w:firstLine="0"/>
              <w:rPr>
                <w:rFonts w:eastAsia="Times New Roman" w:cs="Calibri"/>
                <w:sz w:val="20"/>
                <w:szCs w:val="20"/>
              </w:rPr>
            </w:pPr>
            <w:r w:rsidRPr="008F4DF9">
              <w:rPr>
                <w:sz w:val="20"/>
                <w:szCs w:val="20"/>
              </w:rPr>
              <w:t>R100639</w:t>
            </w:r>
          </w:p>
        </w:tc>
        <w:tc>
          <w:tcPr>
            <w:tcW w:w="2131" w:type="dxa"/>
            <w:shd w:val="clear" w:color="auto" w:fill="auto"/>
            <w:noWrap/>
            <w:hideMark/>
          </w:tcPr>
          <w:p w14:paraId="5884C42B"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COP13, delegados patrocinados</w:t>
            </w:r>
          </w:p>
        </w:tc>
        <w:tc>
          <w:tcPr>
            <w:tcW w:w="1332" w:type="dxa"/>
            <w:shd w:val="clear" w:color="auto" w:fill="auto"/>
            <w:hideMark/>
          </w:tcPr>
          <w:p w14:paraId="78668D78" w14:textId="77777777" w:rsidR="00F45CC2" w:rsidRPr="008F4DF9" w:rsidRDefault="00F45CC2" w:rsidP="00DC0921">
            <w:pPr>
              <w:ind w:left="0" w:firstLine="0"/>
              <w:jc w:val="right"/>
              <w:rPr>
                <w:rFonts w:eastAsia="Times New Roman" w:cs="Calibri"/>
                <w:sz w:val="20"/>
                <w:szCs w:val="20"/>
              </w:rPr>
            </w:pPr>
            <w:r w:rsidRPr="008F4DF9">
              <w:rPr>
                <w:sz w:val="20"/>
                <w:szCs w:val="20"/>
              </w:rPr>
              <w:t>(94)</w:t>
            </w:r>
          </w:p>
        </w:tc>
        <w:tc>
          <w:tcPr>
            <w:tcW w:w="1191" w:type="dxa"/>
            <w:shd w:val="clear" w:color="auto" w:fill="auto"/>
            <w:hideMark/>
          </w:tcPr>
          <w:p w14:paraId="114E2B5C" w14:textId="77777777" w:rsidR="00F45CC2" w:rsidRPr="008F4DF9" w:rsidRDefault="00F45CC2" w:rsidP="00DC0921">
            <w:pPr>
              <w:ind w:left="0" w:firstLine="0"/>
              <w:jc w:val="right"/>
              <w:rPr>
                <w:rFonts w:eastAsia="Times New Roman" w:cs="Calibri"/>
                <w:sz w:val="20"/>
                <w:szCs w:val="20"/>
              </w:rPr>
            </w:pPr>
            <w:r w:rsidRPr="008F4DF9">
              <w:rPr>
                <w:sz w:val="20"/>
                <w:szCs w:val="20"/>
              </w:rPr>
              <w:t>1</w:t>
            </w:r>
          </w:p>
        </w:tc>
        <w:tc>
          <w:tcPr>
            <w:tcW w:w="1190" w:type="dxa"/>
            <w:shd w:val="clear" w:color="auto" w:fill="auto"/>
            <w:hideMark/>
          </w:tcPr>
          <w:p w14:paraId="7EE21826" w14:textId="77777777" w:rsidR="00F45CC2" w:rsidRPr="008F4DF9" w:rsidRDefault="00F45CC2" w:rsidP="00DC0921">
            <w:pPr>
              <w:ind w:left="0" w:firstLine="0"/>
              <w:jc w:val="right"/>
              <w:rPr>
                <w:rFonts w:eastAsia="Times New Roman" w:cs="Calibri"/>
                <w:sz w:val="20"/>
                <w:szCs w:val="20"/>
              </w:rPr>
            </w:pPr>
            <w:r w:rsidRPr="008F4DF9">
              <w:rPr>
                <w:sz w:val="20"/>
                <w:szCs w:val="20"/>
              </w:rPr>
              <w:t>18</w:t>
            </w:r>
          </w:p>
        </w:tc>
        <w:tc>
          <w:tcPr>
            <w:tcW w:w="1191" w:type="dxa"/>
            <w:shd w:val="clear" w:color="auto" w:fill="auto"/>
            <w:hideMark/>
          </w:tcPr>
          <w:p w14:paraId="42C55EB1" w14:textId="77777777" w:rsidR="00F45CC2" w:rsidRPr="008F4DF9" w:rsidRDefault="00F45CC2" w:rsidP="00DC0921">
            <w:pPr>
              <w:ind w:left="0" w:firstLine="0"/>
              <w:jc w:val="right"/>
              <w:rPr>
                <w:rFonts w:eastAsia="Times New Roman" w:cs="Calibri"/>
                <w:sz w:val="20"/>
                <w:szCs w:val="20"/>
              </w:rPr>
            </w:pPr>
            <w:r w:rsidRPr="008F4DF9">
              <w:rPr>
                <w:sz w:val="20"/>
                <w:szCs w:val="20"/>
              </w:rPr>
              <w:t>75</w:t>
            </w:r>
          </w:p>
        </w:tc>
        <w:tc>
          <w:tcPr>
            <w:tcW w:w="1333" w:type="dxa"/>
            <w:shd w:val="clear" w:color="auto" w:fill="auto"/>
            <w:hideMark/>
          </w:tcPr>
          <w:p w14:paraId="28CE93EE"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2193282A" w14:textId="77777777" w:rsidTr="00D8194D">
        <w:tc>
          <w:tcPr>
            <w:tcW w:w="1277" w:type="dxa"/>
            <w:shd w:val="clear" w:color="auto" w:fill="auto"/>
            <w:hideMark/>
          </w:tcPr>
          <w:p w14:paraId="647C8F05" w14:textId="77777777" w:rsidR="00F45CC2" w:rsidRPr="008F4DF9" w:rsidRDefault="00F45CC2" w:rsidP="00DC0921">
            <w:pPr>
              <w:ind w:left="0" w:firstLine="0"/>
              <w:rPr>
                <w:rFonts w:eastAsia="Times New Roman" w:cs="Calibri"/>
                <w:sz w:val="20"/>
                <w:szCs w:val="20"/>
              </w:rPr>
            </w:pPr>
            <w:r w:rsidRPr="008F4DF9">
              <w:rPr>
                <w:sz w:val="20"/>
                <w:szCs w:val="20"/>
              </w:rPr>
              <w:t>R100640</w:t>
            </w:r>
          </w:p>
        </w:tc>
        <w:tc>
          <w:tcPr>
            <w:tcW w:w="2131" w:type="dxa"/>
            <w:shd w:val="clear" w:color="auto" w:fill="auto"/>
            <w:noWrap/>
            <w:hideMark/>
          </w:tcPr>
          <w:p w14:paraId="19879F9D"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COP14, China</w:t>
            </w:r>
          </w:p>
        </w:tc>
        <w:tc>
          <w:tcPr>
            <w:tcW w:w="1332" w:type="dxa"/>
            <w:shd w:val="clear" w:color="auto" w:fill="auto"/>
            <w:hideMark/>
          </w:tcPr>
          <w:p w14:paraId="030319FD"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noWrap/>
            <w:hideMark/>
          </w:tcPr>
          <w:p w14:paraId="2908AB1F" w14:textId="77777777" w:rsidR="00F45CC2" w:rsidRPr="008F4DF9" w:rsidRDefault="00F45CC2" w:rsidP="00DC0921">
            <w:pPr>
              <w:ind w:left="0" w:firstLine="0"/>
              <w:jc w:val="right"/>
              <w:rPr>
                <w:rFonts w:eastAsia="Times New Roman" w:cs="Calibri"/>
              </w:rPr>
            </w:pPr>
            <w:r w:rsidRPr="008F4DF9">
              <w:t>-</w:t>
            </w:r>
          </w:p>
        </w:tc>
        <w:tc>
          <w:tcPr>
            <w:tcW w:w="1190" w:type="dxa"/>
            <w:shd w:val="clear" w:color="auto" w:fill="auto"/>
            <w:hideMark/>
          </w:tcPr>
          <w:p w14:paraId="4C997E2F"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378AAB3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5DD72429"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r>
      <w:tr w:rsidR="00F45CC2" w:rsidRPr="008F4DF9" w14:paraId="227CE6FD" w14:textId="77777777" w:rsidTr="00D8194D">
        <w:tc>
          <w:tcPr>
            <w:tcW w:w="1277" w:type="dxa"/>
            <w:shd w:val="clear" w:color="auto" w:fill="auto"/>
            <w:hideMark/>
          </w:tcPr>
          <w:p w14:paraId="2578A2FC" w14:textId="77777777" w:rsidR="00F45CC2" w:rsidRPr="008F4DF9" w:rsidRDefault="00F45CC2" w:rsidP="00DC0921">
            <w:pPr>
              <w:ind w:left="0" w:firstLine="0"/>
              <w:rPr>
                <w:rFonts w:eastAsia="Times New Roman" w:cs="Calibri"/>
                <w:sz w:val="20"/>
                <w:szCs w:val="20"/>
              </w:rPr>
            </w:pPr>
            <w:r w:rsidRPr="008F4DF9">
              <w:rPr>
                <w:sz w:val="20"/>
                <w:szCs w:val="20"/>
              </w:rPr>
              <w:t>R100700</w:t>
            </w:r>
          </w:p>
        </w:tc>
        <w:tc>
          <w:tcPr>
            <w:tcW w:w="2131" w:type="dxa"/>
            <w:shd w:val="clear" w:color="auto" w:fill="auto"/>
            <w:noWrap/>
            <w:hideMark/>
          </w:tcPr>
          <w:p w14:paraId="20115B37"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CECoP</w:t>
            </w:r>
          </w:p>
        </w:tc>
        <w:tc>
          <w:tcPr>
            <w:tcW w:w="1332" w:type="dxa"/>
            <w:shd w:val="clear" w:color="auto" w:fill="auto"/>
            <w:hideMark/>
          </w:tcPr>
          <w:p w14:paraId="54E51343" w14:textId="77777777" w:rsidR="00F45CC2" w:rsidRPr="008F4DF9" w:rsidRDefault="00F45CC2" w:rsidP="00DC0921">
            <w:pPr>
              <w:ind w:left="0" w:firstLine="0"/>
              <w:jc w:val="right"/>
              <w:rPr>
                <w:rFonts w:eastAsia="Times New Roman" w:cs="Calibri"/>
                <w:sz w:val="20"/>
                <w:szCs w:val="20"/>
              </w:rPr>
            </w:pPr>
            <w:r w:rsidRPr="008F4DF9">
              <w:rPr>
                <w:sz w:val="20"/>
                <w:szCs w:val="20"/>
              </w:rPr>
              <w:t>13</w:t>
            </w:r>
          </w:p>
        </w:tc>
        <w:tc>
          <w:tcPr>
            <w:tcW w:w="1191" w:type="dxa"/>
            <w:shd w:val="clear" w:color="auto" w:fill="auto"/>
            <w:hideMark/>
          </w:tcPr>
          <w:p w14:paraId="7320D9B6"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4E4D1C4B" w14:textId="77777777" w:rsidR="00F45CC2" w:rsidRPr="008F4DF9" w:rsidRDefault="00F45CC2" w:rsidP="00DC0921">
            <w:pPr>
              <w:ind w:left="0" w:firstLine="0"/>
              <w:jc w:val="right"/>
              <w:rPr>
                <w:rFonts w:eastAsia="Times New Roman" w:cs="Calibri"/>
                <w:sz w:val="20"/>
                <w:szCs w:val="20"/>
              </w:rPr>
            </w:pPr>
            <w:r w:rsidRPr="008F4DF9">
              <w:rPr>
                <w:sz w:val="20"/>
                <w:szCs w:val="20"/>
              </w:rPr>
              <w:t>(5)</w:t>
            </w:r>
          </w:p>
        </w:tc>
        <w:tc>
          <w:tcPr>
            <w:tcW w:w="1191" w:type="dxa"/>
            <w:shd w:val="clear" w:color="auto" w:fill="auto"/>
            <w:hideMark/>
          </w:tcPr>
          <w:p w14:paraId="7F4348C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534BEAD6" w14:textId="77777777" w:rsidR="00F45CC2" w:rsidRPr="008F4DF9" w:rsidRDefault="00F45CC2" w:rsidP="00DC0921">
            <w:pPr>
              <w:ind w:left="0" w:firstLine="0"/>
              <w:jc w:val="right"/>
              <w:rPr>
                <w:rFonts w:eastAsia="Times New Roman" w:cs="Calibri"/>
                <w:sz w:val="20"/>
                <w:szCs w:val="20"/>
              </w:rPr>
            </w:pPr>
            <w:r w:rsidRPr="008F4DF9">
              <w:rPr>
                <w:sz w:val="20"/>
                <w:szCs w:val="20"/>
              </w:rPr>
              <w:t>8</w:t>
            </w:r>
          </w:p>
        </w:tc>
      </w:tr>
      <w:tr w:rsidR="00F45CC2" w:rsidRPr="008F4DF9" w14:paraId="4AF2C8CB" w14:textId="77777777" w:rsidTr="00D8194D">
        <w:tc>
          <w:tcPr>
            <w:tcW w:w="1277" w:type="dxa"/>
            <w:shd w:val="clear" w:color="auto" w:fill="auto"/>
            <w:hideMark/>
          </w:tcPr>
          <w:p w14:paraId="2CB64A2F" w14:textId="77777777" w:rsidR="00F45CC2" w:rsidRPr="008F4DF9" w:rsidRDefault="00F45CC2" w:rsidP="00DC0921">
            <w:pPr>
              <w:ind w:left="0" w:firstLine="0"/>
              <w:rPr>
                <w:rFonts w:eastAsia="Times New Roman" w:cs="Calibri"/>
                <w:sz w:val="20"/>
                <w:szCs w:val="20"/>
              </w:rPr>
            </w:pPr>
            <w:r w:rsidRPr="008F4DF9">
              <w:rPr>
                <w:sz w:val="20"/>
                <w:szCs w:val="20"/>
              </w:rPr>
              <w:t>R100809</w:t>
            </w:r>
          </w:p>
        </w:tc>
        <w:tc>
          <w:tcPr>
            <w:tcW w:w="2131" w:type="dxa"/>
            <w:shd w:val="clear" w:color="auto" w:fill="auto"/>
            <w:noWrap/>
            <w:hideMark/>
          </w:tcPr>
          <w:p w14:paraId="6848B17B"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Danone Ecole de l'eau</w:t>
            </w:r>
          </w:p>
        </w:tc>
        <w:tc>
          <w:tcPr>
            <w:tcW w:w="1332" w:type="dxa"/>
            <w:shd w:val="clear" w:color="auto" w:fill="auto"/>
            <w:hideMark/>
          </w:tcPr>
          <w:p w14:paraId="47CDB5AB" w14:textId="77777777" w:rsidR="00F45CC2" w:rsidRPr="008F4DF9" w:rsidRDefault="00F45CC2" w:rsidP="00DC0921">
            <w:pPr>
              <w:ind w:left="0" w:firstLine="0"/>
              <w:jc w:val="right"/>
              <w:rPr>
                <w:rFonts w:eastAsia="Times New Roman" w:cs="Calibri"/>
                <w:sz w:val="20"/>
                <w:szCs w:val="20"/>
              </w:rPr>
            </w:pPr>
            <w:r w:rsidRPr="008F4DF9">
              <w:rPr>
                <w:sz w:val="20"/>
                <w:szCs w:val="20"/>
              </w:rPr>
              <w:t>21</w:t>
            </w:r>
          </w:p>
        </w:tc>
        <w:tc>
          <w:tcPr>
            <w:tcW w:w="1191" w:type="dxa"/>
            <w:shd w:val="clear" w:color="auto" w:fill="auto"/>
            <w:hideMark/>
          </w:tcPr>
          <w:p w14:paraId="39BF2FDF"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769C542D"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66563E34" w14:textId="77777777" w:rsidR="00F45CC2" w:rsidRPr="008F4DF9" w:rsidRDefault="00F45CC2" w:rsidP="00DC0921">
            <w:pPr>
              <w:ind w:left="0" w:firstLine="0"/>
              <w:jc w:val="right"/>
              <w:rPr>
                <w:rFonts w:eastAsia="Times New Roman" w:cs="Calibri"/>
                <w:sz w:val="20"/>
                <w:szCs w:val="20"/>
              </w:rPr>
            </w:pPr>
            <w:r w:rsidRPr="008F4DF9">
              <w:rPr>
                <w:sz w:val="20"/>
                <w:szCs w:val="20"/>
              </w:rPr>
              <w:t>(21)</w:t>
            </w:r>
          </w:p>
        </w:tc>
        <w:tc>
          <w:tcPr>
            <w:tcW w:w="1333" w:type="dxa"/>
            <w:shd w:val="clear" w:color="auto" w:fill="auto"/>
            <w:hideMark/>
          </w:tcPr>
          <w:p w14:paraId="159D347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48220FCA" w14:textId="77777777" w:rsidTr="00D8194D">
        <w:tc>
          <w:tcPr>
            <w:tcW w:w="1277" w:type="dxa"/>
            <w:shd w:val="clear" w:color="auto" w:fill="auto"/>
            <w:hideMark/>
          </w:tcPr>
          <w:p w14:paraId="5F0DEE7C" w14:textId="77777777" w:rsidR="00F45CC2" w:rsidRPr="008F4DF9" w:rsidRDefault="00F45CC2" w:rsidP="00DC0921">
            <w:pPr>
              <w:ind w:left="0" w:firstLine="0"/>
              <w:rPr>
                <w:rFonts w:eastAsia="Times New Roman" w:cs="Calibri"/>
                <w:sz w:val="20"/>
                <w:szCs w:val="20"/>
              </w:rPr>
            </w:pPr>
            <w:r w:rsidRPr="008F4DF9">
              <w:rPr>
                <w:sz w:val="20"/>
                <w:szCs w:val="20"/>
              </w:rPr>
              <w:t>R100819</w:t>
            </w:r>
          </w:p>
        </w:tc>
        <w:tc>
          <w:tcPr>
            <w:tcW w:w="2131" w:type="dxa"/>
            <w:shd w:val="clear" w:color="auto" w:fill="auto"/>
            <w:noWrap/>
            <w:hideMark/>
          </w:tcPr>
          <w:p w14:paraId="3482E39D"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Danone Spring</w:t>
            </w:r>
          </w:p>
        </w:tc>
        <w:tc>
          <w:tcPr>
            <w:tcW w:w="1332" w:type="dxa"/>
            <w:shd w:val="clear" w:color="auto" w:fill="auto"/>
            <w:hideMark/>
          </w:tcPr>
          <w:p w14:paraId="1C62CC56" w14:textId="77777777" w:rsidR="00F45CC2" w:rsidRPr="008F4DF9" w:rsidRDefault="00F45CC2" w:rsidP="00DC0921">
            <w:pPr>
              <w:ind w:left="0" w:firstLine="0"/>
              <w:jc w:val="right"/>
              <w:rPr>
                <w:rFonts w:eastAsia="Times New Roman" w:cs="Calibri"/>
                <w:sz w:val="20"/>
                <w:szCs w:val="20"/>
              </w:rPr>
            </w:pPr>
            <w:r w:rsidRPr="008F4DF9">
              <w:rPr>
                <w:sz w:val="20"/>
                <w:szCs w:val="20"/>
              </w:rPr>
              <w:t>8</w:t>
            </w:r>
          </w:p>
        </w:tc>
        <w:tc>
          <w:tcPr>
            <w:tcW w:w="1191" w:type="dxa"/>
            <w:shd w:val="clear" w:color="auto" w:fill="auto"/>
            <w:hideMark/>
          </w:tcPr>
          <w:p w14:paraId="1545D1F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3294B896"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0E7A33C1" w14:textId="77777777" w:rsidR="00F45CC2" w:rsidRPr="008F4DF9" w:rsidRDefault="00F45CC2" w:rsidP="00DC0921">
            <w:pPr>
              <w:ind w:left="0" w:firstLine="0"/>
              <w:jc w:val="right"/>
              <w:rPr>
                <w:rFonts w:eastAsia="Times New Roman" w:cs="Calibri"/>
                <w:sz w:val="20"/>
                <w:szCs w:val="20"/>
              </w:rPr>
            </w:pPr>
            <w:r w:rsidRPr="008F4DF9">
              <w:rPr>
                <w:sz w:val="20"/>
                <w:szCs w:val="20"/>
              </w:rPr>
              <w:t>(8)</w:t>
            </w:r>
          </w:p>
        </w:tc>
        <w:tc>
          <w:tcPr>
            <w:tcW w:w="1333" w:type="dxa"/>
            <w:shd w:val="clear" w:color="auto" w:fill="auto"/>
            <w:hideMark/>
          </w:tcPr>
          <w:p w14:paraId="01201DC0"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128E6BF1" w14:textId="77777777" w:rsidTr="00D8194D">
        <w:tc>
          <w:tcPr>
            <w:tcW w:w="1277" w:type="dxa"/>
            <w:shd w:val="clear" w:color="auto" w:fill="auto"/>
            <w:hideMark/>
          </w:tcPr>
          <w:p w14:paraId="5DC48555" w14:textId="77777777" w:rsidR="00F45CC2" w:rsidRPr="008F4DF9" w:rsidRDefault="00F45CC2" w:rsidP="00DC0921">
            <w:pPr>
              <w:ind w:left="0" w:firstLine="0"/>
              <w:rPr>
                <w:rFonts w:eastAsia="Times New Roman" w:cs="Calibri"/>
                <w:sz w:val="20"/>
                <w:szCs w:val="20"/>
              </w:rPr>
            </w:pPr>
            <w:r w:rsidRPr="008F4DF9">
              <w:rPr>
                <w:sz w:val="20"/>
                <w:szCs w:val="20"/>
              </w:rPr>
              <w:t>R100816</w:t>
            </w:r>
          </w:p>
        </w:tc>
        <w:tc>
          <w:tcPr>
            <w:tcW w:w="2131" w:type="dxa"/>
            <w:shd w:val="clear" w:color="auto" w:fill="auto"/>
            <w:noWrap/>
            <w:hideMark/>
          </w:tcPr>
          <w:p w14:paraId="573C0816"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Danone 2016-2020</w:t>
            </w:r>
          </w:p>
        </w:tc>
        <w:tc>
          <w:tcPr>
            <w:tcW w:w="1332" w:type="dxa"/>
            <w:shd w:val="clear" w:color="auto" w:fill="auto"/>
            <w:hideMark/>
          </w:tcPr>
          <w:p w14:paraId="350F17A6" w14:textId="77777777" w:rsidR="00F45CC2" w:rsidRPr="008F4DF9" w:rsidRDefault="00F45CC2" w:rsidP="00DC0921">
            <w:pPr>
              <w:ind w:left="0" w:firstLine="0"/>
              <w:jc w:val="right"/>
              <w:rPr>
                <w:rFonts w:eastAsia="Times New Roman" w:cs="Calibri"/>
                <w:sz w:val="20"/>
                <w:szCs w:val="20"/>
              </w:rPr>
            </w:pPr>
            <w:r w:rsidRPr="008F4DF9">
              <w:rPr>
                <w:sz w:val="20"/>
                <w:szCs w:val="20"/>
              </w:rPr>
              <w:t>178</w:t>
            </w:r>
          </w:p>
        </w:tc>
        <w:tc>
          <w:tcPr>
            <w:tcW w:w="1191" w:type="dxa"/>
            <w:shd w:val="clear" w:color="auto" w:fill="auto"/>
            <w:hideMark/>
          </w:tcPr>
          <w:p w14:paraId="1F0B051D" w14:textId="77777777" w:rsidR="00F45CC2" w:rsidRPr="008F4DF9" w:rsidRDefault="00F45CC2" w:rsidP="00DC0921">
            <w:pPr>
              <w:ind w:left="0" w:firstLine="0"/>
              <w:jc w:val="right"/>
              <w:rPr>
                <w:rFonts w:eastAsia="Times New Roman" w:cs="Calibri"/>
                <w:sz w:val="20"/>
                <w:szCs w:val="20"/>
              </w:rPr>
            </w:pPr>
            <w:r w:rsidRPr="008F4DF9">
              <w:rPr>
                <w:sz w:val="20"/>
                <w:szCs w:val="20"/>
              </w:rPr>
              <w:t>125</w:t>
            </w:r>
          </w:p>
        </w:tc>
        <w:tc>
          <w:tcPr>
            <w:tcW w:w="1190" w:type="dxa"/>
            <w:shd w:val="clear" w:color="auto" w:fill="auto"/>
            <w:hideMark/>
          </w:tcPr>
          <w:p w14:paraId="04CFD9CB" w14:textId="77777777" w:rsidR="00F45CC2" w:rsidRPr="008F4DF9" w:rsidRDefault="00F45CC2" w:rsidP="00DC0921">
            <w:pPr>
              <w:ind w:left="0" w:firstLine="0"/>
              <w:jc w:val="right"/>
              <w:rPr>
                <w:rFonts w:eastAsia="Times New Roman" w:cs="Calibri"/>
                <w:sz w:val="20"/>
                <w:szCs w:val="20"/>
              </w:rPr>
            </w:pPr>
            <w:r w:rsidRPr="008F4DF9">
              <w:rPr>
                <w:sz w:val="20"/>
                <w:szCs w:val="20"/>
              </w:rPr>
              <w:t>(144)</w:t>
            </w:r>
          </w:p>
        </w:tc>
        <w:tc>
          <w:tcPr>
            <w:tcW w:w="1191" w:type="dxa"/>
            <w:shd w:val="clear" w:color="auto" w:fill="auto"/>
            <w:hideMark/>
          </w:tcPr>
          <w:p w14:paraId="34E2F353" w14:textId="77777777" w:rsidR="00F45CC2" w:rsidRPr="008F4DF9" w:rsidRDefault="00F45CC2" w:rsidP="00DC0921">
            <w:pPr>
              <w:ind w:left="0" w:firstLine="0"/>
              <w:jc w:val="right"/>
              <w:rPr>
                <w:rFonts w:eastAsia="Times New Roman" w:cs="Calibri"/>
                <w:sz w:val="20"/>
                <w:szCs w:val="20"/>
              </w:rPr>
            </w:pPr>
            <w:r w:rsidRPr="008F4DF9">
              <w:rPr>
                <w:sz w:val="20"/>
                <w:szCs w:val="20"/>
              </w:rPr>
              <w:t>44</w:t>
            </w:r>
          </w:p>
        </w:tc>
        <w:tc>
          <w:tcPr>
            <w:tcW w:w="1333" w:type="dxa"/>
            <w:shd w:val="clear" w:color="auto" w:fill="auto"/>
            <w:hideMark/>
          </w:tcPr>
          <w:p w14:paraId="019D81EF" w14:textId="77777777" w:rsidR="00F45CC2" w:rsidRPr="008F4DF9" w:rsidRDefault="00F45CC2" w:rsidP="00DC0921">
            <w:pPr>
              <w:ind w:left="0" w:firstLine="0"/>
              <w:jc w:val="right"/>
              <w:rPr>
                <w:rFonts w:eastAsia="Times New Roman" w:cs="Calibri"/>
                <w:sz w:val="20"/>
                <w:szCs w:val="20"/>
              </w:rPr>
            </w:pPr>
            <w:r w:rsidRPr="008F4DF9">
              <w:rPr>
                <w:sz w:val="20"/>
                <w:szCs w:val="20"/>
              </w:rPr>
              <w:t>204</w:t>
            </w:r>
          </w:p>
        </w:tc>
      </w:tr>
      <w:tr w:rsidR="00F45CC2" w:rsidRPr="008F4DF9" w14:paraId="1F860136" w14:textId="77777777" w:rsidTr="00D8194D">
        <w:tc>
          <w:tcPr>
            <w:tcW w:w="1277" w:type="dxa"/>
            <w:shd w:val="clear" w:color="auto" w:fill="auto"/>
            <w:hideMark/>
          </w:tcPr>
          <w:p w14:paraId="7CCFC647" w14:textId="77777777" w:rsidR="00F45CC2" w:rsidRPr="008F4DF9" w:rsidRDefault="00F45CC2" w:rsidP="00DC0921">
            <w:pPr>
              <w:ind w:left="0" w:firstLine="0"/>
              <w:rPr>
                <w:rFonts w:eastAsia="Times New Roman" w:cs="Calibri"/>
                <w:sz w:val="20"/>
                <w:szCs w:val="20"/>
              </w:rPr>
            </w:pPr>
            <w:r w:rsidRPr="008F4DF9">
              <w:rPr>
                <w:sz w:val="20"/>
                <w:szCs w:val="20"/>
              </w:rPr>
              <w:t>R100904</w:t>
            </w:r>
          </w:p>
        </w:tc>
        <w:tc>
          <w:tcPr>
            <w:tcW w:w="2131" w:type="dxa"/>
            <w:shd w:val="clear" w:color="auto" w:fill="auto"/>
            <w:noWrap/>
            <w:hideMark/>
          </w:tcPr>
          <w:p w14:paraId="49F6934E"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GECT, NO BÁSICO</w:t>
            </w:r>
          </w:p>
        </w:tc>
        <w:tc>
          <w:tcPr>
            <w:tcW w:w="1332" w:type="dxa"/>
            <w:shd w:val="clear" w:color="auto" w:fill="auto"/>
            <w:hideMark/>
          </w:tcPr>
          <w:p w14:paraId="137E0329" w14:textId="77777777" w:rsidR="00F45CC2" w:rsidRPr="008F4DF9" w:rsidRDefault="00F45CC2" w:rsidP="00DC0921">
            <w:pPr>
              <w:ind w:left="0" w:firstLine="0"/>
              <w:jc w:val="right"/>
              <w:rPr>
                <w:rFonts w:eastAsia="Times New Roman" w:cs="Calibri"/>
                <w:sz w:val="20"/>
                <w:szCs w:val="20"/>
              </w:rPr>
            </w:pPr>
            <w:r w:rsidRPr="008F4DF9">
              <w:rPr>
                <w:sz w:val="20"/>
                <w:szCs w:val="20"/>
              </w:rPr>
              <w:t>145</w:t>
            </w:r>
          </w:p>
        </w:tc>
        <w:tc>
          <w:tcPr>
            <w:tcW w:w="1191" w:type="dxa"/>
            <w:shd w:val="clear" w:color="auto" w:fill="auto"/>
            <w:hideMark/>
          </w:tcPr>
          <w:p w14:paraId="644BFDFB"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0" w:type="dxa"/>
            <w:shd w:val="clear" w:color="auto" w:fill="auto"/>
            <w:hideMark/>
          </w:tcPr>
          <w:p w14:paraId="525B67F7"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17B04A2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611937FE" w14:textId="77777777" w:rsidR="00F45CC2" w:rsidRPr="008F4DF9" w:rsidRDefault="00F45CC2" w:rsidP="00DC0921">
            <w:pPr>
              <w:ind w:left="0" w:firstLine="0"/>
              <w:jc w:val="right"/>
              <w:rPr>
                <w:rFonts w:eastAsia="Times New Roman" w:cs="Calibri"/>
                <w:sz w:val="20"/>
                <w:szCs w:val="20"/>
              </w:rPr>
            </w:pPr>
            <w:r w:rsidRPr="008F4DF9">
              <w:rPr>
                <w:sz w:val="20"/>
                <w:szCs w:val="20"/>
              </w:rPr>
              <w:t>145</w:t>
            </w:r>
          </w:p>
        </w:tc>
      </w:tr>
      <w:tr w:rsidR="00F45CC2" w:rsidRPr="008F4DF9" w14:paraId="1B5AC938" w14:textId="77777777" w:rsidTr="00D8194D">
        <w:tc>
          <w:tcPr>
            <w:tcW w:w="1277" w:type="dxa"/>
            <w:shd w:val="clear" w:color="auto" w:fill="auto"/>
            <w:hideMark/>
          </w:tcPr>
          <w:p w14:paraId="72E94AB5" w14:textId="77777777" w:rsidR="00F45CC2" w:rsidRPr="008F4DF9" w:rsidRDefault="00F45CC2" w:rsidP="00DC0921">
            <w:pPr>
              <w:ind w:left="0" w:firstLine="0"/>
              <w:rPr>
                <w:rFonts w:eastAsia="Times New Roman" w:cs="Calibri"/>
                <w:sz w:val="20"/>
                <w:szCs w:val="20"/>
              </w:rPr>
            </w:pPr>
            <w:r w:rsidRPr="008F4DF9">
              <w:rPr>
                <w:sz w:val="20"/>
                <w:szCs w:val="20"/>
              </w:rPr>
              <w:t>R100910</w:t>
            </w:r>
          </w:p>
        </w:tc>
        <w:tc>
          <w:tcPr>
            <w:tcW w:w="2131" w:type="dxa"/>
            <w:shd w:val="clear" w:color="auto" w:fill="auto"/>
            <w:noWrap/>
            <w:hideMark/>
          </w:tcPr>
          <w:p w14:paraId="7AE3F6A4"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TEEB</w:t>
            </w:r>
          </w:p>
        </w:tc>
        <w:tc>
          <w:tcPr>
            <w:tcW w:w="1332" w:type="dxa"/>
            <w:shd w:val="clear" w:color="auto" w:fill="auto"/>
            <w:hideMark/>
          </w:tcPr>
          <w:p w14:paraId="1679D935" w14:textId="77777777" w:rsidR="00F45CC2" w:rsidRPr="008F4DF9" w:rsidRDefault="00F45CC2" w:rsidP="00DC0921">
            <w:pPr>
              <w:ind w:left="0" w:firstLine="0"/>
              <w:jc w:val="right"/>
              <w:rPr>
                <w:rFonts w:eastAsia="Times New Roman" w:cs="Calibri"/>
                <w:sz w:val="20"/>
                <w:szCs w:val="20"/>
              </w:rPr>
            </w:pPr>
            <w:r w:rsidRPr="008F4DF9">
              <w:rPr>
                <w:sz w:val="20"/>
                <w:szCs w:val="20"/>
              </w:rPr>
              <w:t>39</w:t>
            </w:r>
          </w:p>
        </w:tc>
        <w:tc>
          <w:tcPr>
            <w:tcW w:w="1191" w:type="dxa"/>
            <w:shd w:val="clear" w:color="auto" w:fill="auto"/>
            <w:hideMark/>
          </w:tcPr>
          <w:p w14:paraId="5B8E81D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5173EA4"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67CADBE3" w14:textId="77777777" w:rsidR="00F45CC2" w:rsidRPr="008F4DF9" w:rsidRDefault="00F45CC2" w:rsidP="00DC0921">
            <w:pPr>
              <w:ind w:left="0" w:firstLine="0"/>
              <w:jc w:val="right"/>
              <w:rPr>
                <w:rFonts w:eastAsia="Times New Roman" w:cs="Calibri"/>
                <w:sz w:val="20"/>
                <w:szCs w:val="20"/>
              </w:rPr>
            </w:pPr>
            <w:r w:rsidRPr="008F4DF9">
              <w:rPr>
                <w:sz w:val="20"/>
                <w:szCs w:val="20"/>
              </w:rPr>
              <w:t>(39)</w:t>
            </w:r>
          </w:p>
        </w:tc>
        <w:tc>
          <w:tcPr>
            <w:tcW w:w="1333" w:type="dxa"/>
            <w:shd w:val="clear" w:color="auto" w:fill="auto"/>
            <w:hideMark/>
          </w:tcPr>
          <w:p w14:paraId="6C628A26"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3CD29DC2" w14:textId="77777777" w:rsidTr="00D8194D">
        <w:tc>
          <w:tcPr>
            <w:tcW w:w="1277" w:type="dxa"/>
            <w:shd w:val="clear" w:color="auto" w:fill="auto"/>
            <w:hideMark/>
          </w:tcPr>
          <w:p w14:paraId="04E6351A" w14:textId="77777777" w:rsidR="00F45CC2" w:rsidRPr="008F4DF9" w:rsidRDefault="00F45CC2" w:rsidP="00DC0921">
            <w:pPr>
              <w:ind w:left="0" w:firstLine="0"/>
              <w:rPr>
                <w:rFonts w:eastAsia="Times New Roman" w:cs="Calibri"/>
                <w:sz w:val="20"/>
                <w:szCs w:val="20"/>
              </w:rPr>
            </w:pPr>
            <w:r w:rsidRPr="008F4DF9">
              <w:rPr>
                <w:sz w:val="20"/>
                <w:szCs w:val="20"/>
              </w:rPr>
              <w:t>R100915</w:t>
            </w:r>
          </w:p>
        </w:tc>
        <w:tc>
          <w:tcPr>
            <w:tcW w:w="2131" w:type="dxa"/>
            <w:shd w:val="clear" w:color="auto" w:fill="auto"/>
            <w:noWrap/>
            <w:hideMark/>
          </w:tcPr>
          <w:p w14:paraId="0E8FCC10"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LABOR EN CUESTIONES DE GÉNERO</w:t>
            </w:r>
          </w:p>
        </w:tc>
        <w:tc>
          <w:tcPr>
            <w:tcW w:w="1332" w:type="dxa"/>
            <w:shd w:val="clear" w:color="auto" w:fill="auto"/>
            <w:hideMark/>
          </w:tcPr>
          <w:p w14:paraId="3D943C5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7ADB5D65" w14:textId="77777777" w:rsidR="00F45CC2" w:rsidRPr="008F4DF9" w:rsidRDefault="00F45CC2" w:rsidP="00DC0921">
            <w:pPr>
              <w:ind w:left="0" w:firstLine="0"/>
              <w:jc w:val="right"/>
              <w:rPr>
                <w:rFonts w:eastAsia="Times New Roman" w:cs="Calibri"/>
                <w:sz w:val="20"/>
                <w:szCs w:val="20"/>
              </w:rPr>
            </w:pPr>
            <w:r w:rsidRPr="008F4DF9">
              <w:rPr>
                <w:sz w:val="20"/>
                <w:szCs w:val="20"/>
              </w:rPr>
              <w:t>55</w:t>
            </w:r>
          </w:p>
        </w:tc>
        <w:tc>
          <w:tcPr>
            <w:tcW w:w="1190" w:type="dxa"/>
            <w:shd w:val="clear" w:color="auto" w:fill="auto"/>
            <w:hideMark/>
          </w:tcPr>
          <w:p w14:paraId="4C9AE7B3" w14:textId="77777777" w:rsidR="00F45CC2" w:rsidRPr="008F4DF9" w:rsidRDefault="00F45CC2" w:rsidP="00DC0921">
            <w:pPr>
              <w:ind w:left="0" w:firstLine="0"/>
              <w:jc w:val="right"/>
              <w:rPr>
                <w:rFonts w:eastAsia="Times New Roman" w:cs="Calibri"/>
                <w:sz w:val="20"/>
                <w:szCs w:val="20"/>
              </w:rPr>
            </w:pPr>
            <w:r w:rsidRPr="008F4DF9">
              <w:rPr>
                <w:sz w:val="20"/>
                <w:szCs w:val="20"/>
              </w:rPr>
              <w:t>(12)</w:t>
            </w:r>
          </w:p>
        </w:tc>
        <w:tc>
          <w:tcPr>
            <w:tcW w:w="1191" w:type="dxa"/>
            <w:shd w:val="clear" w:color="auto" w:fill="auto"/>
            <w:hideMark/>
          </w:tcPr>
          <w:p w14:paraId="6DB7892E"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35168AAB" w14:textId="77777777" w:rsidR="00F45CC2" w:rsidRPr="008F4DF9" w:rsidRDefault="00F45CC2" w:rsidP="00DC0921">
            <w:pPr>
              <w:ind w:left="0" w:firstLine="0"/>
              <w:jc w:val="right"/>
              <w:rPr>
                <w:rFonts w:eastAsia="Times New Roman" w:cs="Calibri"/>
                <w:sz w:val="20"/>
                <w:szCs w:val="20"/>
              </w:rPr>
            </w:pPr>
            <w:r w:rsidRPr="008F4DF9">
              <w:rPr>
                <w:sz w:val="20"/>
                <w:szCs w:val="20"/>
              </w:rPr>
              <w:t>43</w:t>
            </w:r>
          </w:p>
        </w:tc>
      </w:tr>
      <w:tr w:rsidR="00F45CC2" w:rsidRPr="008F4DF9" w14:paraId="75B83830" w14:textId="77777777" w:rsidTr="00D8194D">
        <w:tc>
          <w:tcPr>
            <w:tcW w:w="1277" w:type="dxa"/>
            <w:shd w:val="clear" w:color="auto" w:fill="auto"/>
            <w:hideMark/>
          </w:tcPr>
          <w:p w14:paraId="76FAFAEF" w14:textId="77777777" w:rsidR="00F45CC2" w:rsidRPr="008F4DF9" w:rsidRDefault="00F45CC2" w:rsidP="00DC0921">
            <w:pPr>
              <w:ind w:left="0" w:firstLine="0"/>
              <w:rPr>
                <w:rFonts w:eastAsia="Times New Roman" w:cs="Calibri"/>
                <w:sz w:val="20"/>
                <w:szCs w:val="20"/>
              </w:rPr>
            </w:pPr>
            <w:r w:rsidRPr="008F4DF9">
              <w:rPr>
                <w:sz w:val="20"/>
                <w:szCs w:val="20"/>
              </w:rPr>
              <w:t>R101000</w:t>
            </w:r>
          </w:p>
        </w:tc>
        <w:tc>
          <w:tcPr>
            <w:tcW w:w="2131" w:type="dxa"/>
            <w:shd w:val="clear" w:color="auto" w:fill="auto"/>
            <w:noWrap/>
            <w:hideMark/>
          </w:tcPr>
          <w:p w14:paraId="15798C67"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Acuerdo de Financiación a Pequeña Escala (AFPE), Grupo de Expertos en el Ciclo del Agua</w:t>
            </w:r>
          </w:p>
        </w:tc>
        <w:tc>
          <w:tcPr>
            <w:tcW w:w="1332" w:type="dxa"/>
            <w:shd w:val="clear" w:color="auto" w:fill="auto"/>
            <w:hideMark/>
          </w:tcPr>
          <w:p w14:paraId="730BFC58" w14:textId="77777777" w:rsidR="00F45CC2" w:rsidRPr="008F4DF9" w:rsidRDefault="00F45CC2" w:rsidP="00DC0921">
            <w:pPr>
              <w:ind w:left="0" w:firstLine="0"/>
              <w:jc w:val="right"/>
              <w:rPr>
                <w:rFonts w:eastAsia="Times New Roman" w:cs="Calibri"/>
                <w:sz w:val="20"/>
                <w:szCs w:val="20"/>
              </w:rPr>
            </w:pPr>
            <w:r w:rsidRPr="008F4DF9">
              <w:rPr>
                <w:sz w:val="20"/>
                <w:szCs w:val="20"/>
              </w:rPr>
              <w:t>21</w:t>
            </w:r>
          </w:p>
        </w:tc>
        <w:tc>
          <w:tcPr>
            <w:tcW w:w="1191" w:type="dxa"/>
            <w:shd w:val="clear" w:color="auto" w:fill="auto"/>
            <w:hideMark/>
          </w:tcPr>
          <w:p w14:paraId="2DDCAD43" w14:textId="77777777" w:rsidR="00F45CC2" w:rsidRPr="008F4DF9" w:rsidRDefault="00F45CC2" w:rsidP="00DC0921">
            <w:pPr>
              <w:ind w:left="0" w:firstLine="0"/>
              <w:jc w:val="right"/>
              <w:rPr>
                <w:rFonts w:eastAsia="Times New Roman" w:cs="Calibri"/>
                <w:sz w:val="20"/>
                <w:szCs w:val="20"/>
              </w:rPr>
            </w:pPr>
            <w:r w:rsidRPr="008F4DF9">
              <w:rPr>
                <w:sz w:val="20"/>
                <w:szCs w:val="20"/>
              </w:rPr>
              <w:t>(21)</w:t>
            </w:r>
          </w:p>
        </w:tc>
        <w:tc>
          <w:tcPr>
            <w:tcW w:w="1190" w:type="dxa"/>
            <w:shd w:val="clear" w:color="auto" w:fill="auto"/>
            <w:hideMark/>
          </w:tcPr>
          <w:p w14:paraId="05EFAF6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5728772D"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4670F01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442902ED" w14:textId="77777777" w:rsidTr="00D8194D">
        <w:tc>
          <w:tcPr>
            <w:tcW w:w="1277" w:type="dxa"/>
            <w:shd w:val="clear" w:color="auto" w:fill="auto"/>
            <w:hideMark/>
          </w:tcPr>
          <w:p w14:paraId="3750775C" w14:textId="77777777" w:rsidR="00F45CC2" w:rsidRPr="008F4DF9" w:rsidRDefault="00F45CC2" w:rsidP="00DC0921">
            <w:pPr>
              <w:ind w:left="0" w:firstLine="0"/>
              <w:rPr>
                <w:rFonts w:eastAsia="Times New Roman" w:cs="Calibri"/>
                <w:sz w:val="20"/>
                <w:szCs w:val="20"/>
              </w:rPr>
            </w:pPr>
            <w:r w:rsidRPr="008F4DF9">
              <w:rPr>
                <w:sz w:val="20"/>
                <w:szCs w:val="20"/>
              </w:rPr>
              <w:t>R101001</w:t>
            </w:r>
          </w:p>
        </w:tc>
        <w:tc>
          <w:tcPr>
            <w:tcW w:w="2131" w:type="dxa"/>
            <w:shd w:val="clear" w:color="auto" w:fill="auto"/>
            <w:noWrap/>
            <w:hideMark/>
          </w:tcPr>
          <w:p w14:paraId="24FFC9E2"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WCMC, Formato de informe nacional en línea</w:t>
            </w:r>
          </w:p>
        </w:tc>
        <w:tc>
          <w:tcPr>
            <w:tcW w:w="1332" w:type="dxa"/>
            <w:shd w:val="clear" w:color="auto" w:fill="auto"/>
            <w:hideMark/>
          </w:tcPr>
          <w:p w14:paraId="03F0A531" w14:textId="77777777" w:rsidR="00F45CC2" w:rsidRPr="008F4DF9" w:rsidRDefault="00F45CC2" w:rsidP="00DC0921">
            <w:pPr>
              <w:ind w:left="0" w:firstLine="0"/>
              <w:jc w:val="right"/>
              <w:rPr>
                <w:rFonts w:eastAsia="Times New Roman" w:cs="Calibri"/>
                <w:sz w:val="20"/>
                <w:szCs w:val="20"/>
              </w:rPr>
            </w:pPr>
            <w:r w:rsidRPr="008F4DF9">
              <w:rPr>
                <w:sz w:val="20"/>
                <w:szCs w:val="20"/>
              </w:rPr>
              <w:t>14</w:t>
            </w:r>
          </w:p>
        </w:tc>
        <w:tc>
          <w:tcPr>
            <w:tcW w:w="1191" w:type="dxa"/>
            <w:shd w:val="clear" w:color="auto" w:fill="auto"/>
            <w:hideMark/>
          </w:tcPr>
          <w:p w14:paraId="41FE0438"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48F4B3C2" w14:textId="77777777" w:rsidR="00F45CC2" w:rsidRPr="008F4DF9" w:rsidRDefault="00F45CC2" w:rsidP="00DC0921">
            <w:pPr>
              <w:ind w:left="0" w:firstLine="0"/>
              <w:jc w:val="right"/>
              <w:rPr>
                <w:rFonts w:eastAsia="Times New Roman" w:cs="Calibri"/>
                <w:sz w:val="20"/>
                <w:szCs w:val="20"/>
              </w:rPr>
            </w:pPr>
            <w:r w:rsidRPr="008F4DF9">
              <w:rPr>
                <w:sz w:val="20"/>
                <w:szCs w:val="20"/>
              </w:rPr>
              <w:t>(10)</w:t>
            </w:r>
          </w:p>
        </w:tc>
        <w:tc>
          <w:tcPr>
            <w:tcW w:w="1191" w:type="dxa"/>
            <w:shd w:val="clear" w:color="auto" w:fill="auto"/>
            <w:hideMark/>
          </w:tcPr>
          <w:p w14:paraId="6EA0E40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2D58D67B" w14:textId="77777777" w:rsidR="00F45CC2" w:rsidRPr="008F4DF9" w:rsidRDefault="00F45CC2" w:rsidP="00DC0921">
            <w:pPr>
              <w:ind w:left="0" w:firstLine="0"/>
              <w:jc w:val="right"/>
              <w:rPr>
                <w:rFonts w:eastAsia="Times New Roman" w:cs="Calibri"/>
                <w:sz w:val="20"/>
                <w:szCs w:val="20"/>
              </w:rPr>
            </w:pPr>
            <w:r w:rsidRPr="008F4DF9">
              <w:rPr>
                <w:sz w:val="20"/>
                <w:szCs w:val="20"/>
              </w:rPr>
              <w:t>3</w:t>
            </w:r>
          </w:p>
        </w:tc>
      </w:tr>
      <w:tr w:rsidR="00F45CC2" w:rsidRPr="008F4DF9" w14:paraId="258AF2AE" w14:textId="77777777" w:rsidTr="00D8194D">
        <w:tc>
          <w:tcPr>
            <w:tcW w:w="1277" w:type="dxa"/>
            <w:shd w:val="clear" w:color="auto" w:fill="auto"/>
            <w:hideMark/>
          </w:tcPr>
          <w:p w14:paraId="74621A8E" w14:textId="77777777" w:rsidR="00F45CC2" w:rsidRPr="008F4DF9" w:rsidRDefault="00F45CC2" w:rsidP="00DC0921">
            <w:pPr>
              <w:ind w:left="0" w:firstLine="0"/>
              <w:rPr>
                <w:rFonts w:eastAsia="Times New Roman" w:cs="Calibri"/>
                <w:sz w:val="20"/>
                <w:szCs w:val="20"/>
              </w:rPr>
            </w:pPr>
            <w:r w:rsidRPr="008F4DF9">
              <w:rPr>
                <w:sz w:val="20"/>
                <w:szCs w:val="20"/>
              </w:rPr>
              <w:t>R101003</w:t>
            </w:r>
          </w:p>
        </w:tc>
        <w:tc>
          <w:tcPr>
            <w:tcW w:w="2131" w:type="dxa"/>
            <w:shd w:val="clear" w:color="auto" w:fill="auto"/>
            <w:noWrap/>
            <w:hideMark/>
          </w:tcPr>
          <w:p w14:paraId="72A1BF55"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MAVA 13-32</w:t>
            </w:r>
          </w:p>
        </w:tc>
        <w:tc>
          <w:tcPr>
            <w:tcW w:w="1332" w:type="dxa"/>
            <w:shd w:val="clear" w:color="auto" w:fill="auto"/>
            <w:hideMark/>
          </w:tcPr>
          <w:p w14:paraId="4236028F"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c>
          <w:tcPr>
            <w:tcW w:w="1191" w:type="dxa"/>
            <w:shd w:val="clear" w:color="auto" w:fill="auto"/>
            <w:hideMark/>
          </w:tcPr>
          <w:p w14:paraId="2D0D0A5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6852254F"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326E3E0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4A4DCBA9"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r>
      <w:tr w:rsidR="00F45CC2" w:rsidRPr="008F4DF9" w14:paraId="55CD28C5" w14:textId="77777777" w:rsidTr="00D8194D">
        <w:tc>
          <w:tcPr>
            <w:tcW w:w="1277" w:type="dxa"/>
            <w:shd w:val="clear" w:color="auto" w:fill="auto"/>
            <w:hideMark/>
          </w:tcPr>
          <w:p w14:paraId="5E8CC058" w14:textId="77777777" w:rsidR="00F45CC2" w:rsidRPr="008F4DF9" w:rsidRDefault="00F45CC2" w:rsidP="00DC0921">
            <w:pPr>
              <w:ind w:left="0" w:firstLine="0"/>
              <w:rPr>
                <w:rFonts w:eastAsia="Times New Roman" w:cs="Calibri"/>
                <w:sz w:val="20"/>
                <w:szCs w:val="20"/>
              </w:rPr>
            </w:pPr>
            <w:r w:rsidRPr="008F4DF9">
              <w:rPr>
                <w:sz w:val="20"/>
                <w:szCs w:val="20"/>
              </w:rPr>
              <w:t>R101006</w:t>
            </w:r>
          </w:p>
        </w:tc>
        <w:tc>
          <w:tcPr>
            <w:tcW w:w="2131" w:type="dxa"/>
            <w:shd w:val="clear" w:color="auto" w:fill="auto"/>
            <w:noWrap/>
            <w:hideMark/>
          </w:tcPr>
          <w:p w14:paraId="58BBE694"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Cambio Climático</w:t>
            </w:r>
          </w:p>
        </w:tc>
        <w:tc>
          <w:tcPr>
            <w:tcW w:w="1332" w:type="dxa"/>
            <w:shd w:val="clear" w:color="auto" w:fill="auto"/>
            <w:hideMark/>
          </w:tcPr>
          <w:p w14:paraId="3B89AA36"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c>
          <w:tcPr>
            <w:tcW w:w="1191" w:type="dxa"/>
            <w:shd w:val="clear" w:color="auto" w:fill="auto"/>
            <w:hideMark/>
          </w:tcPr>
          <w:p w14:paraId="2B53A96B" w14:textId="77777777" w:rsidR="00F45CC2" w:rsidRPr="008F4DF9" w:rsidRDefault="00F45CC2" w:rsidP="00DC0921">
            <w:pPr>
              <w:ind w:left="0" w:firstLine="0"/>
              <w:jc w:val="right"/>
              <w:rPr>
                <w:rFonts w:eastAsia="Times New Roman" w:cs="Calibri"/>
                <w:sz w:val="20"/>
                <w:szCs w:val="20"/>
              </w:rPr>
            </w:pPr>
            <w:r w:rsidRPr="008F4DF9">
              <w:rPr>
                <w:sz w:val="20"/>
                <w:szCs w:val="20"/>
              </w:rPr>
              <w:t>43</w:t>
            </w:r>
          </w:p>
        </w:tc>
        <w:tc>
          <w:tcPr>
            <w:tcW w:w="1190" w:type="dxa"/>
            <w:shd w:val="clear" w:color="auto" w:fill="auto"/>
            <w:hideMark/>
          </w:tcPr>
          <w:p w14:paraId="43973281"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1A796764"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3E8029B7" w14:textId="77777777" w:rsidR="00F45CC2" w:rsidRPr="008F4DF9" w:rsidRDefault="00F45CC2" w:rsidP="00DC0921">
            <w:pPr>
              <w:ind w:left="0" w:firstLine="0"/>
              <w:jc w:val="right"/>
              <w:rPr>
                <w:rFonts w:eastAsia="Times New Roman" w:cs="Calibri"/>
                <w:sz w:val="20"/>
                <w:szCs w:val="20"/>
              </w:rPr>
            </w:pPr>
            <w:r w:rsidRPr="008F4DF9">
              <w:rPr>
                <w:sz w:val="20"/>
                <w:szCs w:val="20"/>
              </w:rPr>
              <w:t>51</w:t>
            </w:r>
          </w:p>
        </w:tc>
      </w:tr>
      <w:tr w:rsidR="00F45CC2" w:rsidRPr="008F4DF9" w14:paraId="4F0D5C9B" w14:textId="77777777" w:rsidTr="00D8194D">
        <w:tc>
          <w:tcPr>
            <w:tcW w:w="1277" w:type="dxa"/>
            <w:shd w:val="clear" w:color="auto" w:fill="auto"/>
            <w:hideMark/>
          </w:tcPr>
          <w:p w14:paraId="3AA1FEDC" w14:textId="77777777" w:rsidR="00F45CC2" w:rsidRPr="008F4DF9" w:rsidRDefault="00F45CC2" w:rsidP="00DC0921">
            <w:pPr>
              <w:ind w:left="0" w:firstLine="0"/>
              <w:rPr>
                <w:rFonts w:eastAsia="Times New Roman" w:cs="Calibri"/>
                <w:sz w:val="20"/>
                <w:szCs w:val="20"/>
              </w:rPr>
            </w:pPr>
            <w:r w:rsidRPr="008F4DF9">
              <w:rPr>
                <w:sz w:val="20"/>
                <w:szCs w:val="20"/>
              </w:rPr>
              <w:t>R101007</w:t>
            </w:r>
          </w:p>
        </w:tc>
        <w:tc>
          <w:tcPr>
            <w:tcW w:w="2131" w:type="dxa"/>
            <w:shd w:val="clear" w:color="auto" w:fill="auto"/>
            <w:noWrap/>
            <w:hideMark/>
          </w:tcPr>
          <w:p w14:paraId="73BB09F9"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Turberas tropicales</w:t>
            </w:r>
          </w:p>
        </w:tc>
        <w:tc>
          <w:tcPr>
            <w:tcW w:w="1332" w:type="dxa"/>
            <w:shd w:val="clear" w:color="auto" w:fill="auto"/>
            <w:hideMark/>
          </w:tcPr>
          <w:p w14:paraId="697A7D4E"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1B261040" w14:textId="77777777" w:rsidR="00F45CC2" w:rsidRPr="008F4DF9" w:rsidRDefault="00F45CC2" w:rsidP="00DC0921">
            <w:pPr>
              <w:ind w:left="0" w:firstLine="0"/>
              <w:jc w:val="right"/>
              <w:rPr>
                <w:rFonts w:eastAsia="Times New Roman" w:cs="Calibri"/>
                <w:sz w:val="20"/>
                <w:szCs w:val="20"/>
              </w:rPr>
            </w:pPr>
            <w:r w:rsidRPr="008F4DF9">
              <w:rPr>
                <w:sz w:val="20"/>
                <w:szCs w:val="20"/>
              </w:rPr>
              <w:t>65</w:t>
            </w:r>
          </w:p>
        </w:tc>
        <w:tc>
          <w:tcPr>
            <w:tcW w:w="1190" w:type="dxa"/>
            <w:shd w:val="clear" w:color="auto" w:fill="auto"/>
            <w:hideMark/>
          </w:tcPr>
          <w:p w14:paraId="1E4A24D8"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1" w:type="dxa"/>
            <w:shd w:val="clear" w:color="auto" w:fill="auto"/>
            <w:hideMark/>
          </w:tcPr>
          <w:p w14:paraId="1D7431C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333" w:type="dxa"/>
            <w:shd w:val="clear" w:color="auto" w:fill="auto"/>
            <w:hideMark/>
          </w:tcPr>
          <w:p w14:paraId="0DA6B228" w14:textId="77777777" w:rsidR="00F45CC2" w:rsidRPr="008F4DF9" w:rsidRDefault="00F45CC2" w:rsidP="00DC0921">
            <w:pPr>
              <w:ind w:left="0" w:firstLine="0"/>
              <w:jc w:val="right"/>
              <w:rPr>
                <w:rFonts w:eastAsia="Times New Roman" w:cs="Calibri"/>
                <w:sz w:val="20"/>
                <w:szCs w:val="20"/>
              </w:rPr>
            </w:pPr>
            <w:r w:rsidRPr="008F4DF9">
              <w:rPr>
                <w:sz w:val="20"/>
                <w:szCs w:val="20"/>
              </w:rPr>
              <w:t>65</w:t>
            </w:r>
          </w:p>
        </w:tc>
      </w:tr>
      <w:tr w:rsidR="00F45CC2" w:rsidRPr="008F4DF9" w14:paraId="71DECF4C" w14:textId="77777777" w:rsidTr="00D8194D">
        <w:tc>
          <w:tcPr>
            <w:tcW w:w="3408" w:type="dxa"/>
            <w:gridSpan w:val="2"/>
            <w:shd w:val="clear" w:color="000000" w:fill="EAF1DD"/>
            <w:hideMark/>
          </w:tcPr>
          <w:p w14:paraId="4358359A" w14:textId="405CB298" w:rsidR="00F45CC2" w:rsidRPr="008F4DF9" w:rsidRDefault="009154DA" w:rsidP="00DC0921">
            <w:pPr>
              <w:ind w:left="0" w:firstLine="0"/>
              <w:rPr>
                <w:rFonts w:eastAsia="Times New Roman" w:cs="Calibri"/>
                <w:b/>
                <w:bCs/>
                <w:sz w:val="20"/>
                <w:szCs w:val="20"/>
              </w:rPr>
            </w:pPr>
            <w:r>
              <w:rPr>
                <w:b/>
                <w:bCs/>
                <w:sz w:val="20"/>
                <w:szCs w:val="20"/>
              </w:rPr>
              <w:t>Total,</w:t>
            </w:r>
            <w:r w:rsidR="00F45CC2" w:rsidRPr="008F4DF9">
              <w:rPr>
                <w:b/>
                <w:bCs/>
                <w:sz w:val="20"/>
                <w:szCs w:val="20"/>
              </w:rPr>
              <w:t xml:space="preserve"> Otros</w:t>
            </w:r>
          </w:p>
        </w:tc>
        <w:tc>
          <w:tcPr>
            <w:tcW w:w="1332" w:type="dxa"/>
            <w:shd w:val="clear" w:color="000000" w:fill="EAF1DD"/>
            <w:hideMark/>
          </w:tcPr>
          <w:p w14:paraId="2A0D383A" w14:textId="4B779C2B" w:rsidR="00F45CC2" w:rsidRPr="008F4DF9" w:rsidRDefault="00F45CC2" w:rsidP="00DC0921">
            <w:pPr>
              <w:ind w:left="0" w:firstLine="0"/>
              <w:jc w:val="right"/>
              <w:rPr>
                <w:rFonts w:eastAsia="Times New Roman" w:cs="Calibri"/>
                <w:b/>
                <w:bCs/>
                <w:sz w:val="20"/>
                <w:szCs w:val="20"/>
              </w:rPr>
            </w:pPr>
            <w:r w:rsidRPr="008F4DF9">
              <w:rPr>
                <w:b/>
                <w:bCs/>
                <w:sz w:val="20"/>
                <w:szCs w:val="20"/>
              </w:rPr>
              <w:t>1</w:t>
            </w:r>
            <w:r w:rsidR="00652E0C" w:rsidRPr="008F4DF9">
              <w:rPr>
                <w:b/>
                <w:bCs/>
                <w:sz w:val="20"/>
                <w:szCs w:val="20"/>
              </w:rPr>
              <w:t> </w:t>
            </w:r>
            <w:r w:rsidRPr="008F4DF9">
              <w:rPr>
                <w:b/>
                <w:bCs/>
                <w:sz w:val="20"/>
                <w:szCs w:val="20"/>
              </w:rPr>
              <w:t>201</w:t>
            </w:r>
          </w:p>
        </w:tc>
        <w:tc>
          <w:tcPr>
            <w:tcW w:w="1191" w:type="dxa"/>
            <w:shd w:val="clear" w:color="000000" w:fill="EAF1DD"/>
            <w:hideMark/>
          </w:tcPr>
          <w:p w14:paraId="5832D665"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63</w:t>
            </w:r>
          </w:p>
        </w:tc>
        <w:tc>
          <w:tcPr>
            <w:tcW w:w="1190" w:type="dxa"/>
            <w:shd w:val="clear" w:color="000000" w:fill="EAF1DD"/>
            <w:hideMark/>
          </w:tcPr>
          <w:p w14:paraId="3157CBEA"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(160)</w:t>
            </w:r>
          </w:p>
        </w:tc>
        <w:tc>
          <w:tcPr>
            <w:tcW w:w="1191" w:type="dxa"/>
            <w:shd w:val="clear" w:color="000000" w:fill="EAF1DD"/>
            <w:hideMark/>
          </w:tcPr>
          <w:p w14:paraId="1036A714"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84</w:t>
            </w:r>
          </w:p>
        </w:tc>
        <w:tc>
          <w:tcPr>
            <w:tcW w:w="1333" w:type="dxa"/>
            <w:shd w:val="clear" w:color="000000" w:fill="EAF1DD"/>
            <w:hideMark/>
          </w:tcPr>
          <w:p w14:paraId="1BB4604B" w14:textId="4AF2B0DA" w:rsidR="00F45CC2" w:rsidRPr="008F4DF9" w:rsidRDefault="00F45CC2" w:rsidP="00DC0921">
            <w:pPr>
              <w:ind w:left="0" w:firstLine="0"/>
              <w:jc w:val="right"/>
              <w:rPr>
                <w:rFonts w:eastAsia="Times New Roman" w:cs="Calibri"/>
                <w:b/>
                <w:bCs/>
                <w:sz w:val="20"/>
                <w:szCs w:val="20"/>
              </w:rPr>
            </w:pPr>
            <w:r w:rsidRPr="008F4DF9">
              <w:rPr>
                <w:b/>
                <w:bCs/>
                <w:sz w:val="20"/>
                <w:szCs w:val="20"/>
              </w:rPr>
              <w:t>1</w:t>
            </w:r>
            <w:r w:rsidR="00652E0C" w:rsidRPr="008F4DF9">
              <w:rPr>
                <w:b/>
                <w:bCs/>
                <w:sz w:val="20"/>
                <w:szCs w:val="20"/>
              </w:rPr>
              <w:t> </w:t>
            </w:r>
            <w:r w:rsidRPr="008F4DF9">
              <w:rPr>
                <w:b/>
                <w:bCs/>
                <w:sz w:val="20"/>
                <w:szCs w:val="20"/>
              </w:rPr>
              <w:t>189</w:t>
            </w:r>
          </w:p>
        </w:tc>
      </w:tr>
      <w:tr w:rsidR="00F45CC2" w:rsidRPr="008F4DF9" w14:paraId="465D4DA8" w14:textId="77777777" w:rsidTr="00D8194D">
        <w:tc>
          <w:tcPr>
            <w:tcW w:w="3408" w:type="dxa"/>
            <w:gridSpan w:val="2"/>
            <w:shd w:val="clear" w:color="auto" w:fill="auto"/>
            <w:hideMark/>
          </w:tcPr>
          <w:p w14:paraId="2980E8AD" w14:textId="77777777" w:rsidR="00DC0921" w:rsidRPr="008F4DF9" w:rsidRDefault="00DC0921" w:rsidP="00DC0921">
            <w:pPr>
              <w:ind w:left="0" w:firstLine="0"/>
              <w:rPr>
                <w:rFonts w:eastAsia="Times New Roman" w:cs="Calibri"/>
                <w:b/>
                <w:bCs/>
                <w:sz w:val="20"/>
                <w:szCs w:val="20"/>
                <w:u w:val="single"/>
                <w:lang w:eastAsia="en-GB"/>
              </w:rPr>
            </w:pPr>
          </w:p>
          <w:p w14:paraId="694A96E5" w14:textId="5BBAD4C1" w:rsidR="00F45CC2" w:rsidRPr="008F4DF9" w:rsidRDefault="00F45CC2" w:rsidP="00DC0921">
            <w:pPr>
              <w:ind w:left="0" w:firstLine="0"/>
              <w:rPr>
                <w:rFonts w:eastAsia="Times New Roman" w:cs="Calibri"/>
                <w:b/>
                <w:bCs/>
                <w:sz w:val="20"/>
                <w:szCs w:val="20"/>
                <w:u w:val="single"/>
              </w:rPr>
            </w:pPr>
            <w:r w:rsidRPr="008F4DF9">
              <w:rPr>
                <w:b/>
                <w:bCs/>
                <w:sz w:val="20"/>
                <w:szCs w:val="20"/>
                <w:u w:val="single"/>
              </w:rPr>
              <w:t>Iniciativas Regionales</w:t>
            </w:r>
          </w:p>
        </w:tc>
        <w:tc>
          <w:tcPr>
            <w:tcW w:w="1332" w:type="dxa"/>
            <w:shd w:val="clear" w:color="auto" w:fill="auto"/>
            <w:textDirection w:val="btLr"/>
            <w:hideMark/>
          </w:tcPr>
          <w:p w14:paraId="6D8BCC65" w14:textId="77777777" w:rsidR="00F45CC2" w:rsidRPr="008F4DF9" w:rsidRDefault="00F45CC2" w:rsidP="00DC0921">
            <w:pPr>
              <w:ind w:left="0" w:firstLine="0"/>
              <w:jc w:val="right"/>
              <w:rPr>
                <w:rFonts w:eastAsia="Times New Roman" w:cs="Calibri"/>
                <w:b/>
                <w:bCs/>
                <w:sz w:val="20"/>
                <w:szCs w:val="20"/>
                <w:u w:val="single"/>
                <w:lang w:eastAsia="en-GB"/>
              </w:rPr>
            </w:pPr>
          </w:p>
        </w:tc>
        <w:tc>
          <w:tcPr>
            <w:tcW w:w="1191" w:type="dxa"/>
            <w:shd w:val="clear" w:color="auto" w:fill="auto"/>
            <w:hideMark/>
          </w:tcPr>
          <w:p w14:paraId="272D2C8A"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0B1268B4"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5C476834"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3A75702D" w14:textId="77777777" w:rsidR="00F45CC2" w:rsidRPr="008F4DF9" w:rsidRDefault="00F45CC2" w:rsidP="00DC0921">
            <w:pPr>
              <w:ind w:left="0" w:firstLine="0"/>
              <w:jc w:val="right"/>
              <w:rPr>
                <w:rFonts w:ascii="Times New Roman" w:eastAsia="Times New Roman" w:hAnsi="Times New Roman"/>
                <w:sz w:val="20"/>
                <w:szCs w:val="20"/>
                <w:lang w:eastAsia="en-GB"/>
              </w:rPr>
            </w:pPr>
          </w:p>
        </w:tc>
      </w:tr>
      <w:tr w:rsidR="00F45CC2" w:rsidRPr="008F4DF9" w14:paraId="3ECB31DB" w14:textId="77777777" w:rsidTr="00D8194D">
        <w:tc>
          <w:tcPr>
            <w:tcW w:w="1277" w:type="dxa"/>
            <w:shd w:val="clear" w:color="auto" w:fill="auto"/>
            <w:hideMark/>
          </w:tcPr>
          <w:p w14:paraId="047901AC" w14:textId="77777777" w:rsidR="00F45CC2" w:rsidRPr="008F4DF9" w:rsidRDefault="00F45CC2" w:rsidP="00DC0921">
            <w:pPr>
              <w:ind w:left="0" w:firstLine="0"/>
              <w:rPr>
                <w:rFonts w:eastAsia="Times New Roman" w:cs="Calibri"/>
                <w:sz w:val="20"/>
                <w:szCs w:val="20"/>
              </w:rPr>
            </w:pPr>
            <w:r w:rsidRPr="008F4DF9">
              <w:rPr>
                <w:sz w:val="20"/>
                <w:szCs w:val="20"/>
              </w:rPr>
              <w:t>R100133</w:t>
            </w:r>
          </w:p>
        </w:tc>
        <w:tc>
          <w:tcPr>
            <w:tcW w:w="2131" w:type="dxa"/>
            <w:shd w:val="clear" w:color="auto" w:fill="auto"/>
            <w:noWrap/>
            <w:hideMark/>
          </w:tcPr>
          <w:p w14:paraId="3141DC95"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IR - CARIWET</w:t>
            </w:r>
          </w:p>
        </w:tc>
        <w:tc>
          <w:tcPr>
            <w:tcW w:w="1332" w:type="dxa"/>
            <w:shd w:val="clear" w:color="auto" w:fill="auto"/>
            <w:hideMark/>
          </w:tcPr>
          <w:p w14:paraId="46B80357"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191" w:type="dxa"/>
            <w:shd w:val="clear" w:color="auto" w:fill="auto"/>
            <w:hideMark/>
          </w:tcPr>
          <w:p w14:paraId="1C64F7D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68841D9C"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2F70E036" w14:textId="77777777" w:rsidR="00F45CC2" w:rsidRPr="008F4DF9" w:rsidRDefault="00F45CC2" w:rsidP="00DC0921">
            <w:pPr>
              <w:ind w:left="0" w:firstLine="0"/>
              <w:jc w:val="right"/>
              <w:rPr>
                <w:rFonts w:eastAsia="Times New Roman" w:cs="Calibri"/>
                <w:sz w:val="20"/>
                <w:szCs w:val="20"/>
              </w:rPr>
            </w:pPr>
            <w:r w:rsidRPr="008F4DF9">
              <w:rPr>
                <w:sz w:val="20"/>
                <w:szCs w:val="20"/>
              </w:rPr>
              <w:t>4</w:t>
            </w:r>
          </w:p>
        </w:tc>
        <w:tc>
          <w:tcPr>
            <w:tcW w:w="1333" w:type="dxa"/>
            <w:shd w:val="clear" w:color="auto" w:fill="auto"/>
            <w:hideMark/>
          </w:tcPr>
          <w:p w14:paraId="185638BC"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3C12FDEB" w14:textId="77777777" w:rsidTr="00D8194D">
        <w:tc>
          <w:tcPr>
            <w:tcW w:w="1277" w:type="dxa"/>
            <w:shd w:val="clear" w:color="auto" w:fill="auto"/>
            <w:hideMark/>
          </w:tcPr>
          <w:p w14:paraId="144462D2" w14:textId="77777777" w:rsidR="00F45CC2" w:rsidRPr="008F4DF9" w:rsidRDefault="00F45CC2" w:rsidP="00DC0921">
            <w:pPr>
              <w:ind w:left="0" w:firstLine="0"/>
              <w:rPr>
                <w:rFonts w:eastAsia="Times New Roman" w:cs="Calibri"/>
                <w:sz w:val="20"/>
                <w:szCs w:val="20"/>
              </w:rPr>
            </w:pPr>
            <w:r w:rsidRPr="008F4DF9">
              <w:rPr>
                <w:sz w:val="20"/>
                <w:szCs w:val="20"/>
              </w:rPr>
              <w:t>R100135</w:t>
            </w:r>
          </w:p>
        </w:tc>
        <w:tc>
          <w:tcPr>
            <w:tcW w:w="2131" w:type="dxa"/>
            <w:shd w:val="clear" w:color="auto" w:fill="auto"/>
            <w:noWrap/>
            <w:hideMark/>
          </w:tcPr>
          <w:p w14:paraId="1E8FD7FA"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IR - Manglares</w:t>
            </w:r>
          </w:p>
        </w:tc>
        <w:tc>
          <w:tcPr>
            <w:tcW w:w="1332" w:type="dxa"/>
            <w:shd w:val="clear" w:color="auto" w:fill="auto"/>
            <w:hideMark/>
          </w:tcPr>
          <w:p w14:paraId="0F5D4274" w14:textId="77777777" w:rsidR="00F45CC2" w:rsidRPr="008F4DF9" w:rsidRDefault="00F45CC2" w:rsidP="00DC0921">
            <w:pPr>
              <w:ind w:left="0" w:firstLine="0"/>
              <w:jc w:val="right"/>
              <w:rPr>
                <w:rFonts w:eastAsia="Times New Roman" w:cs="Calibri"/>
                <w:sz w:val="20"/>
                <w:szCs w:val="20"/>
              </w:rPr>
            </w:pPr>
            <w:r w:rsidRPr="008F4DF9">
              <w:rPr>
                <w:sz w:val="20"/>
                <w:szCs w:val="20"/>
              </w:rPr>
              <w:t>(1)</w:t>
            </w:r>
          </w:p>
        </w:tc>
        <w:tc>
          <w:tcPr>
            <w:tcW w:w="1191" w:type="dxa"/>
            <w:shd w:val="clear" w:color="auto" w:fill="auto"/>
            <w:hideMark/>
          </w:tcPr>
          <w:p w14:paraId="07CB0B33"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137959B4"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31730E61" w14:textId="77777777" w:rsidR="00F45CC2" w:rsidRPr="008F4DF9" w:rsidRDefault="00F45CC2" w:rsidP="00DC0921">
            <w:pPr>
              <w:ind w:left="0" w:firstLine="0"/>
              <w:jc w:val="right"/>
              <w:rPr>
                <w:rFonts w:eastAsia="Times New Roman" w:cs="Calibri"/>
                <w:sz w:val="20"/>
                <w:szCs w:val="20"/>
              </w:rPr>
            </w:pPr>
            <w:r w:rsidRPr="008F4DF9">
              <w:rPr>
                <w:sz w:val="20"/>
                <w:szCs w:val="20"/>
              </w:rPr>
              <w:t>1</w:t>
            </w:r>
          </w:p>
        </w:tc>
        <w:tc>
          <w:tcPr>
            <w:tcW w:w="1333" w:type="dxa"/>
            <w:shd w:val="clear" w:color="auto" w:fill="auto"/>
            <w:hideMark/>
          </w:tcPr>
          <w:p w14:paraId="25FB7DBA"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2FE3D8FE" w14:textId="77777777" w:rsidTr="00D8194D">
        <w:tc>
          <w:tcPr>
            <w:tcW w:w="1277" w:type="dxa"/>
            <w:shd w:val="clear" w:color="auto" w:fill="auto"/>
            <w:hideMark/>
          </w:tcPr>
          <w:p w14:paraId="3FA406CC" w14:textId="77777777" w:rsidR="00F45CC2" w:rsidRPr="008F4DF9" w:rsidRDefault="00F45CC2" w:rsidP="00DC0921">
            <w:pPr>
              <w:ind w:left="0" w:firstLine="0"/>
              <w:rPr>
                <w:rFonts w:eastAsia="Times New Roman" w:cs="Calibri"/>
                <w:sz w:val="20"/>
                <w:szCs w:val="20"/>
              </w:rPr>
            </w:pPr>
            <w:r w:rsidRPr="008F4DF9">
              <w:rPr>
                <w:sz w:val="20"/>
                <w:szCs w:val="20"/>
              </w:rPr>
              <w:t>R100137</w:t>
            </w:r>
          </w:p>
        </w:tc>
        <w:tc>
          <w:tcPr>
            <w:tcW w:w="2131" w:type="dxa"/>
            <w:shd w:val="clear" w:color="auto" w:fill="auto"/>
            <w:noWrap/>
            <w:hideMark/>
          </w:tcPr>
          <w:p w14:paraId="12A5A591"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IR - Centro para África Oriental</w:t>
            </w:r>
          </w:p>
        </w:tc>
        <w:tc>
          <w:tcPr>
            <w:tcW w:w="1332" w:type="dxa"/>
            <w:shd w:val="clear" w:color="auto" w:fill="auto"/>
            <w:hideMark/>
          </w:tcPr>
          <w:p w14:paraId="77CD5CE7"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1C71F0B9"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5A2CA4C6"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7DBA2947"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333" w:type="dxa"/>
            <w:shd w:val="clear" w:color="auto" w:fill="auto"/>
            <w:hideMark/>
          </w:tcPr>
          <w:p w14:paraId="69CE7177"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312B4229" w14:textId="77777777" w:rsidTr="00D8194D">
        <w:tc>
          <w:tcPr>
            <w:tcW w:w="1277" w:type="dxa"/>
            <w:shd w:val="clear" w:color="auto" w:fill="auto"/>
            <w:hideMark/>
          </w:tcPr>
          <w:p w14:paraId="53085E4A" w14:textId="77777777" w:rsidR="00F45CC2" w:rsidRPr="008F4DF9" w:rsidRDefault="00F45CC2" w:rsidP="00DC0921">
            <w:pPr>
              <w:ind w:left="0" w:firstLine="0"/>
              <w:rPr>
                <w:rFonts w:eastAsia="Times New Roman" w:cs="Calibri"/>
                <w:sz w:val="20"/>
                <w:szCs w:val="20"/>
              </w:rPr>
            </w:pPr>
            <w:r w:rsidRPr="008F4DF9">
              <w:rPr>
                <w:sz w:val="20"/>
                <w:szCs w:val="20"/>
              </w:rPr>
              <w:t>R100142</w:t>
            </w:r>
          </w:p>
        </w:tc>
        <w:tc>
          <w:tcPr>
            <w:tcW w:w="2131" w:type="dxa"/>
            <w:shd w:val="clear" w:color="auto" w:fill="auto"/>
            <w:noWrap/>
            <w:hideMark/>
          </w:tcPr>
          <w:p w14:paraId="03162ACF"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IR - Cuenca del Río Amazonas</w:t>
            </w:r>
          </w:p>
        </w:tc>
        <w:tc>
          <w:tcPr>
            <w:tcW w:w="1332" w:type="dxa"/>
            <w:shd w:val="clear" w:color="auto" w:fill="auto"/>
            <w:hideMark/>
          </w:tcPr>
          <w:p w14:paraId="0474E639"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c>
          <w:tcPr>
            <w:tcW w:w="1191" w:type="dxa"/>
            <w:shd w:val="clear" w:color="auto" w:fill="auto"/>
            <w:hideMark/>
          </w:tcPr>
          <w:p w14:paraId="13B0D3D5"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c>
          <w:tcPr>
            <w:tcW w:w="1190" w:type="dxa"/>
            <w:shd w:val="clear" w:color="auto" w:fill="auto"/>
            <w:hideMark/>
          </w:tcPr>
          <w:p w14:paraId="01BB428D"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07F4DDF3" w14:textId="77777777" w:rsidR="00F45CC2" w:rsidRPr="008F4DF9" w:rsidRDefault="00F45CC2" w:rsidP="00DC0921">
            <w:pPr>
              <w:ind w:left="0" w:firstLine="0"/>
              <w:jc w:val="right"/>
              <w:rPr>
                <w:rFonts w:eastAsia="Times New Roman" w:cs="Calibri"/>
                <w:sz w:val="20"/>
                <w:szCs w:val="20"/>
              </w:rPr>
            </w:pPr>
            <w:r w:rsidRPr="008F4DF9">
              <w:rPr>
                <w:sz w:val="20"/>
                <w:szCs w:val="20"/>
              </w:rPr>
              <w:t>7</w:t>
            </w:r>
          </w:p>
        </w:tc>
        <w:tc>
          <w:tcPr>
            <w:tcW w:w="1333" w:type="dxa"/>
            <w:shd w:val="clear" w:color="auto" w:fill="auto"/>
            <w:hideMark/>
          </w:tcPr>
          <w:p w14:paraId="57F37062" w14:textId="77777777" w:rsidR="00F45CC2" w:rsidRPr="008F4DF9" w:rsidRDefault="00F45CC2" w:rsidP="00DC0921">
            <w:pPr>
              <w:ind w:left="0" w:firstLine="0"/>
              <w:jc w:val="right"/>
              <w:rPr>
                <w:rFonts w:eastAsia="Times New Roman" w:cs="Calibri"/>
                <w:sz w:val="20"/>
                <w:szCs w:val="20"/>
              </w:rPr>
            </w:pPr>
            <w:r w:rsidRPr="008F4DF9">
              <w:rPr>
                <w:sz w:val="20"/>
                <w:szCs w:val="20"/>
              </w:rPr>
              <w:t>-</w:t>
            </w:r>
          </w:p>
        </w:tc>
      </w:tr>
      <w:tr w:rsidR="00F45CC2" w:rsidRPr="008F4DF9" w14:paraId="669728D4" w14:textId="77777777" w:rsidTr="00D8194D">
        <w:tc>
          <w:tcPr>
            <w:tcW w:w="1277" w:type="dxa"/>
            <w:shd w:val="clear" w:color="auto" w:fill="auto"/>
            <w:hideMark/>
          </w:tcPr>
          <w:p w14:paraId="6395FAAE" w14:textId="77777777" w:rsidR="00F45CC2" w:rsidRPr="008F4DF9" w:rsidRDefault="00F45CC2" w:rsidP="00DC0921">
            <w:pPr>
              <w:ind w:left="0" w:firstLine="0"/>
              <w:rPr>
                <w:rFonts w:eastAsia="Times New Roman" w:cs="Calibri"/>
                <w:sz w:val="20"/>
                <w:szCs w:val="20"/>
              </w:rPr>
            </w:pPr>
            <w:r w:rsidRPr="008F4DF9">
              <w:rPr>
                <w:sz w:val="20"/>
                <w:szCs w:val="20"/>
              </w:rPr>
              <w:t>R100200</w:t>
            </w:r>
          </w:p>
        </w:tc>
        <w:tc>
          <w:tcPr>
            <w:tcW w:w="2131" w:type="dxa"/>
            <w:shd w:val="clear" w:color="auto" w:fill="auto"/>
            <w:noWrap/>
            <w:hideMark/>
          </w:tcPr>
          <w:p w14:paraId="0BBED29C" w14:textId="77777777" w:rsidR="00F45CC2" w:rsidRPr="008F4DF9" w:rsidRDefault="00F45CC2" w:rsidP="00DC0921">
            <w:pPr>
              <w:ind w:left="0" w:firstLine="0"/>
              <w:rPr>
                <w:rFonts w:eastAsia="Times New Roman" w:cs="Calibri"/>
                <w:color w:val="000000"/>
                <w:sz w:val="20"/>
                <w:szCs w:val="20"/>
              </w:rPr>
            </w:pPr>
            <w:r w:rsidRPr="008F4DF9">
              <w:rPr>
                <w:color w:val="000000"/>
                <w:sz w:val="20"/>
                <w:szCs w:val="20"/>
              </w:rPr>
              <w:t>Contribuciones Voluntarias de la región de África (CVA), Iniciativas Regionales de África</w:t>
            </w:r>
          </w:p>
        </w:tc>
        <w:tc>
          <w:tcPr>
            <w:tcW w:w="1332" w:type="dxa"/>
            <w:shd w:val="clear" w:color="auto" w:fill="auto"/>
            <w:hideMark/>
          </w:tcPr>
          <w:p w14:paraId="32A265A4" w14:textId="77777777" w:rsidR="00F45CC2" w:rsidRPr="008F4DF9" w:rsidRDefault="00F45CC2" w:rsidP="00DC0921">
            <w:pPr>
              <w:ind w:left="0" w:firstLine="0"/>
              <w:jc w:val="right"/>
              <w:rPr>
                <w:rFonts w:eastAsia="Times New Roman" w:cs="Calibri"/>
                <w:sz w:val="20"/>
                <w:szCs w:val="20"/>
              </w:rPr>
            </w:pPr>
            <w:r w:rsidRPr="008F4DF9">
              <w:rPr>
                <w:sz w:val="20"/>
                <w:szCs w:val="20"/>
              </w:rPr>
              <w:t>58</w:t>
            </w:r>
          </w:p>
        </w:tc>
        <w:tc>
          <w:tcPr>
            <w:tcW w:w="1191" w:type="dxa"/>
            <w:shd w:val="clear" w:color="auto" w:fill="auto"/>
            <w:hideMark/>
          </w:tcPr>
          <w:p w14:paraId="1B221C8C" w14:textId="77777777" w:rsidR="00F45CC2" w:rsidRPr="008F4DF9" w:rsidRDefault="00F45CC2" w:rsidP="00DC0921">
            <w:pPr>
              <w:ind w:left="0" w:firstLine="0"/>
              <w:jc w:val="right"/>
              <w:rPr>
                <w:rFonts w:eastAsia="Times New Roman" w:cs="Calibri"/>
                <w:sz w:val="20"/>
                <w:szCs w:val="20"/>
              </w:rPr>
            </w:pPr>
            <w:r w:rsidRPr="008F4DF9">
              <w:rPr>
                <w:sz w:val="20"/>
                <w:szCs w:val="20"/>
              </w:rPr>
              <w:t>2</w:t>
            </w:r>
          </w:p>
        </w:tc>
        <w:tc>
          <w:tcPr>
            <w:tcW w:w="1190" w:type="dxa"/>
            <w:shd w:val="clear" w:color="auto" w:fill="auto"/>
            <w:hideMark/>
          </w:tcPr>
          <w:p w14:paraId="06ADE3C8" w14:textId="77777777" w:rsidR="00F45CC2" w:rsidRPr="008F4DF9" w:rsidRDefault="00F45CC2" w:rsidP="00DC0921">
            <w:pPr>
              <w:ind w:left="0" w:firstLine="0"/>
              <w:jc w:val="right"/>
              <w:rPr>
                <w:rFonts w:eastAsia="Times New Roman" w:cs="Calibri"/>
                <w:sz w:val="20"/>
                <w:szCs w:val="20"/>
              </w:rPr>
            </w:pPr>
            <w:r w:rsidRPr="008F4DF9">
              <w:rPr>
                <w:sz w:val="20"/>
                <w:szCs w:val="20"/>
              </w:rPr>
              <w:t>0</w:t>
            </w:r>
          </w:p>
        </w:tc>
        <w:tc>
          <w:tcPr>
            <w:tcW w:w="1191" w:type="dxa"/>
            <w:shd w:val="clear" w:color="auto" w:fill="auto"/>
            <w:hideMark/>
          </w:tcPr>
          <w:p w14:paraId="5808169E" w14:textId="77777777" w:rsidR="00F45CC2" w:rsidRPr="008F4DF9" w:rsidRDefault="00F45CC2" w:rsidP="00DC0921">
            <w:pPr>
              <w:ind w:left="0" w:firstLine="0"/>
              <w:jc w:val="right"/>
              <w:rPr>
                <w:rFonts w:eastAsia="Times New Roman" w:cs="Calibri"/>
                <w:sz w:val="20"/>
                <w:szCs w:val="20"/>
              </w:rPr>
            </w:pPr>
            <w:r w:rsidRPr="008F4DF9">
              <w:rPr>
                <w:sz w:val="20"/>
                <w:szCs w:val="20"/>
              </w:rPr>
              <w:t>33</w:t>
            </w:r>
          </w:p>
        </w:tc>
        <w:tc>
          <w:tcPr>
            <w:tcW w:w="1333" w:type="dxa"/>
            <w:shd w:val="clear" w:color="auto" w:fill="auto"/>
            <w:hideMark/>
          </w:tcPr>
          <w:p w14:paraId="4958969F" w14:textId="77777777" w:rsidR="00F45CC2" w:rsidRPr="008F4DF9" w:rsidRDefault="00F45CC2" w:rsidP="00DC0921">
            <w:pPr>
              <w:ind w:left="0" w:firstLine="0"/>
              <w:jc w:val="right"/>
              <w:rPr>
                <w:rFonts w:eastAsia="Times New Roman" w:cs="Calibri"/>
                <w:sz w:val="20"/>
                <w:szCs w:val="20"/>
              </w:rPr>
            </w:pPr>
            <w:r w:rsidRPr="008F4DF9">
              <w:rPr>
                <w:sz w:val="20"/>
                <w:szCs w:val="20"/>
              </w:rPr>
              <w:t>93</w:t>
            </w:r>
          </w:p>
        </w:tc>
      </w:tr>
      <w:tr w:rsidR="00F45CC2" w:rsidRPr="008F4DF9" w14:paraId="088A28C2" w14:textId="77777777" w:rsidTr="00D8194D">
        <w:tc>
          <w:tcPr>
            <w:tcW w:w="3408" w:type="dxa"/>
            <w:gridSpan w:val="2"/>
            <w:shd w:val="clear" w:color="000000" w:fill="EAF1DD"/>
            <w:hideMark/>
          </w:tcPr>
          <w:p w14:paraId="50062967" w14:textId="7BF1EAAA" w:rsidR="00F45CC2" w:rsidRPr="008F4DF9" w:rsidRDefault="009154DA" w:rsidP="00DC0921">
            <w:pPr>
              <w:ind w:left="0" w:firstLine="0"/>
              <w:rPr>
                <w:rFonts w:eastAsia="Times New Roman" w:cs="Calibri"/>
                <w:b/>
                <w:bCs/>
                <w:sz w:val="20"/>
                <w:szCs w:val="20"/>
              </w:rPr>
            </w:pPr>
            <w:r>
              <w:rPr>
                <w:b/>
                <w:bCs/>
                <w:sz w:val="20"/>
                <w:szCs w:val="20"/>
              </w:rPr>
              <w:t>Total,</w:t>
            </w:r>
            <w:r w:rsidR="00F45CC2" w:rsidRPr="008F4DF9">
              <w:rPr>
                <w:b/>
                <w:bCs/>
                <w:sz w:val="20"/>
                <w:szCs w:val="20"/>
              </w:rPr>
              <w:t xml:space="preserve"> </w:t>
            </w:r>
            <w:r w:rsidR="006D4727">
              <w:rPr>
                <w:b/>
                <w:bCs/>
                <w:sz w:val="20"/>
                <w:szCs w:val="20"/>
              </w:rPr>
              <w:t>I</w:t>
            </w:r>
            <w:r w:rsidR="00F45CC2" w:rsidRPr="008F4DF9">
              <w:rPr>
                <w:b/>
                <w:bCs/>
                <w:sz w:val="20"/>
                <w:szCs w:val="20"/>
              </w:rPr>
              <w:t>niciativas regionales</w:t>
            </w:r>
          </w:p>
        </w:tc>
        <w:tc>
          <w:tcPr>
            <w:tcW w:w="1332" w:type="dxa"/>
            <w:shd w:val="clear" w:color="000000" w:fill="EAF1DD"/>
            <w:hideMark/>
          </w:tcPr>
          <w:p w14:paraId="176F2CD6"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46</w:t>
            </w:r>
          </w:p>
        </w:tc>
        <w:tc>
          <w:tcPr>
            <w:tcW w:w="1191" w:type="dxa"/>
            <w:shd w:val="clear" w:color="000000" w:fill="EAF1DD"/>
            <w:hideMark/>
          </w:tcPr>
          <w:p w14:paraId="1F17CE1C"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2</w:t>
            </w:r>
          </w:p>
        </w:tc>
        <w:tc>
          <w:tcPr>
            <w:tcW w:w="1190" w:type="dxa"/>
            <w:shd w:val="clear" w:color="000000" w:fill="EAF1DD"/>
            <w:hideMark/>
          </w:tcPr>
          <w:p w14:paraId="6F4ABCC5"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0</w:t>
            </w:r>
          </w:p>
        </w:tc>
        <w:tc>
          <w:tcPr>
            <w:tcW w:w="1191" w:type="dxa"/>
            <w:shd w:val="clear" w:color="000000" w:fill="EAF1DD"/>
            <w:hideMark/>
          </w:tcPr>
          <w:p w14:paraId="2138BF0A"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45</w:t>
            </w:r>
          </w:p>
        </w:tc>
        <w:tc>
          <w:tcPr>
            <w:tcW w:w="1333" w:type="dxa"/>
            <w:shd w:val="clear" w:color="000000" w:fill="EAF1DD"/>
            <w:hideMark/>
          </w:tcPr>
          <w:p w14:paraId="1905A4A6"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93</w:t>
            </w:r>
          </w:p>
        </w:tc>
      </w:tr>
      <w:tr w:rsidR="00F45CC2" w:rsidRPr="008F4DF9" w14:paraId="27BE3494" w14:textId="77777777" w:rsidTr="00D8194D">
        <w:tc>
          <w:tcPr>
            <w:tcW w:w="1277" w:type="dxa"/>
            <w:shd w:val="clear" w:color="auto" w:fill="auto"/>
            <w:hideMark/>
          </w:tcPr>
          <w:p w14:paraId="374A53A6" w14:textId="77777777" w:rsidR="00F45CC2" w:rsidRPr="008F4DF9" w:rsidRDefault="00F45CC2" w:rsidP="00DC0921">
            <w:pPr>
              <w:ind w:left="0" w:firstLine="0"/>
              <w:rPr>
                <w:rFonts w:eastAsia="Times New Roman" w:cs="Calibri"/>
                <w:b/>
                <w:bCs/>
                <w:sz w:val="20"/>
                <w:szCs w:val="20"/>
                <w:lang w:eastAsia="en-GB"/>
              </w:rPr>
            </w:pPr>
          </w:p>
        </w:tc>
        <w:tc>
          <w:tcPr>
            <w:tcW w:w="2131" w:type="dxa"/>
            <w:shd w:val="clear" w:color="auto" w:fill="auto"/>
            <w:hideMark/>
          </w:tcPr>
          <w:p w14:paraId="3977D17C" w14:textId="77777777" w:rsidR="00F45CC2" w:rsidRPr="008F4DF9" w:rsidRDefault="00F45CC2" w:rsidP="00DC0921">
            <w:pPr>
              <w:ind w:left="0" w:firstLine="0"/>
              <w:rPr>
                <w:rFonts w:ascii="Times New Roman" w:eastAsia="Times New Roman" w:hAnsi="Times New Roman"/>
                <w:sz w:val="20"/>
                <w:szCs w:val="20"/>
                <w:lang w:eastAsia="en-GB"/>
              </w:rPr>
            </w:pPr>
          </w:p>
        </w:tc>
        <w:tc>
          <w:tcPr>
            <w:tcW w:w="1332" w:type="dxa"/>
            <w:shd w:val="clear" w:color="auto" w:fill="auto"/>
            <w:hideMark/>
          </w:tcPr>
          <w:p w14:paraId="44AC5524"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224B30C7" w14:textId="77777777" w:rsidR="00F45CC2" w:rsidRPr="008F4DF9"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399B0EF2" w14:textId="77777777" w:rsidR="00F45CC2" w:rsidRPr="008F4DF9" w:rsidRDefault="00F45CC2" w:rsidP="00DC0921">
            <w:pPr>
              <w:ind w:left="0" w:firstLine="0"/>
              <w:jc w:val="right"/>
              <w:rPr>
                <w:rFonts w:eastAsia="Times New Roman" w:cs="Calibri"/>
              </w:rPr>
            </w:pPr>
            <w:r w:rsidRPr="008F4DF9">
              <w:t> </w:t>
            </w:r>
          </w:p>
        </w:tc>
        <w:tc>
          <w:tcPr>
            <w:tcW w:w="1191" w:type="dxa"/>
            <w:shd w:val="clear" w:color="auto" w:fill="auto"/>
            <w:hideMark/>
          </w:tcPr>
          <w:p w14:paraId="0C992CCA" w14:textId="77777777" w:rsidR="00F45CC2" w:rsidRPr="008F4DF9" w:rsidRDefault="00F45CC2" w:rsidP="00DC0921">
            <w:pPr>
              <w:ind w:left="0" w:firstLine="0"/>
              <w:jc w:val="right"/>
              <w:rPr>
                <w:rFonts w:eastAsia="Times New Roman" w:cs="Calibri"/>
                <w:lang w:eastAsia="en-GB"/>
              </w:rPr>
            </w:pPr>
          </w:p>
        </w:tc>
        <w:tc>
          <w:tcPr>
            <w:tcW w:w="1333" w:type="dxa"/>
            <w:shd w:val="clear" w:color="auto" w:fill="auto"/>
            <w:hideMark/>
          </w:tcPr>
          <w:p w14:paraId="6B57F0CF" w14:textId="77777777" w:rsidR="00F45CC2" w:rsidRPr="008F4DF9" w:rsidRDefault="00F45CC2" w:rsidP="00DC0921">
            <w:pPr>
              <w:ind w:left="0" w:firstLine="0"/>
              <w:jc w:val="right"/>
              <w:rPr>
                <w:rFonts w:eastAsia="Times New Roman" w:cs="Calibri"/>
              </w:rPr>
            </w:pPr>
            <w:r w:rsidRPr="008F4DF9">
              <w:t> </w:t>
            </w:r>
          </w:p>
        </w:tc>
      </w:tr>
      <w:tr w:rsidR="00F45CC2" w:rsidRPr="008F4DF9" w14:paraId="47D8E9B3" w14:textId="77777777" w:rsidTr="00D8194D">
        <w:tc>
          <w:tcPr>
            <w:tcW w:w="3408" w:type="dxa"/>
            <w:gridSpan w:val="2"/>
            <w:shd w:val="clear" w:color="000000" w:fill="D6E3BC"/>
            <w:hideMark/>
          </w:tcPr>
          <w:p w14:paraId="46F3E383" w14:textId="77777777" w:rsidR="00F45CC2" w:rsidRPr="008F4DF9" w:rsidRDefault="00F45CC2" w:rsidP="00DC0921">
            <w:pPr>
              <w:ind w:left="0" w:firstLine="0"/>
              <w:rPr>
                <w:rFonts w:eastAsia="Times New Roman" w:cs="Calibri"/>
                <w:b/>
                <w:bCs/>
                <w:sz w:val="20"/>
                <w:szCs w:val="20"/>
              </w:rPr>
            </w:pPr>
            <w:r w:rsidRPr="008F4DF9">
              <w:rPr>
                <w:b/>
                <w:bCs/>
                <w:sz w:val="20"/>
                <w:szCs w:val="20"/>
              </w:rPr>
              <w:t>Total</w:t>
            </w:r>
          </w:p>
        </w:tc>
        <w:tc>
          <w:tcPr>
            <w:tcW w:w="1332" w:type="dxa"/>
            <w:shd w:val="clear" w:color="000000" w:fill="D6E3BC"/>
            <w:hideMark/>
          </w:tcPr>
          <w:p w14:paraId="156BF8F3" w14:textId="40D1219E" w:rsidR="00F45CC2" w:rsidRPr="008F4DF9" w:rsidRDefault="00F45CC2" w:rsidP="00DC0921">
            <w:pPr>
              <w:ind w:left="0" w:firstLine="0"/>
              <w:jc w:val="right"/>
              <w:rPr>
                <w:rFonts w:eastAsia="Times New Roman" w:cs="Calibri"/>
                <w:b/>
                <w:bCs/>
                <w:sz w:val="20"/>
                <w:szCs w:val="20"/>
              </w:rPr>
            </w:pPr>
            <w:r w:rsidRPr="008F4DF9">
              <w:rPr>
                <w:b/>
                <w:bCs/>
                <w:sz w:val="20"/>
                <w:szCs w:val="20"/>
              </w:rPr>
              <w:t>2</w:t>
            </w:r>
            <w:r w:rsidR="00652E0C" w:rsidRPr="008F4DF9">
              <w:rPr>
                <w:b/>
                <w:bCs/>
                <w:sz w:val="20"/>
                <w:szCs w:val="20"/>
              </w:rPr>
              <w:t> </w:t>
            </w:r>
            <w:r w:rsidRPr="008F4DF9">
              <w:rPr>
                <w:b/>
                <w:bCs/>
                <w:sz w:val="20"/>
                <w:szCs w:val="20"/>
              </w:rPr>
              <w:t>133</w:t>
            </w:r>
          </w:p>
        </w:tc>
        <w:tc>
          <w:tcPr>
            <w:tcW w:w="1191" w:type="dxa"/>
            <w:shd w:val="clear" w:color="000000" w:fill="D6E3BC"/>
            <w:hideMark/>
          </w:tcPr>
          <w:p w14:paraId="6A3A4C61"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155</w:t>
            </w:r>
          </w:p>
        </w:tc>
        <w:tc>
          <w:tcPr>
            <w:tcW w:w="1190" w:type="dxa"/>
            <w:shd w:val="clear" w:color="000000" w:fill="D6E3BC"/>
            <w:hideMark/>
          </w:tcPr>
          <w:p w14:paraId="599117BA"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(331)</w:t>
            </w:r>
          </w:p>
        </w:tc>
        <w:tc>
          <w:tcPr>
            <w:tcW w:w="1191" w:type="dxa"/>
            <w:shd w:val="clear" w:color="000000" w:fill="D6E3BC"/>
            <w:hideMark/>
          </w:tcPr>
          <w:p w14:paraId="2E482964" w14:textId="77777777" w:rsidR="00F45CC2" w:rsidRPr="008F4DF9" w:rsidRDefault="00F45CC2" w:rsidP="00DC0921">
            <w:pPr>
              <w:ind w:left="0" w:firstLine="0"/>
              <w:jc w:val="right"/>
              <w:rPr>
                <w:rFonts w:eastAsia="Times New Roman" w:cs="Calibri"/>
                <w:b/>
                <w:bCs/>
                <w:sz w:val="20"/>
                <w:szCs w:val="20"/>
              </w:rPr>
            </w:pPr>
            <w:r w:rsidRPr="008F4DF9">
              <w:rPr>
                <w:b/>
                <w:bCs/>
                <w:sz w:val="20"/>
                <w:szCs w:val="20"/>
              </w:rPr>
              <w:t>115</w:t>
            </w:r>
          </w:p>
        </w:tc>
        <w:tc>
          <w:tcPr>
            <w:tcW w:w="1333" w:type="dxa"/>
            <w:shd w:val="clear" w:color="000000" w:fill="D6E3BC"/>
            <w:hideMark/>
          </w:tcPr>
          <w:p w14:paraId="2168AD9B" w14:textId="10C90C55" w:rsidR="00F45CC2" w:rsidRPr="008F4DF9" w:rsidRDefault="00F45CC2" w:rsidP="00DC0921">
            <w:pPr>
              <w:ind w:left="0" w:firstLine="0"/>
              <w:jc w:val="right"/>
              <w:rPr>
                <w:rFonts w:eastAsia="Times New Roman" w:cs="Calibri"/>
                <w:b/>
                <w:bCs/>
                <w:sz w:val="20"/>
                <w:szCs w:val="20"/>
              </w:rPr>
            </w:pPr>
            <w:r w:rsidRPr="008F4DF9">
              <w:rPr>
                <w:b/>
                <w:bCs/>
                <w:sz w:val="20"/>
                <w:szCs w:val="20"/>
              </w:rPr>
              <w:t>2</w:t>
            </w:r>
            <w:r w:rsidR="00652E0C" w:rsidRPr="008F4DF9">
              <w:rPr>
                <w:b/>
                <w:bCs/>
                <w:sz w:val="20"/>
                <w:szCs w:val="20"/>
              </w:rPr>
              <w:t> </w:t>
            </w:r>
            <w:r w:rsidRPr="008F4DF9">
              <w:rPr>
                <w:b/>
                <w:bCs/>
                <w:sz w:val="20"/>
                <w:szCs w:val="20"/>
              </w:rPr>
              <w:t>073</w:t>
            </w:r>
          </w:p>
        </w:tc>
      </w:tr>
    </w:tbl>
    <w:p w14:paraId="0905CC42" w14:textId="77777777" w:rsidR="00F45CC2" w:rsidRPr="008F4DF9" w:rsidRDefault="00F45CC2" w:rsidP="00D23BF5">
      <w:pPr>
        <w:ind w:left="0" w:firstLine="0"/>
        <w:rPr>
          <w:rFonts w:asciiTheme="minorHAnsi" w:eastAsia="Times New Roman" w:hAnsiTheme="minorHAnsi" w:cs="Arial"/>
          <w:bCs/>
        </w:rPr>
      </w:pPr>
      <w:r w:rsidRPr="008F4DF9">
        <w:br w:type="page"/>
      </w:r>
    </w:p>
    <w:p w14:paraId="3DF4A4BD" w14:textId="2FF8F2C4" w:rsidR="0074567B" w:rsidRPr="008F4DF9" w:rsidRDefault="0035205F" w:rsidP="00FB7D22">
      <w:pPr>
        <w:ind w:left="0" w:firstLine="0"/>
        <w:rPr>
          <w:rFonts w:asciiTheme="minorHAnsi" w:eastAsia="Times New Roman" w:hAnsiTheme="minorHAnsi" w:cs="Arial"/>
          <w:b/>
          <w:bCs/>
          <w:sz w:val="24"/>
          <w:szCs w:val="24"/>
        </w:rPr>
      </w:pPr>
      <w:r w:rsidRPr="008F4DF9">
        <w:rPr>
          <w:rFonts w:asciiTheme="minorHAnsi" w:hAnsiTheme="minorHAnsi"/>
          <w:b/>
          <w:bCs/>
          <w:sz w:val="24"/>
          <w:szCs w:val="24"/>
        </w:rPr>
        <w:lastRenderedPageBreak/>
        <w:t>Anexo 4</w:t>
      </w:r>
    </w:p>
    <w:p w14:paraId="76CB7523" w14:textId="77777777" w:rsidR="001404C4" w:rsidRPr="008F4DF9" w:rsidRDefault="0035205F" w:rsidP="00E42F5B">
      <w:pPr>
        <w:ind w:left="0" w:firstLine="0"/>
        <w:rPr>
          <w:rFonts w:asciiTheme="minorHAnsi" w:eastAsia="Times New Roman" w:hAnsiTheme="minorHAnsi" w:cs="Arial"/>
          <w:b/>
          <w:bCs/>
          <w:sz w:val="24"/>
          <w:szCs w:val="24"/>
        </w:rPr>
      </w:pPr>
      <w:r w:rsidRPr="008F4DF9">
        <w:rPr>
          <w:rFonts w:asciiTheme="minorHAnsi" w:hAnsiTheme="minorHAnsi"/>
          <w:b/>
          <w:bCs/>
          <w:sz w:val="24"/>
          <w:szCs w:val="24"/>
        </w:rPr>
        <w:t xml:space="preserve">Presupuesto básico propuesto para 2020 </w:t>
      </w:r>
    </w:p>
    <w:p w14:paraId="0A68605A" w14:textId="154E4576" w:rsidR="006A5240" w:rsidRPr="008F4DF9" w:rsidRDefault="00330040" w:rsidP="00E42F5B">
      <w:pPr>
        <w:ind w:left="0" w:firstLine="0"/>
        <w:rPr>
          <w:rFonts w:asciiTheme="minorHAnsi" w:eastAsia="Times New Roman" w:hAnsiTheme="minorHAnsi" w:cs="Arial"/>
          <w:bCs/>
          <w:i/>
          <w:sz w:val="20"/>
          <w:szCs w:val="20"/>
        </w:rPr>
      </w:pPr>
      <w:r w:rsidRPr="008F4DF9">
        <w:rPr>
          <w:rFonts w:asciiTheme="minorHAnsi" w:hAnsiTheme="minorHAnsi"/>
          <w:bCs/>
          <w:i/>
          <w:sz w:val="20"/>
          <w:szCs w:val="20"/>
        </w:rPr>
        <w:t>(en miles de francos suizos, con posibles diferencias por redondeo)</w:t>
      </w:r>
    </w:p>
    <w:p w14:paraId="2B624DE1" w14:textId="77777777" w:rsidR="001404C4" w:rsidRPr="008F4DF9" w:rsidRDefault="001404C4" w:rsidP="00E42F5B">
      <w:pPr>
        <w:ind w:left="0" w:firstLine="0"/>
        <w:rPr>
          <w:rFonts w:asciiTheme="minorHAnsi" w:eastAsia="Times New Roman" w:hAnsiTheme="minorHAnsi" w:cs="Arial"/>
          <w:b/>
          <w:bCs/>
          <w:lang w:eastAsia="en-GB"/>
        </w:rPr>
      </w:pPr>
    </w:p>
    <w:tbl>
      <w:tblPr>
        <w:tblW w:w="9807" w:type="dxa"/>
        <w:tblInd w:w="-289" w:type="dxa"/>
        <w:tblLayout w:type="fixed"/>
        <w:tblCellMar>
          <w:top w:w="28" w:type="dxa"/>
          <w:left w:w="57" w:type="dxa"/>
          <w:bottom w:w="28" w:type="dxa"/>
          <w:right w:w="57" w:type="dxa"/>
        </w:tblCellMar>
        <w:tblLook w:val="04A0" w:firstRow="1" w:lastRow="0" w:firstColumn="1" w:lastColumn="0" w:noHBand="0" w:noVBand="1"/>
      </w:tblPr>
      <w:tblGrid>
        <w:gridCol w:w="3265"/>
        <w:gridCol w:w="1303"/>
        <w:gridCol w:w="1258"/>
        <w:gridCol w:w="1286"/>
        <w:gridCol w:w="1367"/>
        <w:gridCol w:w="1328"/>
      </w:tblGrid>
      <w:tr w:rsidR="00B32336" w:rsidRPr="008F4DF9" w14:paraId="3B534688" w14:textId="77777777" w:rsidTr="00D8194D">
        <w:trPr>
          <w:cantSplit/>
          <w:tblHeader/>
        </w:trPr>
        <w:tc>
          <w:tcPr>
            <w:tcW w:w="3265" w:type="dxa"/>
            <w:tcBorders>
              <w:top w:val="single" w:sz="4" w:space="0" w:color="auto"/>
              <w:left w:val="single" w:sz="4" w:space="0" w:color="auto"/>
              <w:right w:val="nil"/>
            </w:tcBorders>
            <w:shd w:val="clear" w:color="000000" w:fill="D6E3BC"/>
            <w:vAlign w:val="center"/>
            <w:hideMark/>
          </w:tcPr>
          <w:p w14:paraId="3C7A8773" w14:textId="77777777" w:rsidR="00B32336" w:rsidRPr="008F4DF9" w:rsidRDefault="00B32336" w:rsidP="000308D5">
            <w:pPr>
              <w:ind w:left="0" w:firstLine="0"/>
              <w:jc w:val="center"/>
              <w:rPr>
                <w:rFonts w:eastAsia="Times New Roman" w:cs="Calibri"/>
                <w:b/>
                <w:bCs/>
                <w:color w:val="000000"/>
                <w:sz w:val="20"/>
                <w:szCs w:val="20"/>
              </w:rPr>
            </w:pPr>
            <w:r w:rsidRPr="008F4DF9">
              <w:rPr>
                <w:b/>
                <w:bCs/>
                <w:color w:val="000000"/>
                <w:sz w:val="20"/>
                <w:szCs w:val="20"/>
              </w:rPr>
              <w:t>Presupuesto de Ramsar para 2020</w:t>
            </w:r>
            <w:r w:rsidRPr="008F4DF9">
              <w:rPr>
                <w:b/>
                <w:bCs/>
                <w:color w:val="000000"/>
                <w:sz w:val="20"/>
                <w:szCs w:val="20"/>
              </w:rPr>
              <w:br/>
            </w:r>
            <w:r w:rsidRPr="008F4DF9">
              <w:rPr>
                <w:b/>
                <w:bCs/>
                <w:color w:val="000000"/>
                <w:sz w:val="20"/>
                <w:szCs w:val="20"/>
              </w:rPr>
              <w:br/>
              <w:t>Aprobado por la reunión SC55</w:t>
            </w:r>
          </w:p>
        </w:tc>
        <w:tc>
          <w:tcPr>
            <w:tcW w:w="1303" w:type="dxa"/>
            <w:tcBorders>
              <w:top w:val="single" w:sz="4" w:space="0" w:color="auto"/>
              <w:left w:val="single" w:sz="4" w:space="0" w:color="auto"/>
              <w:bottom w:val="nil"/>
              <w:right w:val="single" w:sz="4" w:space="0" w:color="auto"/>
            </w:tcBorders>
            <w:shd w:val="clear" w:color="000000" w:fill="D6E3BC"/>
            <w:vAlign w:val="center"/>
            <w:hideMark/>
          </w:tcPr>
          <w:p w14:paraId="43AB2137" w14:textId="77777777" w:rsidR="00B32336" w:rsidRPr="008F4DF9" w:rsidRDefault="00B32336" w:rsidP="000308D5">
            <w:pPr>
              <w:ind w:left="0" w:firstLine="0"/>
              <w:jc w:val="center"/>
              <w:rPr>
                <w:rFonts w:eastAsia="Times New Roman" w:cs="Calibri"/>
                <w:b/>
                <w:bCs/>
                <w:color w:val="000000"/>
                <w:spacing w:val="-4"/>
                <w:sz w:val="20"/>
                <w:szCs w:val="20"/>
              </w:rPr>
            </w:pPr>
            <w:r w:rsidRPr="008F4DF9">
              <w:rPr>
                <w:b/>
                <w:bCs/>
                <w:color w:val="000000"/>
                <w:sz w:val="20"/>
                <w:szCs w:val="20"/>
              </w:rPr>
              <w:t>Presupuesto aprobado (por la COP13)</w:t>
            </w:r>
          </w:p>
        </w:tc>
        <w:tc>
          <w:tcPr>
            <w:tcW w:w="1258" w:type="dxa"/>
            <w:tcBorders>
              <w:top w:val="single" w:sz="4" w:space="0" w:color="auto"/>
              <w:left w:val="nil"/>
              <w:bottom w:val="nil"/>
              <w:right w:val="single" w:sz="4" w:space="0" w:color="auto"/>
            </w:tcBorders>
            <w:shd w:val="clear" w:color="000000" w:fill="D6E3BC"/>
            <w:vAlign w:val="center"/>
            <w:hideMark/>
          </w:tcPr>
          <w:p w14:paraId="17261E0A" w14:textId="3B77CB83" w:rsidR="00B32336" w:rsidRPr="008F4DF9" w:rsidRDefault="00B32336" w:rsidP="000308D5">
            <w:pPr>
              <w:ind w:left="0" w:firstLine="0"/>
              <w:jc w:val="center"/>
              <w:rPr>
                <w:rFonts w:eastAsia="Times New Roman" w:cs="Calibri"/>
                <w:b/>
                <w:bCs/>
                <w:color w:val="000000"/>
                <w:spacing w:val="-4"/>
                <w:sz w:val="20"/>
                <w:szCs w:val="20"/>
              </w:rPr>
            </w:pPr>
            <w:r w:rsidRPr="008F4DF9">
              <w:rPr>
                <w:b/>
                <w:bCs/>
                <w:color w:val="000000"/>
                <w:sz w:val="20"/>
                <w:szCs w:val="20"/>
              </w:rPr>
              <w:t xml:space="preserve">Uso del excedente autorizado por </w:t>
            </w:r>
            <w:r w:rsidR="00652E0C" w:rsidRPr="008F4DF9">
              <w:rPr>
                <w:b/>
                <w:bCs/>
                <w:color w:val="000000"/>
                <w:sz w:val="20"/>
                <w:szCs w:val="20"/>
              </w:rPr>
              <w:t xml:space="preserve">la </w:t>
            </w:r>
            <w:r w:rsidRPr="008F4DF9">
              <w:rPr>
                <w:b/>
                <w:bCs/>
                <w:color w:val="000000"/>
                <w:sz w:val="20"/>
                <w:szCs w:val="20"/>
              </w:rPr>
              <w:t>COP13 XIII.2 (para 2020)</w:t>
            </w:r>
          </w:p>
        </w:tc>
        <w:tc>
          <w:tcPr>
            <w:tcW w:w="1286" w:type="dxa"/>
            <w:tcBorders>
              <w:top w:val="single" w:sz="4" w:space="0" w:color="auto"/>
              <w:left w:val="single" w:sz="4" w:space="0" w:color="auto"/>
              <w:bottom w:val="nil"/>
              <w:right w:val="single" w:sz="4" w:space="0" w:color="auto"/>
            </w:tcBorders>
            <w:shd w:val="clear" w:color="000000" w:fill="D6E3BC"/>
            <w:vAlign w:val="center"/>
            <w:hideMark/>
          </w:tcPr>
          <w:p w14:paraId="2C5B1E0E" w14:textId="320385AA" w:rsidR="00B32336" w:rsidRPr="008F4DF9" w:rsidRDefault="00B32336" w:rsidP="000308D5">
            <w:pPr>
              <w:ind w:left="0" w:firstLine="0"/>
              <w:jc w:val="center"/>
              <w:rPr>
                <w:rFonts w:eastAsia="Times New Roman" w:cs="Calibri"/>
                <w:b/>
                <w:bCs/>
                <w:spacing w:val="-4"/>
                <w:sz w:val="20"/>
                <w:szCs w:val="20"/>
              </w:rPr>
            </w:pPr>
            <w:r w:rsidRPr="008F4DF9">
              <w:rPr>
                <w:b/>
                <w:bCs/>
                <w:sz w:val="20"/>
                <w:szCs w:val="20"/>
              </w:rPr>
              <w:t>Fondos previamente comprome</w:t>
            </w:r>
            <w:r w:rsidR="00652E0C" w:rsidRPr="008F4DF9">
              <w:rPr>
                <w:b/>
                <w:bCs/>
                <w:sz w:val="20"/>
                <w:szCs w:val="20"/>
              </w:rPr>
              <w:softHyphen/>
            </w:r>
            <w:r w:rsidRPr="008F4DF9">
              <w:rPr>
                <w:b/>
                <w:bCs/>
                <w:sz w:val="20"/>
                <w:szCs w:val="20"/>
              </w:rPr>
              <w:t>tidos de 2019 a gastar en 2020</w:t>
            </w:r>
          </w:p>
        </w:tc>
        <w:tc>
          <w:tcPr>
            <w:tcW w:w="1367" w:type="dxa"/>
            <w:tcBorders>
              <w:top w:val="single" w:sz="4" w:space="0" w:color="auto"/>
              <w:left w:val="nil"/>
              <w:bottom w:val="nil"/>
              <w:right w:val="single" w:sz="4" w:space="0" w:color="auto"/>
            </w:tcBorders>
            <w:shd w:val="clear" w:color="000000" w:fill="D6E3BC"/>
            <w:vAlign w:val="center"/>
            <w:hideMark/>
          </w:tcPr>
          <w:p w14:paraId="3E9CD04F" w14:textId="4C2B8760" w:rsidR="00B32336" w:rsidRPr="008F4DF9" w:rsidRDefault="00B32336" w:rsidP="000308D5">
            <w:pPr>
              <w:ind w:left="0" w:firstLine="0"/>
              <w:jc w:val="center"/>
              <w:rPr>
                <w:rFonts w:eastAsia="Times New Roman" w:cs="Calibri"/>
                <w:b/>
                <w:bCs/>
                <w:color w:val="000000"/>
                <w:spacing w:val="-4"/>
                <w:sz w:val="20"/>
                <w:szCs w:val="20"/>
              </w:rPr>
            </w:pPr>
            <w:r w:rsidRPr="008F4DF9">
              <w:rPr>
                <w:b/>
                <w:bCs/>
                <w:color w:val="000000"/>
                <w:sz w:val="20"/>
                <w:szCs w:val="20"/>
              </w:rPr>
              <w:t>Fondos no comprome</w:t>
            </w:r>
            <w:r w:rsidR="00652E0C" w:rsidRPr="008F4DF9">
              <w:rPr>
                <w:b/>
                <w:bCs/>
                <w:color w:val="000000"/>
                <w:sz w:val="20"/>
                <w:szCs w:val="20"/>
              </w:rPr>
              <w:softHyphen/>
            </w:r>
            <w:r w:rsidRPr="008F4DF9">
              <w:rPr>
                <w:b/>
                <w:bCs/>
                <w:color w:val="000000"/>
                <w:sz w:val="20"/>
                <w:szCs w:val="20"/>
              </w:rPr>
              <w:t>tidos que se transfieren de 2019 a 2020</w:t>
            </w:r>
          </w:p>
        </w:tc>
        <w:tc>
          <w:tcPr>
            <w:tcW w:w="1328" w:type="dxa"/>
            <w:tcBorders>
              <w:top w:val="single" w:sz="4" w:space="0" w:color="auto"/>
              <w:left w:val="nil"/>
              <w:bottom w:val="nil"/>
              <w:right w:val="single" w:sz="4" w:space="0" w:color="auto"/>
            </w:tcBorders>
            <w:shd w:val="clear" w:color="000000" w:fill="D6E3BC"/>
            <w:vAlign w:val="center"/>
            <w:hideMark/>
          </w:tcPr>
          <w:p w14:paraId="20F03CA5" w14:textId="77777777" w:rsidR="00B32336" w:rsidRPr="008F4DF9" w:rsidRDefault="00B32336" w:rsidP="000308D5">
            <w:pPr>
              <w:ind w:left="0" w:firstLine="0"/>
              <w:jc w:val="center"/>
              <w:rPr>
                <w:rFonts w:eastAsia="Times New Roman" w:cs="Calibri"/>
                <w:b/>
                <w:bCs/>
                <w:color w:val="000000"/>
                <w:spacing w:val="-4"/>
                <w:sz w:val="20"/>
                <w:szCs w:val="20"/>
              </w:rPr>
            </w:pPr>
            <w:r w:rsidRPr="008F4DF9">
              <w:rPr>
                <w:b/>
                <w:bCs/>
                <w:color w:val="000000"/>
                <w:sz w:val="20"/>
                <w:szCs w:val="20"/>
              </w:rPr>
              <w:t>Presupuesto total para 2020</w:t>
            </w:r>
          </w:p>
        </w:tc>
      </w:tr>
      <w:tr w:rsidR="000308D5" w:rsidRPr="008F4DF9" w14:paraId="563BF2E7" w14:textId="77777777" w:rsidTr="00D8194D">
        <w:trPr>
          <w:cantSplit/>
          <w:tblHeader/>
        </w:trPr>
        <w:tc>
          <w:tcPr>
            <w:tcW w:w="3265" w:type="dxa"/>
            <w:tcBorders>
              <w:top w:val="nil"/>
              <w:left w:val="single" w:sz="4" w:space="0" w:color="auto"/>
              <w:right w:val="nil"/>
            </w:tcBorders>
            <w:shd w:val="clear" w:color="000000" w:fill="D6E3BC"/>
            <w:vAlign w:val="center"/>
            <w:hideMark/>
          </w:tcPr>
          <w:p w14:paraId="76CEA93A" w14:textId="35D813EC" w:rsidR="000308D5" w:rsidRPr="008F4DF9" w:rsidRDefault="000308D5" w:rsidP="000308D5">
            <w:pPr>
              <w:ind w:left="0" w:firstLine="0"/>
              <w:jc w:val="center"/>
              <w:rPr>
                <w:rFonts w:eastAsia="Times New Roman" w:cs="Calibri"/>
                <w:b/>
                <w:bCs/>
                <w:color w:val="000000"/>
                <w:sz w:val="20"/>
                <w:szCs w:val="20"/>
              </w:rPr>
            </w:pPr>
            <w:r w:rsidRPr="008F4DF9">
              <w:rPr>
                <w:b/>
                <w:bCs/>
                <w:color w:val="000000"/>
                <w:sz w:val="20"/>
                <w:szCs w:val="20"/>
              </w:rPr>
              <w:t>en miles de francos suizos</w:t>
            </w:r>
          </w:p>
        </w:tc>
        <w:tc>
          <w:tcPr>
            <w:tcW w:w="1303" w:type="dxa"/>
            <w:tcBorders>
              <w:top w:val="nil"/>
              <w:left w:val="single" w:sz="4" w:space="0" w:color="auto"/>
              <w:bottom w:val="single" w:sz="4" w:space="0" w:color="000000"/>
              <w:right w:val="single" w:sz="4" w:space="0" w:color="auto"/>
            </w:tcBorders>
            <w:shd w:val="clear" w:color="000000" w:fill="D6E3BC"/>
            <w:vAlign w:val="center"/>
            <w:hideMark/>
          </w:tcPr>
          <w:p w14:paraId="713EFD52" w14:textId="77777777" w:rsidR="000308D5" w:rsidRPr="008F4DF9" w:rsidRDefault="000308D5" w:rsidP="00B32336">
            <w:pPr>
              <w:ind w:left="0" w:firstLine="0"/>
              <w:jc w:val="center"/>
              <w:rPr>
                <w:rFonts w:eastAsia="Times New Roman" w:cs="Calibri"/>
                <w:b/>
                <w:bCs/>
                <w:color w:val="000000"/>
                <w:sz w:val="20"/>
                <w:szCs w:val="20"/>
              </w:rPr>
            </w:pPr>
            <w:r w:rsidRPr="008F4DF9">
              <w:rPr>
                <w:b/>
                <w:bCs/>
                <w:color w:val="000000"/>
                <w:sz w:val="20"/>
                <w:szCs w:val="20"/>
              </w:rPr>
              <w:t>(A)</w:t>
            </w:r>
          </w:p>
        </w:tc>
        <w:tc>
          <w:tcPr>
            <w:tcW w:w="1258" w:type="dxa"/>
            <w:tcBorders>
              <w:top w:val="nil"/>
              <w:left w:val="single" w:sz="4" w:space="0" w:color="auto"/>
              <w:bottom w:val="single" w:sz="4" w:space="0" w:color="000000"/>
              <w:right w:val="single" w:sz="4" w:space="0" w:color="auto"/>
            </w:tcBorders>
            <w:shd w:val="clear" w:color="000000" w:fill="D6E3BC"/>
            <w:vAlign w:val="center"/>
            <w:hideMark/>
          </w:tcPr>
          <w:p w14:paraId="18891852" w14:textId="77777777" w:rsidR="000308D5" w:rsidRPr="008F4DF9" w:rsidRDefault="000308D5" w:rsidP="00B32336">
            <w:pPr>
              <w:ind w:left="0" w:firstLine="0"/>
              <w:jc w:val="center"/>
              <w:rPr>
                <w:rFonts w:eastAsia="Times New Roman" w:cs="Calibri"/>
                <w:b/>
                <w:bCs/>
                <w:color w:val="000000"/>
                <w:sz w:val="20"/>
                <w:szCs w:val="20"/>
              </w:rPr>
            </w:pPr>
            <w:r w:rsidRPr="008F4DF9">
              <w:rPr>
                <w:b/>
                <w:bCs/>
                <w:color w:val="000000"/>
                <w:sz w:val="20"/>
                <w:szCs w:val="20"/>
              </w:rPr>
              <w:t>(B)</w:t>
            </w:r>
          </w:p>
        </w:tc>
        <w:tc>
          <w:tcPr>
            <w:tcW w:w="1286" w:type="dxa"/>
            <w:tcBorders>
              <w:top w:val="nil"/>
              <w:left w:val="single" w:sz="4" w:space="0" w:color="auto"/>
              <w:bottom w:val="single" w:sz="4" w:space="0" w:color="000000"/>
              <w:right w:val="single" w:sz="4" w:space="0" w:color="auto"/>
            </w:tcBorders>
            <w:shd w:val="clear" w:color="000000" w:fill="D6E3BC"/>
            <w:vAlign w:val="center"/>
            <w:hideMark/>
          </w:tcPr>
          <w:p w14:paraId="5E76BA0F" w14:textId="77777777" w:rsidR="000308D5" w:rsidRPr="008F4DF9" w:rsidRDefault="000308D5" w:rsidP="00B32336">
            <w:pPr>
              <w:ind w:left="0" w:firstLine="0"/>
              <w:jc w:val="center"/>
              <w:rPr>
                <w:rFonts w:eastAsia="Times New Roman" w:cs="Calibri"/>
                <w:b/>
                <w:bCs/>
                <w:color w:val="000000"/>
                <w:sz w:val="20"/>
                <w:szCs w:val="20"/>
              </w:rPr>
            </w:pPr>
            <w:r w:rsidRPr="008F4DF9">
              <w:rPr>
                <w:b/>
                <w:bCs/>
                <w:color w:val="000000"/>
                <w:sz w:val="20"/>
                <w:szCs w:val="20"/>
              </w:rPr>
              <w:t>(C)</w:t>
            </w:r>
          </w:p>
        </w:tc>
        <w:tc>
          <w:tcPr>
            <w:tcW w:w="1367" w:type="dxa"/>
            <w:tcBorders>
              <w:top w:val="nil"/>
              <w:left w:val="nil"/>
              <w:bottom w:val="single" w:sz="4" w:space="0" w:color="000000"/>
              <w:right w:val="single" w:sz="4" w:space="0" w:color="auto"/>
            </w:tcBorders>
            <w:shd w:val="clear" w:color="000000" w:fill="D6E3BC"/>
            <w:vAlign w:val="center"/>
            <w:hideMark/>
          </w:tcPr>
          <w:p w14:paraId="0BCCBB1A" w14:textId="77777777" w:rsidR="000308D5" w:rsidRPr="008F4DF9" w:rsidRDefault="000308D5" w:rsidP="00B32336">
            <w:pPr>
              <w:ind w:left="0" w:firstLine="0"/>
              <w:jc w:val="center"/>
              <w:rPr>
                <w:rFonts w:eastAsia="Times New Roman" w:cs="Calibri"/>
                <w:b/>
                <w:bCs/>
                <w:color w:val="000000"/>
                <w:sz w:val="20"/>
                <w:szCs w:val="20"/>
              </w:rPr>
            </w:pPr>
            <w:r w:rsidRPr="008F4DF9">
              <w:rPr>
                <w:b/>
                <w:bCs/>
                <w:color w:val="000000"/>
                <w:sz w:val="20"/>
                <w:szCs w:val="20"/>
              </w:rPr>
              <w:t>(D)</w:t>
            </w:r>
          </w:p>
        </w:tc>
        <w:tc>
          <w:tcPr>
            <w:tcW w:w="1328" w:type="dxa"/>
            <w:tcBorders>
              <w:top w:val="nil"/>
              <w:left w:val="nil"/>
              <w:bottom w:val="single" w:sz="4" w:space="0" w:color="000000"/>
              <w:right w:val="single" w:sz="4" w:space="0" w:color="auto"/>
            </w:tcBorders>
            <w:shd w:val="clear" w:color="000000" w:fill="D6E3BC"/>
            <w:vAlign w:val="center"/>
            <w:hideMark/>
          </w:tcPr>
          <w:p w14:paraId="48328C44" w14:textId="77777777" w:rsidR="000308D5" w:rsidRPr="008F4DF9" w:rsidRDefault="000308D5" w:rsidP="00B32336">
            <w:pPr>
              <w:ind w:left="0" w:firstLine="0"/>
              <w:jc w:val="center"/>
              <w:rPr>
                <w:rFonts w:eastAsia="Times New Roman" w:cs="Calibri"/>
                <w:b/>
                <w:bCs/>
                <w:color w:val="000000"/>
                <w:sz w:val="20"/>
                <w:szCs w:val="20"/>
              </w:rPr>
            </w:pPr>
            <w:r w:rsidRPr="008F4DF9">
              <w:rPr>
                <w:b/>
                <w:bCs/>
                <w:color w:val="000000"/>
                <w:sz w:val="20"/>
                <w:szCs w:val="20"/>
              </w:rPr>
              <w:t>(E=A+B+C+D)</w:t>
            </w:r>
          </w:p>
        </w:tc>
      </w:tr>
      <w:tr w:rsidR="00B32336" w:rsidRPr="008F4DF9" w14:paraId="1E237019" w14:textId="77777777"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14:paraId="5DAB810D" w14:textId="77777777" w:rsidR="000308D5" w:rsidRPr="008F4DF9" w:rsidRDefault="000308D5" w:rsidP="00B32336">
            <w:pPr>
              <w:ind w:left="0" w:firstLine="0"/>
              <w:rPr>
                <w:rFonts w:eastAsia="Times New Roman" w:cs="Calibri"/>
                <w:b/>
                <w:bCs/>
                <w:color w:val="000000"/>
                <w:sz w:val="20"/>
                <w:szCs w:val="20"/>
                <w:lang w:eastAsia="en-GB"/>
              </w:rPr>
            </w:pPr>
          </w:p>
          <w:p w14:paraId="636F267B" w14:textId="6FD51C4C" w:rsidR="00B32336" w:rsidRPr="008F4DF9" w:rsidRDefault="00B32336" w:rsidP="00B32336">
            <w:pPr>
              <w:ind w:left="0" w:firstLine="0"/>
              <w:rPr>
                <w:rFonts w:eastAsia="Times New Roman" w:cs="Calibri"/>
                <w:b/>
                <w:bCs/>
                <w:color w:val="000000"/>
                <w:sz w:val="20"/>
                <w:szCs w:val="20"/>
              </w:rPr>
            </w:pPr>
            <w:r w:rsidRPr="008F4DF9">
              <w:rPr>
                <w:b/>
                <w:bCs/>
                <w:color w:val="000000"/>
                <w:sz w:val="20"/>
                <w:szCs w:val="20"/>
              </w:rPr>
              <w:t>INGRESOS</w:t>
            </w:r>
          </w:p>
        </w:tc>
        <w:tc>
          <w:tcPr>
            <w:tcW w:w="1303" w:type="dxa"/>
            <w:tcBorders>
              <w:top w:val="nil"/>
              <w:left w:val="nil"/>
              <w:bottom w:val="nil"/>
              <w:right w:val="nil"/>
            </w:tcBorders>
            <w:shd w:val="clear" w:color="auto" w:fill="auto"/>
            <w:noWrap/>
            <w:vAlign w:val="center"/>
            <w:hideMark/>
          </w:tcPr>
          <w:p w14:paraId="3A2438FE" w14:textId="77777777" w:rsidR="00B32336" w:rsidRPr="008F4DF9"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center"/>
            <w:hideMark/>
          </w:tcPr>
          <w:p w14:paraId="1AAB28DD" w14:textId="77777777" w:rsidR="00B32336" w:rsidRPr="008F4DF9"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14:paraId="334B6FCA" w14:textId="77777777" w:rsidR="00B32336" w:rsidRPr="008F4DF9"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14:paraId="700C797D" w14:textId="77777777" w:rsidR="00B32336" w:rsidRPr="008F4DF9"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299D99D6" w14:textId="77777777" w:rsidR="00B32336" w:rsidRPr="008F4DF9" w:rsidRDefault="00B32336" w:rsidP="00B32336">
            <w:pPr>
              <w:ind w:left="0" w:firstLine="0"/>
              <w:rPr>
                <w:rFonts w:ascii="Arial" w:eastAsia="Times New Roman" w:hAnsi="Arial" w:cs="Arial"/>
                <w:color w:val="000000"/>
                <w:sz w:val="20"/>
                <w:szCs w:val="20"/>
              </w:rPr>
            </w:pPr>
            <w:r w:rsidRPr="008F4DF9">
              <w:rPr>
                <w:rFonts w:ascii="Arial" w:hAnsi="Arial"/>
                <w:color w:val="000000"/>
                <w:sz w:val="20"/>
                <w:szCs w:val="20"/>
              </w:rPr>
              <w:t> </w:t>
            </w:r>
          </w:p>
        </w:tc>
      </w:tr>
      <w:tr w:rsidR="00B32336" w:rsidRPr="008F4DF9" w14:paraId="6D8F198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0904240"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Contribuciones de las Partes</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94A82EA" w14:textId="5BD7C523"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w:t>
            </w:r>
            <w:r w:rsidR="00652E0C" w:rsidRPr="008F4DF9">
              <w:rPr>
                <w:color w:val="000000"/>
                <w:sz w:val="20"/>
                <w:szCs w:val="20"/>
              </w:rPr>
              <w:t> </w:t>
            </w:r>
            <w:r w:rsidRPr="008F4DF9">
              <w:rPr>
                <w:color w:val="000000"/>
                <w:sz w:val="20"/>
                <w:szCs w:val="20"/>
              </w:rPr>
              <w:t>779</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A8D39E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6F3262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590BEB8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395784D1" w14:textId="04EE74F3"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w:t>
            </w:r>
            <w:r w:rsidR="00652E0C" w:rsidRPr="008F4DF9">
              <w:rPr>
                <w:color w:val="000000"/>
                <w:sz w:val="20"/>
                <w:szCs w:val="20"/>
              </w:rPr>
              <w:t> </w:t>
            </w:r>
            <w:r w:rsidRPr="008F4DF9">
              <w:rPr>
                <w:color w:val="000000"/>
                <w:sz w:val="20"/>
                <w:szCs w:val="20"/>
              </w:rPr>
              <w:t>779</w:t>
            </w:r>
          </w:p>
        </w:tc>
      </w:tr>
      <w:tr w:rsidR="00B32336" w:rsidRPr="008F4DF9" w14:paraId="39CC76C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5D3DE9C"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Contribuciones voluntarias</w:t>
            </w:r>
          </w:p>
        </w:tc>
        <w:tc>
          <w:tcPr>
            <w:tcW w:w="1303" w:type="dxa"/>
            <w:tcBorders>
              <w:top w:val="nil"/>
              <w:left w:val="nil"/>
              <w:bottom w:val="single" w:sz="4" w:space="0" w:color="auto"/>
              <w:right w:val="single" w:sz="4" w:space="0" w:color="auto"/>
            </w:tcBorders>
            <w:shd w:val="clear" w:color="auto" w:fill="auto"/>
            <w:noWrap/>
            <w:vAlign w:val="center"/>
            <w:hideMark/>
          </w:tcPr>
          <w:p w14:paraId="4C0FDCEA" w14:textId="3EA7C9B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r w:rsidR="00652E0C" w:rsidRPr="008F4DF9">
              <w:rPr>
                <w:color w:val="000000"/>
                <w:sz w:val="20"/>
                <w:szCs w:val="20"/>
              </w:rPr>
              <w:t> </w:t>
            </w:r>
            <w:r w:rsidRPr="008F4DF9">
              <w:rPr>
                <w:color w:val="000000"/>
                <w:sz w:val="20"/>
                <w:szCs w:val="20"/>
              </w:rPr>
              <w:t>065</w:t>
            </w:r>
          </w:p>
        </w:tc>
        <w:tc>
          <w:tcPr>
            <w:tcW w:w="1258" w:type="dxa"/>
            <w:tcBorders>
              <w:top w:val="nil"/>
              <w:left w:val="nil"/>
              <w:bottom w:val="single" w:sz="4" w:space="0" w:color="auto"/>
              <w:right w:val="single" w:sz="4" w:space="0" w:color="auto"/>
            </w:tcBorders>
            <w:shd w:val="clear" w:color="auto" w:fill="auto"/>
            <w:noWrap/>
            <w:vAlign w:val="center"/>
            <w:hideMark/>
          </w:tcPr>
          <w:p w14:paraId="179AD97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2A95AFF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4B8CEC6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7856ECEF" w14:textId="7A26A722"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r w:rsidR="00652E0C" w:rsidRPr="008F4DF9">
              <w:rPr>
                <w:color w:val="000000"/>
                <w:sz w:val="20"/>
                <w:szCs w:val="20"/>
              </w:rPr>
              <w:t> </w:t>
            </w:r>
            <w:r w:rsidRPr="008F4DF9">
              <w:rPr>
                <w:color w:val="000000"/>
                <w:sz w:val="20"/>
                <w:szCs w:val="20"/>
              </w:rPr>
              <w:t>065</w:t>
            </w:r>
          </w:p>
        </w:tc>
      </w:tr>
      <w:tr w:rsidR="00B32336" w:rsidRPr="008F4DF9" w14:paraId="47F878D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3F55DC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Impuesto sobre la renta</w:t>
            </w:r>
          </w:p>
        </w:tc>
        <w:tc>
          <w:tcPr>
            <w:tcW w:w="1303" w:type="dxa"/>
            <w:tcBorders>
              <w:top w:val="nil"/>
              <w:left w:val="nil"/>
              <w:bottom w:val="single" w:sz="4" w:space="0" w:color="auto"/>
              <w:right w:val="single" w:sz="4" w:space="0" w:color="auto"/>
            </w:tcBorders>
            <w:shd w:val="clear" w:color="auto" w:fill="auto"/>
            <w:noWrap/>
            <w:vAlign w:val="center"/>
            <w:hideMark/>
          </w:tcPr>
          <w:p w14:paraId="271B589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225</w:t>
            </w:r>
          </w:p>
        </w:tc>
        <w:tc>
          <w:tcPr>
            <w:tcW w:w="1258" w:type="dxa"/>
            <w:tcBorders>
              <w:top w:val="nil"/>
              <w:left w:val="nil"/>
              <w:bottom w:val="single" w:sz="4" w:space="0" w:color="auto"/>
              <w:right w:val="single" w:sz="4" w:space="0" w:color="auto"/>
            </w:tcBorders>
            <w:shd w:val="clear" w:color="auto" w:fill="auto"/>
            <w:noWrap/>
            <w:vAlign w:val="center"/>
            <w:hideMark/>
          </w:tcPr>
          <w:p w14:paraId="5F223C7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F75C5F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19</w:t>
            </w:r>
          </w:p>
        </w:tc>
        <w:tc>
          <w:tcPr>
            <w:tcW w:w="1367" w:type="dxa"/>
            <w:tcBorders>
              <w:top w:val="nil"/>
              <w:left w:val="nil"/>
              <w:bottom w:val="single" w:sz="4" w:space="0" w:color="auto"/>
              <w:right w:val="single" w:sz="4" w:space="0" w:color="auto"/>
            </w:tcBorders>
            <w:shd w:val="clear" w:color="auto" w:fill="auto"/>
            <w:noWrap/>
            <w:vAlign w:val="center"/>
            <w:hideMark/>
          </w:tcPr>
          <w:p w14:paraId="24388BC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2857B64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244</w:t>
            </w:r>
          </w:p>
        </w:tc>
      </w:tr>
      <w:tr w:rsidR="00B32336" w:rsidRPr="008F4DF9" w14:paraId="2FF28360"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241A388"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Otros ingresos (incluyendo ingresos por intereses)</w:t>
            </w:r>
          </w:p>
        </w:tc>
        <w:tc>
          <w:tcPr>
            <w:tcW w:w="1303" w:type="dxa"/>
            <w:tcBorders>
              <w:top w:val="nil"/>
              <w:left w:val="nil"/>
              <w:bottom w:val="single" w:sz="4" w:space="0" w:color="auto"/>
              <w:right w:val="single" w:sz="4" w:space="0" w:color="auto"/>
            </w:tcBorders>
            <w:shd w:val="clear" w:color="auto" w:fill="auto"/>
            <w:noWrap/>
            <w:vAlign w:val="center"/>
            <w:hideMark/>
          </w:tcPr>
          <w:p w14:paraId="4B2B6BC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12</w:t>
            </w:r>
          </w:p>
        </w:tc>
        <w:tc>
          <w:tcPr>
            <w:tcW w:w="1258" w:type="dxa"/>
            <w:tcBorders>
              <w:top w:val="nil"/>
              <w:left w:val="nil"/>
              <w:bottom w:val="single" w:sz="4" w:space="0" w:color="auto"/>
              <w:right w:val="single" w:sz="4" w:space="0" w:color="auto"/>
            </w:tcBorders>
            <w:shd w:val="clear" w:color="auto" w:fill="auto"/>
            <w:noWrap/>
            <w:vAlign w:val="center"/>
            <w:hideMark/>
          </w:tcPr>
          <w:p w14:paraId="5BD377A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5AA330B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4191BD6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0F1B936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12</w:t>
            </w:r>
          </w:p>
        </w:tc>
      </w:tr>
      <w:tr w:rsidR="00B32336" w:rsidRPr="008F4DF9" w14:paraId="41DBB415"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05A6D31E" w14:textId="10CF3FF7" w:rsidR="00B32336" w:rsidRPr="008F4DF9" w:rsidRDefault="009154DA" w:rsidP="00B32336">
            <w:pPr>
              <w:ind w:left="0" w:firstLine="0"/>
              <w:rPr>
                <w:rFonts w:eastAsia="Times New Roman" w:cs="Calibri"/>
                <w:b/>
                <w:bCs/>
                <w:color w:val="000000"/>
                <w:sz w:val="20"/>
                <w:szCs w:val="20"/>
              </w:rPr>
            </w:pPr>
            <w:r>
              <w:rPr>
                <w:b/>
                <w:bCs/>
                <w:color w:val="000000"/>
                <w:sz w:val="20"/>
                <w:szCs w:val="20"/>
              </w:rPr>
              <w:t>TOTAL,</w:t>
            </w:r>
            <w:r w:rsidR="00B32336" w:rsidRPr="008F4DF9">
              <w:rPr>
                <w:b/>
                <w:bCs/>
                <w:color w:val="000000"/>
                <w:sz w:val="20"/>
                <w:szCs w:val="20"/>
              </w:rPr>
              <w:t xml:space="preserve"> INGRESOS</w:t>
            </w:r>
          </w:p>
        </w:tc>
        <w:tc>
          <w:tcPr>
            <w:tcW w:w="1303" w:type="dxa"/>
            <w:tcBorders>
              <w:top w:val="nil"/>
              <w:left w:val="nil"/>
              <w:bottom w:val="single" w:sz="4" w:space="0" w:color="auto"/>
              <w:right w:val="single" w:sz="4" w:space="0" w:color="auto"/>
            </w:tcBorders>
            <w:shd w:val="clear" w:color="000000" w:fill="EAF1DD"/>
            <w:noWrap/>
            <w:vAlign w:val="center"/>
            <w:hideMark/>
          </w:tcPr>
          <w:p w14:paraId="6BFDE62F" w14:textId="28201068"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w:t>
            </w:r>
            <w:r w:rsidR="00652E0C" w:rsidRPr="008F4DF9">
              <w:rPr>
                <w:b/>
                <w:bCs/>
                <w:color w:val="000000"/>
                <w:sz w:val="20"/>
                <w:szCs w:val="20"/>
              </w:rPr>
              <w:t> </w:t>
            </w:r>
            <w:r w:rsidRPr="008F4DF9">
              <w:rPr>
                <w:b/>
                <w:bCs/>
                <w:color w:val="000000"/>
                <w:sz w:val="20"/>
                <w:szCs w:val="20"/>
              </w:rPr>
              <w:t>081</w:t>
            </w:r>
          </w:p>
        </w:tc>
        <w:tc>
          <w:tcPr>
            <w:tcW w:w="1258" w:type="dxa"/>
            <w:tcBorders>
              <w:top w:val="nil"/>
              <w:left w:val="nil"/>
              <w:bottom w:val="single" w:sz="4" w:space="0" w:color="auto"/>
              <w:right w:val="single" w:sz="4" w:space="0" w:color="auto"/>
            </w:tcBorders>
            <w:shd w:val="clear" w:color="000000" w:fill="EAF1DD"/>
            <w:noWrap/>
            <w:vAlign w:val="center"/>
            <w:hideMark/>
          </w:tcPr>
          <w:p w14:paraId="06749370"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4148D4A1"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19</w:t>
            </w:r>
          </w:p>
        </w:tc>
        <w:tc>
          <w:tcPr>
            <w:tcW w:w="1367" w:type="dxa"/>
            <w:tcBorders>
              <w:top w:val="nil"/>
              <w:left w:val="nil"/>
              <w:bottom w:val="single" w:sz="4" w:space="0" w:color="auto"/>
              <w:right w:val="single" w:sz="4" w:space="0" w:color="auto"/>
            </w:tcBorders>
            <w:shd w:val="clear" w:color="000000" w:fill="EAF1DD"/>
            <w:noWrap/>
            <w:vAlign w:val="center"/>
            <w:hideMark/>
          </w:tcPr>
          <w:p w14:paraId="2211ED05"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328" w:type="dxa"/>
            <w:tcBorders>
              <w:top w:val="nil"/>
              <w:left w:val="nil"/>
              <w:bottom w:val="single" w:sz="4" w:space="0" w:color="auto"/>
              <w:right w:val="single" w:sz="4" w:space="0" w:color="auto"/>
            </w:tcBorders>
            <w:shd w:val="clear" w:color="000000" w:fill="EAF1DD"/>
            <w:noWrap/>
            <w:vAlign w:val="center"/>
            <w:hideMark/>
          </w:tcPr>
          <w:p w14:paraId="24BEAC10" w14:textId="48D8B4FA"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w:t>
            </w:r>
            <w:r w:rsidR="00652E0C" w:rsidRPr="008F4DF9">
              <w:rPr>
                <w:b/>
                <w:bCs/>
                <w:color w:val="000000"/>
                <w:sz w:val="20"/>
                <w:szCs w:val="20"/>
              </w:rPr>
              <w:t> </w:t>
            </w:r>
            <w:r w:rsidRPr="008F4DF9">
              <w:rPr>
                <w:b/>
                <w:bCs/>
                <w:color w:val="000000"/>
                <w:sz w:val="20"/>
                <w:szCs w:val="20"/>
              </w:rPr>
              <w:t>100</w:t>
            </w:r>
          </w:p>
        </w:tc>
      </w:tr>
      <w:tr w:rsidR="00B32336" w:rsidRPr="008F4DF9" w14:paraId="61BCB5A7" w14:textId="77777777"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14:paraId="69523D7E" w14:textId="77777777" w:rsidR="000308D5" w:rsidRPr="008F4DF9" w:rsidRDefault="000308D5" w:rsidP="00B32336">
            <w:pPr>
              <w:ind w:left="0" w:firstLine="0"/>
              <w:rPr>
                <w:rFonts w:eastAsia="Times New Roman" w:cs="Calibri"/>
                <w:b/>
                <w:bCs/>
                <w:color w:val="000000"/>
                <w:sz w:val="20"/>
                <w:szCs w:val="20"/>
                <w:lang w:eastAsia="en-GB"/>
              </w:rPr>
            </w:pPr>
          </w:p>
          <w:p w14:paraId="24987467" w14:textId="7A370389" w:rsidR="00B32336" w:rsidRPr="008F4DF9" w:rsidRDefault="000308D5" w:rsidP="00B32336">
            <w:pPr>
              <w:ind w:left="0" w:firstLine="0"/>
              <w:rPr>
                <w:rFonts w:eastAsia="Times New Roman" w:cs="Calibri"/>
                <w:b/>
                <w:bCs/>
                <w:color w:val="000000"/>
                <w:sz w:val="20"/>
                <w:szCs w:val="20"/>
              </w:rPr>
            </w:pPr>
            <w:r w:rsidRPr="008F4DF9">
              <w:rPr>
                <w:b/>
                <w:bCs/>
                <w:color w:val="000000"/>
                <w:sz w:val="20"/>
                <w:szCs w:val="20"/>
              </w:rPr>
              <w:t>GASTOS</w:t>
            </w:r>
          </w:p>
        </w:tc>
        <w:tc>
          <w:tcPr>
            <w:tcW w:w="1303" w:type="dxa"/>
            <w:tcBorders>
              <w:top w:val="nil"/>
              <w:left w:val="nil"/>
              <w:bottom w:val="nil"/>
              <w:right w:val="nil"/>
            </w:tcBorders>
            <w:shd w:val="clear" w:color="auto" w:fill="auto"/>
            <w:noWrap/>
            <w:vAlign w:val="bottom"/>
            <w:hideMark/>
          </w:tcPr>
          <w:p w14:paraId="07B6670B" w14:textId="77777777" w:rsidR="00B32336" w:rsidRPr="008F4DF9"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bottom"/>
            <w:hideMark/>
          </w:tcPr>
          <w:p w14:paraId="7B9BB961" w14:textId="77777777" w:rsidR="00B32336" w:rsidRPr="008F4DF9"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14:paraId="2023BAC5" w14:textId="77777777" w:rsidR="00B32336" w:rsidRPr="008F4DF9"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14:paraId="15C0ED36" w14:textId="77777777" w:rsidR="00B32336" w:rsidRPr="008F4DF9"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2558FBB3" w14:textId="77777777" w:rsidR="00B32336" w:rsidRPr="008F4DF9" w:rsidRDefault="00B32336" w:rsidP="00B32336">
            <w:pPr>
              <w:ind w:left="0" w:firstLine="0"/>
              <w:rPr>
                <w:rFonts w:ascii="Arial" w:eastAsia="Times New Roman" w:hAnsi="Arial" w:cs="Arial"/>
                <w:color w:val="000000"/>
                <w:sz w:val="20"/>
                <w:szCs w:val="20"/>
              </w:rPr>
            </w:pPr>
            <w:r w:rsidRPr="008F4DF9">
              <w:rPr>
                <w:rFonts w:ascii="Arial" w:hAnsi="Arial"/>
                <w:color w:val="000000"/>
                <w:sz w:val="20"/>
                <w:szCs w:val="20"/>
              </w:rPr>
              <w:t> </w:t>
            </w:r>
          </w:p>
        </w:tc>
      </w:tr>
      <w:tr w:rsidR="00B32336" w:rsidRPr="008F4DF9" w14:paraId="1A0D39D6"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1F91A747"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 Personal directivo de la Secretaría</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31CB1FF1" w14:textId="71B22DE8"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009</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58952F86"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6E4D12C0"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1DD53F3F"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126</w:t>
            </w:r>
          </w:p>
        </w:tc>
        <w:tc>
          <w:tcPr>
            <w:tcW w:w="1328" w:type="dxa"/>
            <w:tcBorders>
              <w:top w:val="nil"/>
              <w:left w:val="nil"/>
              <w:bottom w:val="single" w:sz="4" w:space="0" w:color="auto"/>
              <w:right w:val="single" w:sz="4" w:space="0" w:color="auto"/>
            </w:tcBorders>
            <w:shd w:val="clear" w:color="000000" w:fill="EAF1DD"/>
            <w:noWrap/>
            <w:vAlign w:val="center"/>
            <w:hideMark/>
          </w:tcPr>
          <w:p w14:paraId="18E81228" w14:textId="7268958E"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140</w:t>
            </w:r>
          </w:p>
        </w:tc>
      </w:tr>
      <w:tr w:rsidR="00B32336" w:rsidRPr="008F4DF9" w14:paraId="64C420C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8708E27"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Salarios y gastos sociales</w:t>
            </w:r>
          </w:p>
        </w:tc>
        <w:tc>
          <w:tcPr>
            <w:tcW w:w="1303" w:type="dxa"/>
            <w:tcBorders>
              <w:top w:val="nil"/>
              <w:left w:val="nil"/>
              <w:bottom w:val="single" w:sz="4" w:space="0" w:color="auto"/>
              <w:right w:val="single" w:sz="4" w:space="0" w:color="auto"/>
            </w:tcBorders>
            <w:shd w:val="clear" w:color="auto" w:fill="auto"/>
            <w:noWrap/>
            <w:vAlign w:val="center"/>
            <w:hideMark/>
          </w:tcPr>
          <w:p w14:paraId="610A259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918</w:t>
            </w:r>
          </w:p>
        </w:tc>
        <w:tc>
          <w:tcPr>
            <w:tcW w:w="1258" w:type="dxa"/>
            <w:tcBorders>
              <w:top w:val="nil"/>
              <w:left w:val="nil"/>
              <w:bottom w:val="single" w:sz="4" w:space="0" w:color="auto"/>
              <w:right w:val="single" w:sz="4" w:space="0" w:color="auto"/>
            </w:tcBorders>
            <w:shd w:val="clear" w:color="auto" w:fill="auto"/>
            <w:noWrap/>
            <w:vAlign w:val="center"/>
            <w:hideMark/>
          </w:tcPr>
          <w:p w14:paraId="5D51E1C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294EB4A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4B74669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71</w:t>
            </w:r>
          </w:p>
        </w:tc>
        <w:tc>
          <w:tcPr>
            <w:tcW w:w="1328" w:type="dxa"/>
            <w:tcBorders>
              <w:top w:val="nil"/>
              <w:left w:val="nil"/>
              <w:bottom w:val="single" w:sz="4" w:space="0" w:color="auto"/>
              <w:right w:val="single" w:sz="4" w:space="0" w:color="auto"/>
            </w:tcBorders>
            <w:shd w:val="clear" w:color="auto" w:fill="auto"/>
            <w:noWrap/>
            <w:vAlign w:val="center"/>
            <w:hideMark/>
          </w:tcPr>
          <w:p w14:paraId="4B8FBFF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989</w:t>
            </w:r>
          </w:p>
        </w:tc>
      </w:tr>
      <w:tr w:rsidR="00B32336" w:rsidRPr="008F4DF9" w14:paraId="0705DFB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32B298B"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Otras prestaciones laborales</w:t>
            </w:r>
          </w:p>
        </w:tc>
        <w:tc>
          <w:tcPr>
            <w:tcW w:w="1303" w:type="dxa"/>
            <w:tcBorders>
              <w:top w:val="nil"/>
              <w:left w:val="nil"/>
              <w:bottom w:val="single" w:sz="4" w:space="0" w:color="auto"/>
              <w:right w:val="single" w:sz="4" w:space="0" w:color="auto"/>
            </w:tcBorders>
            <w:shd w:val="clear" w:color="auto" w:fill="auto"/>
            <w:noWrap/>
            <w:vAlign w:val="center"/>
            <w:hideMark/>
          </w:tcPr>
          <w:p w14:paraId="39E5A7D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51</w:t>
            </w:r>
          </w:p>
        </w:tc>
        <w:tc>
          <w:tcPr>
            <w:tcW w:w="1258" w:type="dxa"/>
            <w:tcBorders>
              <w:top w:val="nil"/>
              <w:left w:val="nil"/>
              <w:bottom w:val="single" w:sz="4" w:space="0" w:color="auto"/>
              <w:right w:val="single" w:sz="4" w:space="0" w:color="auto"/>
            </w:tcBorders>
            <w:shd w:val="clear" w:color="auto" w:fill="auto"/>
            <w:noWrap/>
            <w:vAlign w:val="center"/>
            <w:hideMark/>
          </w:tcPr>
          <w:p w14:paraId="3A65B87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B630F7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525423D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36</w:t>
            </w:r>
          </w:p>
        </w:tc>
        <w:tc>
          <w:tcPr>
            <w:tcW w:w="1328" w:type="dxa"/>
            <w:tcBorders>
              <w:top w:val="nil"/>
              <w:left w:val="nil"/>
              <w:bottom w:val="single" w:sz="4" w:space="0" w:color="auto"/>
              <w:right w:val="single" w:sz="4" w:space="0" w:color="auto"/>
            </w:tcBorders>
            <w:shd w:val="clear" w:color="auto" w:fill="auto"/>
            <w:noWrap/>
            <w:vAlign w:val="center"/>
            <w:hideMark/>
          </w:tcPr>
          <w:p w14:paraId="00EFB52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87</w:t>
            </w:r>
          </w:p>
        </w:tc>
      </w:tr>
      <w:tr w:rsidR="00B32336" w:rsidRPr="008F4DF9" w14:paraId="0BB0A03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764C9C0"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w:t>
            </w:r>
          </w:p>
        </w:tc>
        <w:tc>
          <w:tcPr>
            <w:tcW w:w="1303" w:type="dxa"/>
            <w:tcBorders>
              <w:top w:val="nil"/>
              <w:left w:val="nil"/>
              <w:bottom w:val="single" w:sz="4" w:space="0" w:color="auto"/>
              <w:right w:val="single" w:sz="4" w:space="0" w:color="auto"/>
            </w:tcBorders>
            <w:shd w:val="clear" w:color="auto" w:fill="auto"/>
            <w:noWrap/>
            <w:vAlign w:val="center"/>
            <w:hideMark/>
          </w:tcPr>
          <w:p w14:paraId="409C8E4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40</w:t>
            </w:r>
          </w:p>
        </w:tc>
        <w:tc>
          <w:tcPr>
            <w:tcW w:w="1258" w:type="dxa"/>
            <w:tcBorders>
              <w:top w:val="nil"/>
              <w:left w:val="nil"/>
              <w:bottom w:val="single" w:sz="4" w:space="0" w:color="auto"/>
              <w:right w:val="single" w:sz="4" w:space="0" w:color="auto"/>
            </w:tcBorders>
            <w:shd w:val="clear" w:color="auto" w:fill="auto"/>
            <w:noWrap/>
            <w:vAlign w:val="center"/>
            <w:hideMark/>
          </w:tcPr>
          <w:p w14:paraId="510BDD0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286" w:type="dxa"/>
            <w:tcBorders>
              <w:top w:val="nil"/>
              <w:left w:val="nil"/>
              <w:bottom w:val="single" w:sz="4" w:space="0" w:color="auto"/>
              <w:right w:val="single" w:sz="4" w:space="0" w:color="auto"/>
            </w:tcBorders>
            <w:shd w:val="clear" w:color="auto" w:fill="auto"/>
            <w:noWrap/>
            <w:vAlign w:val="center"/>
            <w:hideMark/>
          </w:tcPr>
          <w:p w14:paraId="4F2A33F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2119A62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18</w:t>
            </w:r>
          </w:p>
        </w:tc>
        <w:tc>
          <w:tcPr>
            <w:tcW w:w="1328" w:type="dxa"/>
            <w:tcBorders>
              <w:top w:val="nil"/>
              <w:left w:val="nil"/>
              <w:bottom w:val="single" w:sz="4" w:space="0" w:color="auto"/>
              <w:right w:val="single" w:sz="4" w:space="0" w:color="auto"/>
            </w:tcBorders>
            <w:shd w:val="clear" w:color="auto" w:fill="auto"/>
            <w:noWrap/>
            <w:vAlign w:val="center"/>
            <w:hideMark/>
          </w:tcPr>
          <w:p w14:paraId="70085BA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63</w:t>
            </w:r>
          </w:p>
        </w:tc>
      </w:tr>
      <w:tr w:rsidR="00B32336" w:rsidRPr="008F4DF9" w14:paraId="40A90895"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11FFE8CE"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B. Movilización de recursos y promoción</w:t>
            </w:r>
          </w:p>
        </w:tc>
        <w:tc>
          <w:tcPr>
            <w:tcW w:w="1303" w:type="dxa"/>
            <w:tcBorders>
              <w:top w:val="nil"/>
              <w:left w:val="nil"/>
              <w:bottom w:val="single" w:sz="4" w:space="0" w:color="auto"/>
              <w:right w:val="single" w:sz="4" w:space="0" w:color="auto"/>
            </w:tcBorders>
            <w:shd w:val="clear" w:color="000000" w:fill="EAF1DD"/>
            <w:noWrap/>
            <w:vAlign w:val="center"/>
            <w:hideMark/>
          </w:tcPr>
          <w:p w14:paraId="2192D37F"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639</w:t>
            </w:r>
          </w:p>
        </w:tc>
        <w:tc>
          <w:tcPr>
            <w:tcW w:w="1258" w:type="dxa"/>
            <w:tcBorders>
              <w:top w:val="nil"/>
              <w:left w:val="nil"/>
              <w:bottom w:val="single" w:sz="4" w:space="0" w:color="auto"/>
              <w:right w:val="single" w:sz="4" w:space="0" w:color="auto"/>
            </w:tcBorders>
            <w:shd w:val="clear" w:color="000000" w:fill="EAF1DD"/>
            <w:noWrap/>
            <w:vAlign w:val="center"/>
            <w:hideMark/>
          </w:tcPr>
          <w:p w14:paraId="18C86C81"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45</w:t>
            </w:r>
          </w:p>
        </w:tc>
        <w:tc>
          <w:tcPr>
            <w:tcW w:w="1286" w:type="dxa"/>
            <w:tcBorders>
              <w:top w:val="nil"/>
              <w:left w:val="nil"/>
              <w:bottom w:val="single" w:sz="4" w:space="0" w:color="auto"/>
              <w:right w:val="single" w:sz="4" w:space="0" w:color="auto"/>
            </w:tcBorders>
            <w:shd w:val="clear" w:color="000000" w:fill="EAF1DD"/>
            <w:noWrap/>
            <w:vAlign w:val="center"/>
            <w:hideMark/>
          </w:tcPr>
          <w:p w14:paraId="5BF761A2"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81</w:t>
            </w:r>
          </w:p>
        </w:tc>
        <w:tc>
          <w:tcPr>
            <w:tcW w:w="1367" w:type="dxa"/>
            <w:tcBorders>
              <w:top w:val="nil"/>
              <w:left w:val="nil"/>
              <w:bottom w:val="single" w:sz="4" w:space="0" w:color="auto"/>
              <w:right w:val="single" w:sz="4" w:space="0" w:color="auto"/>
            </w:tcBorders>
            <w:shd w:val="clear" w:color="000000" w:fill="EAF1DD"/>
            <w:noWrap/>
            <w:vAlign w:val="center"/>
            <w:hideMark/>
          </w:tcPr>
          <w:p w14:paraId="3C697CB6"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269</w:t>
            </w:r>
          </w:p>
        </w:tc>
        <w:tc>
          <w:tcPr>
            <w:tcW w:w="1328" w:type="dxa"/>
            <w:tcBorders>
              <w:top w:val="nil"/>
              <w:left w:val="nil"/>
              <w:bottom w:val="single" w:sz="4" w:space="0" w:color="auto"/>
              <w:right w:val="single" w:sz="4" w:space="0" w:color="auto"/>
            </w:tcBorders>
            <w:shd w:val="clear" w:color="000000" w:fill="EAF1DD"/>
            <w:noWrap/>
            <w:vAlign w:val="center"/>
            <w:hideMark/>
          </w:tcPr>
          <w:p w14:paraId="35E22B6F" w14:textId="3F9D9DDB"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033</w:t>
            </w:r>
          </w:p>
        </w:tc>
      </w:tr>
      <w:tr w:rsidR="00B32336" w:rsidRPr="008F4DF9" w14:paraId="6F0798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FBB0C01"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Salarios y gastos sociales</w:t>
            </w:r>
          </w:p>
        </w:tc>
        <w:tc>
          <w:tcPr>
            <w:tcW w:w="1303" w:type="dxa"/>
            <w:tcBorders>
              <w:top w:val="nil"/>
              <w:left w:val="nil"/>
              <w:bottom w:val="single" w:sz="4" w:space="0" w:color="auto"/>
              <w:right w:val="single" w:sz="4" w:space="0" w:color="auto"/>
            </w:tcBorders>
            <w:shd w:val="clear" w:color="auto" w:fill="auto"/>
            <w:noWrap/>
            <w:vAlign w:val="center"/>
            <w:hideMark/>
          </w:tcPr>
          <w:p w14:paraId="35C84DF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450</w:t>
            </w:r>
          </w:p>
        </w:tc>
        <w:tc>
          <w:tcPr>
            <w:tcW w:w="1258" w:type="dxa"/>
            <w:tcBorders>
              <w:top w:val="nil"/>
              <w:left w:val="nil"/>
              <w:bottom w:val="single" w:sz="4" w:space="0" w:color="auto"/>
              <w:right w:val="single" w:sz="4" w:space="0" w:color="auto"/>
            </w:tcBorders>
            <w:shd w:val="clear" w:color="auto" w:fill="auto"/>
            <w:noWrap/>
            <w:vAlign w:val="center"/>
            <w:hideMark/>
          </w:tcPr>
          <w:p w14:paraId="6063E12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72C0BE7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758221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184</w:t>
            </w:r>
          </w:p>
        </w:tc>
        <w:tc>
          <w:tcPr>
            <w:tcW w:w="1328" w:type="dxa"/>
            <w:tcBorders>
              <w:top w:val="nil"/>
              <w:left w:val="nil"/>
              <w:bottom w:val="single" w:sz="4" w:space="0" w:color="auto"/>
              <w:right w:val="single" w:sz="4" w:space="0" w:color="auto"/>
            </w:tcBorders>
            <w:shd w:val="clear" w:color="auto" w:fill="auto"/>
            <w:noWrap/>
            <w:vAlign w:val="center"/>
            <w:hideMark/>
          </w:tcPr>
          <w:p w14:paraId="3B20A93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634</w:t>
            </w:r>
          </w:p>
        </w:tc>
      </w:tr>
      <w:tr w:rsidR="00B32336" w:rsidRPr="008F4DF9" w14:paraId="161F646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1787FC3"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Otras prestaciones laborales</w:t>
            </w:r>
          </w:p>
        </w:tc>
        <w:tc>
          <w:tcPr>
            <w:tcW w:w="1303" w:type="dxa"/>
            <w:tcBorders>
              <w:top w:val="nil"/>
              <w:left w:val="nil"/>
              <w:bottom w:val="single" w:sz="4" w:space="0" w:color="auto"/>
              <w:right w:val="single" w:sz="4" w:space="0" w:color="auto"/>
            </w:tcBorders>
            <w:shd w:val="clear" w:color="auto" w:fill="auto"/>
            <w:noWrap/>
            <w:vAlign w:val="center"/>
            <w:hideMark/>
          </w:tcPr>
          <w:p w14:paraId="56CA12C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258" w:type="dxa"/>
            <w:tcBorders>
              <w:top w:val="nil"/>
              <w:left w:val="nil"/>
              <w:bottom w:val="single" w:sz="4" w:space="0" w:color="auto"/>
              <w:right w:val="single" w:sz="4" w:space="0" w:color="auto"/>
            </w:tcBorders>
            <w:shd w:val="clear" w:color="auto" w:fill="auto"/>
            <w:noWrap/>
            <w:vAlign w:val="center"/>
            <w:hideMark/>
          </w:tcPr>
          <w:p w14:paraId="213EA22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7ADF677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790398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328" w:type="dxa"/>
            <w:tcBorders>
              <w:top w:val="nil"/>
              <w:left w:val="nil"/>
              <w:bottom w:val="single" w:sz="4" w:space="0" w:color="auto"/>
              <w:right w:val="single" w:sz="4" w:space="0" w:color="auto"/>
            </w:tcBorders>
            <w:shd w:val="clear" w:color="auto" w:fill="auto"/>
            <w:noWrap/>
            <w:vAlign w:val="center"/>
            <w:hideMark/>
          </w:tcPr>
          <w:p w14:paraId="22FB19F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r>
      <w:tr w:rsidR="00B32336" w:rsidRPr="008F4DF9" w14:paraId="7D8E0E74"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D5CB20B"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Programa de CECoP</w:t>
            </w:r>
          </w:p>
        </w:tc>
        <w:tc>
          <w:tcPr>
            <w:tcW w:w="1303" w:type="dxa"/>
            <w:tcBorders>
              <w:top w:val="nil"/>
              <w:left w:val="nil"/>
              <w:bottom w:val="single" w:sz="4" w:space="0" w:color="auto"/>
              <w:right w:val="single" w:sz="4" w:space="0" w:color="auto"/>
            </w:tcBorders>
            <w:shd w:val="clear" w:color="auto" w:fill="auto"/>
            <w:noWrap/>
            <w:vAlign w:val="center"/>
            <w:hideMark/>
          </w:tcPr>
          <w:p w14:paraId="782720E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30</w:t>
            </w:r>
          </w:p>
        </w:tc>
        <w:tc>
          <w:tcPr>
            <w:tcW w:w="1258" w:type="dxa"/>
            <w:tcBorders>
              <w:top w:val="nil"/>
              <w:left w:val="nil"/>
              <w:bottom w:val="single" w:sz="4" w:space="0" w:color="auto"/>
              <w:right w:val="single" w:sz="4" w:space="0" w:color="auto"/>
            </w:tcBorders>
            <w:shd w:val="clear" w:color="auto" w:fill="auto"/>
            <w:noWrap/>
            <w:vAlign w:val="center"/>
            <w:hideMark/>
          </w:tcPr>
          <w:p w14:paraId="1026B7C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8662AF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428BD48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23</w:t>
            </w:r>
          </w:p>
        </w:tc>
        <w:tc>
          <w:tcPr>
            <w:tcW w:w="1328" w:type="dxa"/>
            <w:tcBorders>
              <w:top w:val="nil"/>
              <w:left w:val="nil"/>
              <w:bottom w:val="single" w:sz="4" w:space="0" w:color="auto"/>
              <w:right w:val="single" w:sz="4" w:space="0" w:color="auto"/>
            </w:tcBorders>
            <w:shd w:val="clear" w:color="auto" w:fill="auto"/>
            <w:noWrap/>
            <w:vAlign w:val="center"/>
            <w:hideMark/>
          </w:tcPr>
          <w:p w14:paraId="0964DD6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54</w:t>
            </w:r>
          </w:p>
        </w:tc>
      </w:tr>
      <w:tr w:rsidR="00B32336" w:rsidRPr="008F4DF9" w14:paraId="6075A1F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vAlign w:val="center"/>
            <w:hideMark/>
          </w:tcPr>
          <w:p w14:paraId="4DCD8322"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Comunicaciones, traducciones, publicaciones e informes sobre la aplicación</w:t>
            </w:r>
          </w:p>
        </w:tc>
        <w:tc>
          <w:tcPr>
            <w:tcW w:w="1303" w:type="dxa"/>
            <w:tcBorders>
              <w:top w:val="nil"/>
              <w:left w:val="nil"/>
              <w:bottom w:val="single" w:sz="4" w:space="0" w:color="auto"/>
              <w:right w:val="single" w:sz="4" w:space="0" w:color="auto"/>
            </w:tcBorders>
            <w:shd w:val="clear" w:color="auto" w:fill="auto"/>
            <w:noWrap/>
            <w:vAlign w:val="center"/>
            <w:hideMark/>
          </w:tcPr>
          <w:p w14:paraId="602C871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60</w:t>
            </w:r>
          </w:p>
        </w:tc>
        <w:tc>
          <w:tcPr>
            <w:tcW w:w="1258" w:type="dxa"/>
            <w:tcBorders>
              <w:top w:val="nil"/>
              <w:left w:val="nil"/>
              <w:bottom w:val="single" w:sz="4" w:space="0" w:color="auto"/>
              <w:right w:val="single" w:sz="4" w:space="0" w:color="auto"/>
            </w:tcBorders>
            <w:shd w:val="clear" w:color="auto" w:fill="auto"/>
            <w:noWrap/>
            <w:vAlign w:val="center"/>
            <w:hideMark/>
          </w:tcPr>
          <w:p w14:paraId="2747721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40</w:t>
            </w:r>
          </w:p>
        </w:tc>
        <w:tc>
          <w:tcPr>
            <w:tcW w:w="1286" w:type="dxa"/>
            <w:tcBorders>
              <w:top w:val="nil"/>
              <w:left w:val="nil"/>
              <w:bottom w:val="single" w:sz="4" w:space="0" w:color="auto"/>
              <w:right w:val="single" w:sz="4" w:space="0" w:color="auto"/>
            </w:tcBorders>
            <w:shd w:val="clear" w:color="auto" w:fill="auto"/>
            <w:noWrap/>
            <w:vAlign w:val="center"/>
            <w:hideMark/>
          </w:tcPr>
          <w:p w14:paraId="7AF0DC6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5446BE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56</w:t>
            </w:r>
          </w:p>
        </w:tc>
        <w:tc>
          <w:tcPr>
            <w:tcW w:w="1328" w:type="dxa"/>
            <w:tcBorders>
              <w:top w:val="nil"/>
              <w:left w:val="nil"/>
              <w:bottom w:val="single" w:sz="4" w:space="0" w:color="auto"/>
              <w:right w:val="single" w:sz="4" w:space="0" w:color="auto"/>
            </w:tcBorders>
            <w:shd w:val="clear" w:color="auto" w:fill="auto"/>
            <w:noWrap/>
            <w:vAlign w:val="center"/>
            <w:hideMark/>
          </w:tcPr>
          <w:p w14:paraId="2CEB785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156</w:t>
            </w:r>
          </w:p>
        </w:tc>
      </w:tr>
      <w:tr w:rsidR="00B32336" w:rsidRPr="008F4DF9" w14:paraId="26D7A04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BD439B5"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DMH y 50° Aniversario en 2021</w:t>
            </w:r>
          </w:p>
        </w:tc>
        <w:tc>
          <w:tcPr>
            <w:tcW w:w="1303" w:type="dxa"/>
            <w:tcBorders>
              <w:top w:val="nil"/>
              <w:left w:val="nil"/>
              <w:bottom w:val="single" w:sz="4" w:space="0" w:color="auto"/>
              <w:right w:val="single" w:sz="4" w:space="0" w:color="auto"/>
            </w:tcBorders>
            <w:shd w:val="clear" w:color="auto" w:fill="auto"/>
            <w:noWrap/>
            <w:vAlign w:val="center"/>
            <w:hideMark/>
          </w:tcPr>
          <w:p w14:paraId="37B6A39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74AE41E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5C230C4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43</w:t>
            </w:r>
          </w:p>
        </w:tc>
        <w:tc>
          <w:tcPr>
            <w:tcW w:w="1367" w:type="dxa"/>
            <w:tcBorders>
              <w:top w:val="nil"/>
              <w:left w:val="nil"/>
              <w:bottom w:val="single" w:sz="4" w:space="0" w:color="auto"/>
              <w:right w:val="single" w:sz="4" w:space="0" w:color="auto"/>
            </w:tcBorders>
            <w:shd w:val="clear" w:color="auto" w:fill="auto"/>
            <w:noWrap/>
            <w:vAlign w:val="center"/>
            <w:hideMark/>
          </w:tcPr>
          <w:p w14:paraId="479B56E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2D62154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43</w:t>
            </w:r>
          </w:p>
        </w:tc>
      </w:tr>
      <w:tr w:rsidR="00B32336" w:rsidRPr="008F4DF9" w14:paraId="6EF843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92BDECA"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Apoyo y desarrollo del sitio web/TI</w:t>
            </w:r>
          </w:p>
        </w:tc>
        <w:tc>
          <w:tcPr>
            <w:tcW w:w="1303" w:type="dxa"/>
            <w:tcBorders>
              <w:top w:val="nil"/>
              <w:left w:val="nil"/>
              <w:bottom w:val="single" w:sz="4" w:space="0" w:color="auto"/>
              <w:right w:val="single" w:sz="4" w:space="0" w:color="auto"/>
            </w:tcBorders>
            <w:shd w:val="clear" w:color="auto" w:fill="auto"/>
            <w:noWrap/>
            <w:vAlign w:val="center"/>
            <w:hideMark/>
          </w:tcPr>
          <w:p w14:paraId="630ECAE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84</w:t>
            </w:r>
          </w:p>
        </w:tc>
        <w:tc>
          <w:tcPr>
            <w:tcW w:w="1258" w:type="dxa"/>
            <w:tcBorders>
              <w:top w:val="nil"/>
              <w:left w:val="nil"/>
              <w:bottom w:val="single" w:sz="4" w:space="0" w:color="auto"/>
              <w:right w:val="single" w:sz="4" w:space="0" w:color="auto"/>
            </w:tcBorders>
            <w:shd w:val="clear" w:color="auto" w:fill="auto"/>
            <w:noWrap/>
            <w:vAlign w:val="center"/>
            <w:hideMark/>
          </w:tcPr>
          <w:p w14:paraId="498B638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376EB5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38</w:t>
            </w:r>
          </w:p>
        </w:tc>
        <w:tc>
          <w:tcPr>
            <w:tcW w:w="1367" w:type="dxa"/>
            <w:tcBorders>
              <w:top w:val="nil"/>
              <w:left w:val="nil"/>
              <w:bottom w:val="single" w:sz="4" w:space="0" w:color="auto"/>
              <w:right w:val="single" w:sz="4" w:space="0" w:color="auto"/>
            </w:tcBorders>
            <w:shd w:val="clear" w:color="auto" w:fill="auto"/>
            <w:noWrap/>
            <w:vAlign w:val="center"/>
            <w:hideMark/>
          </w:tcPr>
          <w:p w14:paraId="042E6D2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(14)</w:t>
            </w:r>
          </w:p>
        </w:tc>
        <w:tc>
          <w:tcPr>
            <w:tcW w:w="1328" w:type="dxa"/>
            <w:tcBorders>
              <w:top w:val="nil"/>
              <w:left w:val="nil"/>
              <w:bottom w:val="single" w:sz="4" w:space="0" w:color="auto"/>
              <w:right w:val="single" w:sz="4" w:space="0" w:color="auto"/>
            </w:tcBorders>
            <w:shd w:val="clear" w:color="auto" w:fill="auto"/>
            <w:noWrap/>
            <w:vAlign w:val="center"/>
            <w:hideMark/>
          </w:tcPr>
          <w:p w14:paraId="041D314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108</w:t>
            </w:r>
          </w:p>
        </w:tc>
      </w:tr>
      <w:tr w:rsidR="00B32336" w:rsidRPr="008F4DF9" w14:paraId="5A107B7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548A68D"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w:t>
            </w:r>
          </w:p>
        </w:tc>
        <w:tc>
          <w:tcPr>
            <w:tcW w:w="1303" w:type="dxa"/>
            <w:tcBorders>
              <w:top w:val="nil"/>
              <w:left w:val="nil"/>
              <w:bottom w:val="single" w:sz="4" w:space="0" w:color="auto"/>
              <w:right w:val="single" w:sz="4" w:space="0" w:color="auto"/>
            </w:tcBorders>
            <w:shd w:val="clear" w:color="auto" w:fill="auto"/>
            <w:noWrap/>
            <w:vAlign w:val="center"/>
            <w:hideMark/>
          </w:tcPr>
          <w:p w14:paraId="0F2A485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14:paraId="6424FDC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286" w:type="dxa"/>
            <w:tcBorders>
              <w:top w:val="nil"/>
              <w:left w:val="nil"/>
              <w:bottom w:val="single" w:sz="4" w:space="0" w:color="auto"/>
              <w:right w:val="single" w:sz="4" w:space="0" w:color="auto"/>
            </w:tcBorders>
            <w:shd w:val="clear" w:color="auto" w:fill="auto"/>
            <w:noWrap/>
            <w:vAlign w:val="center"/>
            <w:hideMark/>
          </w:tcPr>
          <w:p w14:paraId="7A28978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24A06E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15</w:t>
            </w:r>
          </w:p>
        </w:tc>
        <w:tc>
          <w:tcPr>
            <w:tcW w:w="1328" w:type="dxa"/>
            <w:tcBorders>
              <w:top w:val="nil"/>
              <w:left w:val="nil"/>
              <w:bottom w:val="single" w:sz="4" w:space="0" w:color="auto"/>
              <w:right w:val="single" w:sz="4" w:space="0" w:color="auto"/>
            </w:tcBorders>
            <w:shd w:val="clear" w:color="auto" w:fill="auto"/>
            <w:noWrap/>
            <w:vAlign w:val="center"/>
            <w:hideMark/>
          </w:tcPr>
          <w:p w14:paraId="6CF6FB3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30</w:t>
            </w:r>
          </w:p>
        </w:tc>
      </w:tr>
      <w:tr w:rsidR="00B32336" w:rsidRPr="008F4DF9" w14:paraId="0323D727"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455E941F"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C. Asesoramiento y apoyo regionales</w:t>
            </w:r>
          </w:p>
        </w:tc>
        <w:tc>
          <w:tcPr>
            <w:tcW w:w="1303" w:type="dxa"/>
            <w:tcBorders>
              <w:top w:val="nil"/>
              <w:left w:val="nil"/>
              <w:bottom w:val="single" w:sz="4" w:space="0" w:color="auto"/>
              <w:right w:val="single" w:sz="4" w:space="0" w:color="auto"/>
            </w:tcBorders>
            <w:shd w:val="clear" w:color="000000" w:fill="EAF1DD"/>
            <w:noWrap/>
            <w:vAlign w:val="center"/>
            <w:hideMark/>
          </w:tcPr>
          <w:p w14:paraId="5865530F" w14:textId="33A7AB46"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324</w:t>
            </w:r>
          </w:p>
        </w:tc>
        <w:tc>
          <w:tcPr>
            <w:tcW w:w="1258" w:type="dxa"/>
            <w:tcBorders>
              <w:top w:val="nil"/>
              <w:left w:val="nil"/>
              <w:bottom w:val="single" w:sz="4" w:space="0" w:color="auto"/>
              <w:right w:val="single" w:sz="4" w:space="0" w:color="auto"/>
            </w:tcBorders>
            <w:shd w:val="clear" w:color="000000" w:fill="EAF1DD"/>
            <w:noWrap/>
            <w:vAlign w:val="center"/>
            <w:hideMark/>
          </w:tcPr>
          <w:p w14:paraId="42305292"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10</w:t>
            </w:r>
          </w:p>
        </w:tc>
        <w:tc>
          <w:tcPr>
            <w:tcW w:w="1286" w:type="dxa"/>
            <w:tcBorders>
              <w:top w:val="nil"/>
              <w:left w:val="nil"/>
              <w:bottom w:val="single" w:sz="4" w:space="0" w:color="auto"/>
              <w:right w:val="single" w:sz="4" w:space="0" w:color="auto"/>
            </w:tcBorders>
            <w:shd w:val="clear" w:color="000000" w:fill="EAF1DD"/>
            <w:noWrap/>
            <w:vAlign w:val="center"/>
            <w:hideMark/>
          </w:tcPr>
          <w:p w14:paraId="52DC8900"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96</w:t>
            </w:r>
          </w:p>
        </w:tc>
        <w:tc>
          <w:tcPr>
            <w:tcW w:w="1367" w:type="dxa"/>
            <w:tcBorders>
              <w:top w:val="nil"/>
              <w:left w:val="nil"/>
              <w:bottom w:val="single" w:sz="4" w:space="0" w:color="auto"/>
              <w:right w:val="single" w:sz="4" w:space="0" w:color="auto"/>
            </w:tcBorders>
            <w:shd w:val="clear" w:color="000000" w:fill="EAF1DD"/>
            <w:noWrap/>
            <w:vAlign w:val="center"/>
            <w:hideMark/>
          </w:tcPr>
          <w:p w14:paraId="7180964B"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152</w:t>
            </w:r>
          </w:p>
        </w:tc>
        <w:tc>
          <w:tcPr>
            <w:tcW w:w="1328" w:type="dxa"/>
            <w:tcBorders>
              <w:top w:val="nil"/>
              <w:left w:val="nil"/>
              <w:bottom w:val="single" w:sz="4" w:space="0" w:color="auto"/>
              <w:right w:val="single" w:sz="4" w:space="0" w:color="auto"/>
            </w:tcBorders>
            <w:shd w:val="clear" w:color="000000" w:fill="EAF1DD"/>
            <w:noWrap/>
            <w:vAlign w:val="center"/>
            <w:hideMark/>
          </w:tcPr>
          <w:p w14:paraId="6D12BE85" w14:textId="52F90DEC"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582</w:t>
            </w:r>
          </w:p>
        </w:tc>
      </w:tr>
      <w:tr w:rsidR="00B32336" w:rsidRPr="008F4DF9" w14:paraId="41CE83E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10196C3"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Salarios y gastos sociales</w:t>
            </w:r>
          </w:p>
        </w:tc>
        <w:tc>
          <w:tcPr>
            <w:tcW w:w="1303" w:type="dxa"/>
            <w:tcBorders>
              <w:top w:val="nil"/>
              <w:left w:val="nil"/>
              <w:bottom w:val="single" w:sz="4" w:space="0" w:color="auto"/>
              <w:right w:val="single" w:sz="4" w:space="0" w:color="auto"/>
            </w:tcBorders>
            <w:shd w:val="clear" w:color="auto" w:fill="auto"/>
            <w:noWrap/>
            <w:vAlign w:val="center"/>
            <w:hideMark/>
          </w:tcPr>
          <w:p w14:paraId="05017509" w14:textId="5E0B8582"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r w:rsidR="00652E0C" w:rsidRPr="008F4DF9">
              <w:rPr>
                <w:color w:val="000000"/>
                <w:sz w:val="20"/>
                <w:szCs w:val="20"/>
              </w:rPr>
              <w:t> </w:t>
            </w:r>
            <w:r w:rsidRPr="008F4DF9">
              <w:rPr>
                <w:color w:val="000000"/>
                <w:sz w:val="20"/>
                <w:szCs w:val="20"/>
              </w:rPr>
              <w:t>178</w:t>
            </w:r>
          </w:p>
        </w:tc>
        <w:tc>
          <w:tcPr>
            <w:tcW w:w="1258" w:type="dxa"/>
            <w:tcBorders>
              <w:top w:val="nil"/>
              <w:left w:val="nil"/>
              <w:bottom w:val="single" w:sz="4" w:space="0" w:color="auto"/>
              <w:right w:val="single" w:sz="4" w:space="0" w:color="auto"/>
            </w:tcBorders>
            <w:shd w:val="clear" w:color="auto" w:fill="auto"/>
            <w:noWrap/>
            <w:vAlign w:val="center"/>
            <w:hideMark/>
          </w:tcPr>
          <w:p w14:paraId="23F39B9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53A5722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D18609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91</w:t>
            </w:r>
          </w:p>
        </w:tc>
        <w:tc>
          <w:tcPr>
            <w:tcW w:w="1328" w:type="dxa"/>
            <w:tcBorders>
              <w:top w:val="nil"/>
              <w:left w:val="nil"/>
              <w:bottom w:val="single" w:sz="4" w:space="0" w:color="auto"/>
              <w:right w:val="single" w:sz="4" w:space="0" w:color="auto"/>
            </w:tcBorders>
            <w:shd w:val="clear" w:color="auto" w:fill="auto"/>
            <w:noWrap/>
            <w:vAlign w:val="center"/>
            <w:hideMark/>
          </w:tcPr>
          <w:p w14:paraId="7B3F2DD7" w14:textId="583AEE3B"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r w:rsidR="00652E0C" w:rsidRPr="008F4DF9">
              <w:rPr>
                <w:color w:val="000000"/>
                <w:sz w:val="20"/>
                <w:szCs w:val="20"/>
              </w:rPr>
              <w:t> </w:t>
            </w:r>
            <w:r w:rsidRPr="008F4DF9">
              <w:rPr>
                <w:color w:val="000000"/>
                <w:sz w:val="20"/>
                <w:szCs w:val="20"/>
              </w:rPr>
              <w:t>269</w:t>
            </w:r>
          </w:p>
        </w:tc>
      </w:tr>
      <w:tr w:rsidR="00B32336" w:rsidRPr="008F4DF9" w14:paraId="514390A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AA6CC8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Otras prestaciones laborales</w:t>
            </w:r>
          </w:p>
        </w:tc>
        <w:tc>
          <w:tcPr>
            <w:tcW w:w="1303" w:type="dxa"/>
            <w:tcBorders>
              <w:top w:val="nil"/>
              <w:left w:val="nil"/>
              <w:bottom w:val="single" w:sz="4" w:space="0" w:color="auto"/>
              <w:right w:val="single" w:sz="4" w:space="0" w:color="auto"/>
            </w:tcBorders>
            <w:shd w:val="clear" w:color="auto" w:fill="auto"/>
            <w:noWrap/>
            <w:vAlign w:val="center"/>
            <w:hideMark/>
          </w:tcPr>
          <w:p w14:paraId="5C00EC7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71</w:t>
            </w:r>
          </w:p>
        </w:tc>
        <w:tc>
          <w:tcPr>
            <w:tcW w:w="1258" w:type="dxa"/>
            <w:tcBorders>
              <w:top w:val="nil"/>
              <w:left w:val="nil"/>
              <w:bottom w:val="single" w:sz="4" w:space="0" w:color="auto"/>
              <w:right w:val="single" w:sz="4" w:space="0" w:color="auto"/>
            </w:tcBorders>
            <w:shd w:val="clear" w:color="auto" w:fill="auto"/>
            <w:noWrap/>
            <w:vAlign w:val="center"/>
            <w:hideMark/>
          </w:tcPr>
          <w:p w14:paraId="2A7CB5D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D59222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2F7FB6E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40</w:t>
            </w:r>
          </w:p>
        </w:tc>
        <w:tc>
          <w:tcPr>
            <w:tcW w:w="1328" w:type="dxa"/>
            <w:tcBorders>
              <w:top w:val="nil"/>
              <w:left w:val="nil"/>
              <w:bottom w:val="single" w:sz="4" w:space="0" w:color="auto"/>
              <w:right w:val="single" w:sz="4" w:space="0" w:color="auto"/>
            </w:tcBorders>
            <w:shd w:val="clear" w:color="auto" w:fill="auto"/>
            <w:noWrap/>
            <w:vAlign w:val="center"/>
            <w:hideMark/>
          </w:tcPr>
          <w:p w14:paraId="51980D5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111</w:t>
            </w:r>
          </w:p>
        </w:tc>
      </w:tr>
      <w:tr w:rsidR="00B32336" w:rsidRPr="008F4DF9" w14:paraId="3F001C9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811214C"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w:t>
            </w:r>
          </w:p>
        </w:tc>
        <w:tc>
          <w:tcPr>
            <w:tcW w:w="1303" w:type="dxa"/>
            <w:tcBorders>
              <w:top w:val="nil"/>
              <w:left w:val="nil"/>
              <w:bottom w:val="single" w:sz="4" w:space="0" w:color="auto"/>
              <w:right w:val="single" w:sz="4" w:space="0" w:color="auto"/>
            </w:tcBorders>
            <w:shd w:val="clear" w:color="auto" w:fill="auto"/>
            <w:noWrap/>
            <w:vAlign w:val="center"/>
            <w:hideMark/>
          </w:tcPr>
          <w:p w14:paraId="3437372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75</w:t>
            </w:r>
          </w:p>
        </w:tc>
        <w:tc>
          <w:tcPr>
            <w:tcW w:w="1258" w:type="dxa"/>
            <w:tcBorders>
              <w:top w:val="nil"/>
              <w:left w:val="nil"/>
              <w:bottom w:val="single" w:sz="4" w:space="0" w:color="auto"/>
              <w:right w:val="single" w:sz="4" w:space="0" w:color="auto"/>
            </w:tcBorders>
            <w:shd w:val="clear" w:color="auto" w:fill="auto"/>
            <w:noWrap/>
            <w:vAlign w:val="center"/>
            <w:hideMark/>
          </w:tcPr>
          <w:p w14:paraId="454BA52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c>
          <w:tcPr>
            <w:tcW w:w="1286" w:type="dxa"/>
            <w:tcBorders>
              <w:top w:val="nil"/>
              <w:left w:val="nil"/>
              <w:bottom w:val="single" w:sz="4" w:space="0" w:color="auto"/>
              <w:right w:val="single" w:sz="4" w:space="0" w:color="auto"/>
            </w:tcBorders>
            <w:shd w:val="clear" w:color="auto" w:fill="auto"/>
            <w:noWrap/>
            <w:vAlign w:val="center"/>
            <w:hideMark/>
          </w:tcPr>
          <w:p w14:paraId="020B24F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0966EE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21</w:t>
            </w:r>
          </w:p>
        </w:tc>
        <w:tc>
          <w:tcPr>
            <w:tcW w:w="1328" w:type="dxa"/>
            <w:tcBorders>
              <w:top w:val="nil"/>
              <w:left w:val="nil"/>
              <w:bottom w:val="single" w:sz="4" w:space="0" w:color="auto"/>
              <w:right w:val="single" w:sz="4" w:space="0" w:color="auto"/>
            </w:tcBorders>
            <w:shd w:val="clear" w:color="auto" w:fill="auto"/>
            <w:noWrap/>
            <w:vAlign w:val="center"/>
            <w:hideMark/>
          </w:tcPr>
          <w:p w14:paraId="262A475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106</w:t>
            </w:r>
          </w:p>
        </w:tc>
      </w:tr>
      <w:tr w:rsidR="00B32336" w:rsidRPr="008F4DF9" w14:paraId="02C2D8E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2556579"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Misiones Ramsar de Asesoramiento</w:t>
            </w:r>
          </w:p>
        </w:tc>
        <w:tc>
          <w:tcPr>
            <w:tcW w:w="1303" w:type="dxa"/>
            <w:tcBorders>
              <w:top w:val="nil"/>
              <w:left w:val="nil"/>
              <w:bottom w:val="single" w:sz="4" w:space="0" w:color="auto"/>
              <w:right w:val="single" w:sz="4" w:space="0" w:color="auto"/>
            </w:tcBorders>
            <w:shd w:val="clear" w:color="auto" w:fill="auto"/>
            <w:noWrap/>
            <w:vAlign w:val="center"/>
            <w:hideMark/>
          </w:tcPr>
          <w:p w14:paraId="21228CF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458636B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48EF208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96</w:t>
            </w:r>
          </w:p>
        </w:tc>
        <w:tc>
          <w:tcPr>
            <w:tcW w:w="1367" w:type="dxa"/>
            <w:tcBorders>
              <w:top w:val="nil"/>
              <w:left w:val="nil"/>
              <w:bottom w:val="single" w:sz="4" w:space="0" w:color="auto"/>
              <w:right w:val="single" w:sz="4" w:space="0" w:color="auto"/>
            </w:tcBorders>
            <w:shd w:val="clear" w:color="auto" w:fill="auto"/>
            <w:noWrap/>
            <w:vAlign w:val="center"/>
            <w:hideMark/>
          </w:tcPr>
          <w:p w14:paraId="18BF4DB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7E14E5D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96</w:t>
            </w:r>
          </w:p>
        </w:tc>
      </w:tr>
      <w:tr w:rsidR="00B32336" w:rsidRPr="008F4DF9" w14:paraId="16E5F4FD"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0806ECCF"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D. Apoyo a las iniciativas regionales</w:t>
            </w:r>
          </w:p>
        </w:tc>
        <w:tc>
          <w:tcPr>
            <w:tcW w:w="1303" w:type="dxa"/>
            <w:tcBorders>
              <w:top w:val="nil"/>
              <w:left w:val="nil"/>
              <w:bottom w:val="single" w:sz="4" w:space="0" w:color="auto"/>
              <w:right w:val="single" w:sz="4" w:space="0" w:color="auto"/>
            </w:tcBorders>
            <w:shd w:val="clear" w:color="000000" w:fill="EAF1DD"/>
            <w:noWrap/>
            <w:vAlign w:val="center"/>
            <w:hideMark/>
          </w:tcPr>
          <w:p w14:paraId="0CB7761B"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100</w:t>
            </w:r>
          </w:p>
        </w:tc>
        <w:tc>
          <w:tcPr>
            <w:tcW w:w="1258" w:type="dxa"/>
            <w:tcBorders>
              <w:top w:val="nil"/>
              <w:left w:val="nil"/>
              <w:bottom w:val="single" w:sz="4" w:space="0" w:color="auto"/>
              <w:right w:val="single" w:sz="4" w:space="0" w:color="auto"/>
            </w:tcBorders>
            <w:shd w:val="clear" w:color="000000" w:fill="EAF1DD"/>
            <w:noWrap/>
            <w:vAlign w:val="center"/>
            <w:hideMark/>
          </w:tcPr>
          <w:p w14:paraId="753A970E"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63C1D9F1"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107</w:t>
            </w:r>
          </w:p>
        </w:tc>
        <w:tc>
          <w:tcPr>
            <w:tcW w:w="1367" w:type="dxa"/>
            <w:tcBorders>
              <w:top w:val="nil"/>
              <w:left w:val="nil"/>
              <w:bottom w:val="single" w:sz="4" w:space="0" w:color="auto"/>
              <w:right w:val="single" w:sz="4" w:space="0" w:color="auto"/>
            </w:tcBorders>
            <w:shd w:val="clear" w:color="000000" w:fill="EAF1DD"/>
            <w:noWrap/>
            <w:vAlign w:val="center"/>
            <w:hideMark/>
          </w:tcPr>
          <w:p w14:paraId="1ED2CE0A"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328" w:type="dxa"/>
            <w:tcBorders>
              <w:top w:val="nil"/>
              <w:left w:val="nil"/>
              <w:bottom w:val="single" w:sz="4" w:space="0" w:color="auto"/>
              <w:right w:val="single" w:sz="4" w:space="0" w:color="auto"/>
            </w:tcBorders>
            <w:shd w:val="clear" w:color="000000" w:fill="EAF1DD"/>
            <w:noWrap/>
            <w:vAlign w:val="center"/>
            <w:hideMark/>
          </w:tcPr>
          <w:p w14:paraId="18372728"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207</w:t>
            </w:r>
          </w:p>
        </w:tc>
      </w:tr>
      <w:tr w:rsidR="00B32336" w:rsidRPr="008F4DF9" w14:paraId="509713F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EF43E04"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GT-IR, Res. XIII.9, pár. 9 y creación de capacidad</w:t>
            </w:r>
          </w:p>
        </w:tc>
        <w:tc>
          <w:tcPr>
            <w:tcW w:w="1303" w:type="dxa"/>
            <w:tcBorders>
              <w:top w:val="nil"/>
              <w:left w:val="nil"/>
              <w:bottom w:val="single" w:sz="4" w:space="0" w:color="auto"/>
              <w:right w:val="single" w:sz="4" w:space="0" w:color="auto"/>
            </w:tcBorders>
            <w:shd w:val="clear" w:color="auto" w:fill="auto"/>
            <w:noWrap/>
            <w:vAlign w:val="center"/>
            <w:hideMark/>
          </w:tcPr>
          <w:p w14:paraId="4AFBEA7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3D5E5D8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836C16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46</w:t>
            </w:r>
          </w:p>
        </w:tc>
        <w:tc>
          <w:tcPr>
            <w:tcW w:w="1367" w:type="dxa"/>
            <w:tcBorders>
              <w:top w:val="nil"/>
              <w:left w:val="nil"/>
              <w:bottom w:val="single" w:sz="4" w:space="0" w:color="auto"/>
              <w:right w:val="single" w:sz="4" w:space="0" w:color="auto"/>
            </w:tcBorders>
            <w:shd w:val="clear" w:color="auto" w:fill="auto"/>
            <w:noWrap/>
            <w:vAlign w:val="center"/>
            <w:hideMark/>
          </w:tcPr>
          <w:p w14:paraId="17A6A9E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6FD16ED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46</w:t>
            </w:r>
          </w:p>
        </w:tc>
      </w:tr>
      <w:tr w:rsidR="00B32336" w:rsidRPr="008F4DF9" w14:paraId="4BB9B43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EE5B1FD"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Actividad 1: Cuenca del Río Senegal</w:t>
            </w:r>
          </w:p>
        </w:tc>
        <w:tc>
          <w:tcPr>
            <w:tcW w:w="1303" w:type="dxa"/>
            <w:tcBorders>
              <w:top w:val="nil"/>
              <w:left w:val="nil"/>
              <w:bottom w:val="single" w:sz="4" w:space="0" w:color="auto"/>
              <w:right w:val="single" w:sz="4" w:space="0" w:color="auto"/>
            </w:tcBorders>
            <w:shd w:val="clear" w:color="auto" w:fill="auto"/>
            <w:noWrap/>
            <w:vAlign w:val="center"/>
            <w:hideMark/>
          </w:tcPr>
          <w:p w14:paraId="5CEA06C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c>
          <w:tcPr>
            <w:tcW w:w="1258" w:type="dxa"/>
            <w:tcBorders>
              <w:top w:val="nil"/>
              <w:left w:val="nil"/>
              <w:bottom w:val="single" w:sz="4" w:space="0" w:color="auto"/>
              <w:right w:val="single" w:sz="4" w:space="0" w:color="auto"/>
            </w:tcBorders>
            <w:shd w:val="clear" w:color="auto" w:fill="auto"/>
            <w:noWrap/>
            <w:vAlign w:val="center"/>
            <w:hideMark/>
          </w:tcPr>
          <w:p w14:paraId="191318A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CA4702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1B6FE46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2E99575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r>
      <w:tr w:rsidR="00B32336" w:rsidRPr="008F4DF9" w14:paraId="193A2AF2"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E42D674"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Actividad 2: Cuenca del río Amazonas</w:t>
            </w:r>
          </w:p>
        </w:tc>
        <w:tc>
          <w:tcPr>
            <w:tcW w:w="1303" w:type="dxa"/>
            <w:tcBorders>
              <w:top w:val="nil"/>
              <w:left w:val="nil"/>
              <w:bottom w:val="single" w:sz="4" w:space="0" w:color="auto"/>
              <w:right w:val="single" w:sz="4" w:space="0" w:color="auto"/>
            </w:tcBorders>
            <w:shd w:val="clear" w:color="auto" w:fill="auto"/>
            <w:noWrap/>
            <w:vAlign w:val="center"/>
            <w:hideMark/>
          </w:tcPr>
          <w:p w14:paraId="5529F66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c>
          <w:tcPr>
            <w:tcW w:w="1258" w:type="dxa"/>
            <w:tcBorders>
              <w:top w:val="nil"/>
              <w:left w:val="nil"/>
              <w:bottom w:val="single" w:sz="4" w:space="0" w:color="auto"/>
              <w:right w:val="single" w:sz="4" w:space="0" w:color="auto"/>
            </w:tcBorders>
            <w:shd w:val="clear" w:color="auto" w:fill="auto"/>
            <w:noWrap/>
            <w:vAlign w:val="center"/>
            <w:hideMark/>
          </w:tcPr>
          <w:p w14:paraId="45DDEA1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D69473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61</w:t>
            </w:r>
          </w:p>
        </w:tc>
        <w:tc>
          <w:tcPr>
            <w:tcW w:w="1367" w:type="dxa"/>
            <w:tcBorders>
              <w:top w:val="nil"/>
              <w:left w:val="nil"/>
              <w:bottom w:val="single" w:sz="4" w:space="0" w:color="auto"/>
              <w:right w:val="single" w:sz="4" w:space="0" w:color="auto"/>
            </w:tcBorders>
            <w:shd w:val="clear" w:color="auto" w:fill="auto"/>
            <w:noWrap/>
            <w:vAlign w:val="center"/>
            <w:hideMark/>
          </w:tcPr>
          <w:p w14:paraId="7ADD2BC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11E4FFE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86</w:t>
            </w:r>
          </w:p>
        </w:tc>
      </w:tr>
      <w:tr w:rsidR="00B32336" w:rsidRPr="008F4DF9" w14:paraId="223024C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78E3A3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Actividad 3: Asia Central</w:t>
            </w:r>
          </w:p>
        </w:tc>
        <w:tc>
          <w:tcPr>
            <w:tcW w:w="1303" w:type="dxa"/>
            <w:tcBorders>
              <w:top w:val="nil"/>
              <w:left w:val="nil"/>
              <w:bottom w:val="single" w:sz="4" w:space="0" w:color="auto"/>
              <w:right w:val="single" w:sz="4" w:space="0" w:color="auto"/>
            </w:tcBorders>
            <w:shd w:val="clear" w:color="auto" w:fill="auto"/>
            <w:noWrap/>
            <w:vAlign w:val="center"/>
            <w:hideMark/>
          </w:tcPr>
          <w:p w14:paraId="565C219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c>
          <w:tcPr>
            <w:tcW w:w="1258" w:type="dxa"/>
            <w:tcBorders>
              <w:top w:val="nil"/>
              <w:left w:val="nil"/>
              <w:bottom w:val="single" w:sz="4" w:space="0" w:color="auto"/>
              <w:right w:val="single" w:sz="4" w:space="0" w:color="auto"/>
            </w:tcBorders>
            <w:shd w:val="clear" w:color="auto" w:fill="auto"/>
            <w:noWrap/>
            <w:vAlign w:val="center"/>
            <w:hideMark/>
          </w:tcPr>
          <w:p w14:paraId="2780FD3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1A7DECC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BF1A66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3089668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r>
      <w:tr w:rsidR="00B32336" w:rsidRPr="008F4DF9" w14:paraId="0F54C945"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0CA3"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Actividad 4: Indo-Birmana</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18F185F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4ADD3F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1BA86B4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2728CC3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32EA3F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r>
      <w:tr w:rsidR="00B32336" w:rsidRPr="008F4DF9" w14:paraId="4D4CC9C2"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2BA18AF" w14:textId="77777777" w:rsidR="00B32336" w:rsidRPr="008F4DF9" w:rsidRDefault="00B32336" w:rsidP="00D8194D">
            <w:pPr>
              <w:keepNext/>
              <w:ind w:left="0" w:firstLine="0"/>
              <w:rPr>
                <w:rFonts w:eastAsia="Times New Roman" w:cs="Calibri"/>
                <w:color w:val="000000"/>
                <w:sz w:val="20"/>
                <w:szCs w:val="20"/>
              </w:rPr>
            </w:pPr>
            <w:r w:rsidRPr="008F4DF9">
              <w:rPr>
                <w:color w:val="000000"/>
                <w:sz w:val="20"/>
                <w:szCs w:val="20"/>
              </w:rPr>
              <w:lastRenderedPageBreak/>
              <w:t>E. Servicios científicos y técnicos</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7851C963" w14:textId="77777777" w:rsidR="00B32336" w:rsidRPr="008F4DF9" w:rsidRDefault="00B32336" w:rsidP="00D8194D">
            <w:pPr>
              <w:keepNext/>
              <w:ind w:left="0" w:firstLine="0"/>
              <w:jc w:val="right"/>
              <w:rPr>
                <w:rFonts w:eastAsia="Times New Roman" w:cs="Calibri"/>
                <w:b/>
                <w:bCs/>
                <w:color w:val="000000"/>
                <w:sz w:val="20"/>
                <w:szCs w:val="20"/>
              </w:rPr>
            </w:pPr>
            <w:r w:rsidRPr="008F4DF9">
              <w:rPr>
                <w:b/>
                <w:bCs/>
                <w:color w:val="000000"/>
                <w:sz w:val="20"/>
                <w:szCs w:val="20"/>
              </w:rPr>
              <w:t>754</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74A7D6AB" w14:textId="77777777" w:rsidR="00B32336" w:rsidRPr="008F4DF9" w:rsidRDefault="00B32336" w:rsidP="00D8194D">
            <w:pPr>
              <w:keepNext/>
              <w:ind w:left="0" w:firstLine="0"/>
              <w:jc w:val="right"/>
              <w:rPr>
                <w:rFonts w:eastAsia="Times New Roman" w:cs="Calibri"/>
                <w:b/>
                <w:bCs/>
                <w:color w:val="000000"/>
                <w:sz w:val="20"/>
                <w:szCs w:val="20"/>
              </w:rPr>
            </w:pPr>
            <w:r w:rsidRPr="008F4DF9">
              <w:rPr>
                <w:b/>
                <w:bCs/>
                <w:color w:val="000000"/>
                <w:sz w:val="20"/>
                <w:szCs w:val="20"/>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65E35A20" w14:textId="77777777" w:rsidR="00B32336" w:rsidRPr="008F4DF9" w:rsidRDefault="00B32336" w:rsidP="00D8194D">
            <w:pPr>
              <w:keepNext/>
              <w:ind w:left="0" w:firstLine="0"/>
              <w:jc w:val="right"/>
              <w:rPr>
                <w:rFonts w:eastAsia="Times New Roman" w:cs="Calibri"/>
                <w:b/>
                <w:bCs/>
                <w:color w:val="000000"/>
                <w:sz w:val="20"/>
                <w:szCs w:val="20"/>
              </w:rPr>
            </w:pPr>
            <w:r w:rsidRPr="008F4DF9">
              <w:rPr>
                <w:b/>
                <w:bCs/>
                <w:color w:val="000000"/>
                <w:sz w:val="20"/>
                <w:szCs w:val="20"/>
              </w:rPr>
              <w:t>121</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5E056F24" w14:textId="77777777" w:rsidR="00B32336" w:rsidRPr="008F4DF9" w:rsidRDefault="00B32336" w:rsidP="00D8194D">
            <w:pPr>
              <w:keepNext/>
              <w:ind w:left="0" w:firstLine="0"/>
              <w:jc w:val="right"/>
              <w:rPr>
                <w:rFonts w:eastAsia="Times New Roman" w:cs="Calibri"/>
                <w:b/>
                <w:bCs/>
                <w:color w:val="000000"/>
                <w:sz w:val="20"/>
                <w:szCs w:val="20"/>
              </w:rPr>
            </w:pPr>
            <w:r w:rsidRPr="008F4DF9">
              <w:rPr>
                <w:b/>
                <w:bCs/>
                <w:color w:val="000000"/>
                <w:sz w:val="20"/>
                <w:szCs w:val="20"/>
              </w:rPr>
              <w:t>145</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14:paraId="1185990A" w14:textId="0678603D" w:rsidR="00B32336" w:rsidRPr="008F4DF9" w:rsidRDefault="00B32336" w:rsidP="00D8194D">
            <w:pPr>
              <w:keepNext/>
              <w:ind w:left="0" w:firstLine="0"/>
              <w:jc w:val="right"/>
              <w:rPr>
                <w:rFonts w:eastAsia="Times New Roman" w:cs="Calibri"/>
                <w:b/>
                <w:bCs/>
                <w:color w:val="000000"/>
                <w:sz w:val="20"/>
                <w:szCs w:val="20"/>
              </w:rPr>
            </w:pPr>
            <w:r w:rsidRPr="008F4DF9">
              <w:rPr>
                <w:b/>
                <w:bCs/>
                <w:color w:val="000000"/>
                <w:sz w:val="20"/>
                <w:szCs w:val="20"/>
              </w:rPr>
              <w:t>1</w:t>
            </w:r>
            <w:r w:rsidR="00652E0C" w:rsidRPr="008F4DF9">
              <w:rPr>
                <w:b/>
                <w:bCs/>
                <w:color w:val="000000"/>
                <w:sz w:val="20"/>
                <w:szCs w:val="20"/>
              </w:rPr>
              <w:t> </w:t>
            </w:r>
            <w:r w:rsidRPr="008F4DF9">
              <w:rPr>
                <w:b/>
                <w:bCs/>
                <w:color w:val="000000"/>
                <w:sz w:val="20"/>
                <w:szCs w:val="20"/>
              </w:rPr>
              <w:t>025</w:t>
            </w:r>
          </w:p>
        </w:tc>
      </w:tr>
      <w:tr w:rsidR="00B32336" w:rsidRPr="008F4DF9" w14:paraId="60561802"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5E4E900" w14:textId="77777777" w:rsidR="00B32336" w:rsidRPr="008F4DF9" w:rsidRDefault="00B32336" w:rsidP="00D8194D">
            <w:pPr>
              <w:keepNext/>
              <w:ind w:left="0" w:firstLine="0"/>
              <w:rPr>
                <w:rFonts w:eastAsia="Times New Roman" w:cs="Calibri"/>
                <w:color w:val="000000"/>
                <w:sz w:val="20"/>
                <w:szCs w:val="20"/>
              </w:rPr>
            </w:pPr>
            <w:r w:rsidRPr="008F4DF9">
              <w:rPr>
                <w:color w:val="000000"/>
                <w:sz w:val="20"/>
                <w:szCs w:val="20"/>
              </w:rPr>
              <w:t>Salarios y gastos sociales</w:t>
            </w:r>
          </w:p>
        </w:tc>
        <w:tc>
          <w:tcPr>
            <w:tcW w:w="1303" w:type="dxa"/>
            <w:tcBorders>
              <w:top w:val="nil"/>
              <w:left w:val="nil"/>
              <w:bottom w:val="single" w:sz="4" w:space="0" w:color="auto"/>
              <w:right w:val="single" w:sz="4" w:space="0" w:color="auto"/>
            </w:tcBorders>
            <w:shd w:val="clear" w:color="auto" w:fill="auto"/>
            <w:noWrap/>
            <w:vAlign w:val="center"/>
            <w:hideMark/>
          </w:tcPr>
          <w:p w14:paraId="09CB7075"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559</w:t>
            </w:r>
          </w:p>
        </w:tc>
        <w:tc>
          <w:tcPr>
            <w:tcW w:w="1258" w:type="dxa"/>
            <w:tcBorders>
              <w:top w:val="nil"/>
              <w:left w:val="nil"/>
              <w:bottom w:val="single" w:sz="4" w:space="0" w:color="auto"/>
              <w:right w:val="single" w:sz="4" w:space="0" w:color="auto"/>
            </w:tcBorders>
            <w:shd w:val="clear" w:color="auto" w:fill="auto"/>
            <w:noWrap/>
            <w:vAlign w:val="center"/>
            <w:hideMark/>
          </w:tcPr>
          <w:p w14:paraId="5CA5E89B"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3D973AC"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283786DF"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753DD660"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590</w:t>
            </w:r>
          </w:p>
        </w:tc>
      </w:tr>
      <w:tr w:rsidR="00B32336" w:rsidRPr="008F4DF9" w14:paraId="4682E080"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1E3FDBC" w14:textId="77777777" w:rsidR="00B32336" w:rsidRPr="008F4DF9" w:rsidRDefault="00B32336" w:rsidP="00D8194D">
            <w:pPr>
              <w:keepNext/>
              <w:ind w:left="0" w:firstLine="0"/>
              <w:rPr>
                <w:rFonts w:eastAsia="Times New Roman" w:cs="Calibri"/>
                <w:color w:val="000000"/>
                <w:sz w:val="20"/>
                <w:szCs w:val="20"/>
              </w:rPr>
            </w:pPr>
            <w:r w:rsidRPr="008F4DF9">
              <w:rPr>
                <w:color w:val="000000"/>
                <w:sz w:val="20"/>
                <w:szCs w:val="20"/>
              </w:rPr>
              <w:t>Otras prestaciones laborales</w:t>
            </w:r>
          </w:p>
        </w:tc>
        <w:tc>
          <w:tcPr>
            <w:tcW w:w="1303" w:type="dxa"/>
            <w:tcBorders>
              <w:top w:val="nil"/>
              <w:left w:val="nil"/>
              <w:bottom w:val="single" w:sz="4" w:space="0" w:color="auto"/>
              <w:right w:val="single" w:sz="4" w:space="0" w:color="auto"/>
            </w:tcBorders>
            <w:shd w:val="clear" w:color="auto" w:fill="auto"/>
            <w:noWrap/>
            <w:vAlign w:val="center"/>
            <w:hideMark/>
          </w:tcPr>
          <w:p w14:paraId="0289FC8D"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4</w:t>
            </w:r>
          </w:p>
        </w:tc>
        <w:tc>
          <w:tcPr>
            <w:tcW w:w="1258" w:type="dxa"/>
            <w:tcBorders>
              <w:top w:val="nil"/>
              <w:left w:val="nil"/>
              <w:bottom w:val="single" w:sz="4" w:space="0" w:color="auto"/>
              <w:right w:val="single" w:sz="4" w:space="0" w:color="auto"/>
            </w:tcBorders>
            <w:shd w:val="clear" w:color="auto" w:fill="auto"/>
            <w:noWrap/>
            <w:vAlign w:val="center"/>
            <w:hideMark/>
          </w:tcPr>
          <w:p w14:paraId="02AA6C3E"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5F0730C9"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31E76A94"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3</w:t>
            </w:r>
          </w:p>
        </w:tc>
        <w:tc>
          <w:tcPr>
            <w:tcW w:w="1328" w:type="dxa"/>
            <w:tcBorders>
              <w:top w:val="nil"/>
              <w:left w:val="nil"/>
              <w:bottom w:val="single" w:sz="4" w:space="0" w:color="auto"/>
              <w:right w:val="single" w:sz="4" w:space="0" w:color="auto"/>
            </w:tcBorders>
            <w:shd w:val="clear" w:color="auto" w:fill="auto"/>
            <w:noWrap/>
            <w:vAlign w:val="center"/>
            <w:hideMark/>
          </w:tcPr>
          <w:p w14:paraId="15F0809E" w14:textId="77777777" w:rsidR="00B32336" w:rsidRPr="008F4DF9" w:rsidRDefault="00B32336" w:rsidP="00D8194D">
            <w:pPr>
              <w:keepNext/>
              <w:ind w:left="0" w:firstLine="0"/>
              <w:jc w:val="right"/>
              <w:rPr>
                <w:rFonts w:eastAsia="Times New Roman" w:cs="Calibri"/>
                <w:color w:val="000000"/>
                <w:sz w:val="20"/>
                <w:szCs w:val="20"/>
              </w:rPr>
            </w:pPr>
            <w:r w:rsidRPr="008F4DF9">
              <w:rPr>
                <w:color w:val="000000"/>
                <w:sz w:val="20"/>
                <w:szCs w:val="20"/>
              </w:rPr>
              <w:t>7</w:t>
            </w:r>
          </w:p>
        </w:tc>
      </w:tr>
      <w:tr w:rsidR="00B32336" w:rsidRPr="008F4DF9" w14:paraId="5EC35F2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5EB63B2"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w:t>
            </w:r>
          </w:p>
        </w:tc>
        <w:tc>
          <w:tcPr>
            <w:tcW w:w="1303" w:type="dxa"/>
            <w:tcBorders>
              <w:top w:val="nil"/>
              <w:left w:val="nil"/>
              <w:bottom w:val="single" w:sz="4" w:space="0" w:color="auto"/>
              <w:right w:val="single" w:sz="4" w:space="0" w:color="auto"/>
            </w:tcBorders>
            <w:shd w:val="clear" w:color="auto" w:fill="auto"/>
            <w:noWrap/>
            <w:vAlign w:val="center"/>
            <w:hideMark/>
          </w:tcPr>
          <w:p w14:paraId="525C6B4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14:paraId="3E8D0EF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4483D0B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FEB55D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52493D5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r>
      <w:tr w:rsidR="00B32336" w:rsidRPr="008F4DF9" w14:paraId="7F611BE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826B450"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 de la Presidencia del GECT</w:t>
            </w:r>
          </w:p>
        </w:tc>
        <w:tc>
          <w:tcPr>
            <w:tcW w:w="1303" w:type="dxa"/>
            <w:tcBorders>
              <w:top w:val="nil"/>
              <w:left w:val="nil"/>
              <w:bottom w:val="single" w:sz="4" w:space="0" w:color="auto"/>
              <w:right w:val="single" w:sz="4" w:space="0" w:color="auto"/>
            </w:tcBorders>
            <w:shd w:val="clear" w:color="auto" w:fill="auto"/>
            <w:noWrap/>
            <w:vAlign w:val="center"/>
            <w:hideMark/>
          </w:tcPr>
          <w:p w14:paraId="4FE023A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258" w:type="dxa"/>
            <w:tcBorders>
              <w:top w:val="nil"/>
              <w:left w:val="nil"/>
              <w:bottom w:val="single" w:sz="4" w:space="0" w:color="auto"/>
              <w:right w:val="single" w:sz="4" w:space="0" w:color="auto"/>
            </w:tcBorders>
            <w:shd w:val="clear" w:color="auto" w:fill="auto"/>
            <w:noWrap/>
            <w:vAlign w:val="center"/>
            <w:hideMark/>
          </w:tcPr>
          <w:p w14:paraId="64C569A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4741D2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758EBB4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w:t>
            </w:r>
          </w:p>
        </w:tc>
        <w:tc>
          <w:tcPr>
            <w:tcW w:w="1328" w:type="dxa"/>
            <w:tcBorders>
              <w:top w:val="nil"/>
              <w:left w:val="nil"/>
              <w:bottom w:val="single" w:sz="4" w:space="0" w:color="auto"/>
              <w:right w:val="single" w:sz="4" w:space="0" w:color="auto"/>
            </w:tcBorders>
            <w:shd w:val="clear" w:color="auto" w:fill="auto"/>
            <w:noWrap/>
            <w:vAlign w:val="center"/>
            <w:hideMark/>
          </w:tcPr>
          <w:p w14:paraId="7FB289E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7</w:t>
            </w:r>
          </w:p>
        </w:tc>
      </w:tr>
      <w:tr w:rsidR="00B32336" w:rsidRPr="008F4DF9" w14:paraId="1853451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B79A8DE"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Ejecución del GECT</w:t>
            </w:r>
          </w:p>
        </w:tc>
        <w:tc>
          <w:tcPr>
            <w:tcW w:w="1303" w:type="dxa"/>
            <w:tcBorders>
              <w:top w:val="nil"/>
              <w:left w:val="nil"/>
              <w:bottom w:val="single" w:sz="4" w:space="0" w:color="auto"/>
              <w:right w:val="single" w:sz="4" w:space="0" w:color="auto"/>
            </w:tcBorders>
            <w:shd w:val="clear" w:color="auto" w:fill="auto"/>
            <w:noWrap/>
            <w:vAlign w:val="center"/>
            <w:hideMark/>
          </w:tcPr>
          <w:p w14:paraId="15502F0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35</w:t>
            </w:r>
          </w:p>
        </w:tc>
        <w:tc>
          <w:tcPr>
            <w:tcW w:w="1258" w:type="dxa"/>
            <w:tcBorders>
              <w:top w:val="nil"/>
              <w:left w:val="nil"/>
              <w:bottom w:val="single" w:sz="4" w:space="0" w:color="auto"/>
              <w:right w:val="single" w:sz="4" w:space="0" w:color="auto"/>
            </w:tcBorders>
            <w:shd w:val="clear" w:color="auto" w:fill="auto"/>
            <w:noWrap/>
            <w:vAlign w:val="center"/>
            <w:hideMark/>
          </w:tcPr>
          <w:p w14:paraId="40290C5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286" w:type="dxa"/>
            <w:tcBorders>
              <w:top w:val="nil"/>
              <w:left w:val="nil"/>
              <w:bottom w:val="single" w:sz="4" w:space="0" w:color="auto"/>
              <w:right w:val="single" w:sz="4" w:space="0" w:color="auto"/>
            </w:tcBorders>
            <w:shd w:val="clear" w:color="auto" w:fill="auto"/>
            <w:noWrap/>
            <w:vAlign w:val="center"/>
            <w:hideMark/>
          </w:tcPr>
          <w:p w14:paraId="01CB358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BD25B2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31</w:t>
            </w:r>
          </w:p>
        </w:tc>
        <w:tc>
          <w:tcPr>
            <w:tcW w:w="1328" w:type="dxa"/>
            <w:tcBorders>
              <w:top w:val="nil"/>
              <w:left w:val="nil"/>
              <w:bottom w:val="single" w:sz="4" w:space="0" w:color="auto"/>
              <w:right w:val="single" w:sz="4" w:space="0" w:color="auto"/>
            </w:tcBorders>
            <w:shd w:val="clear" w:color="auto" w:fill="auto"/>
            <w:noWrap/>
            <w:vAlign w:val="center"/>
            <w:hideMark/>
          </w:tcPr>
          <w:p w14:paraId="7FFFEDD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71</w:t>
            </w:r>
          </w:p>
        </w:tc>
      </w:tr>
      <w:tr w:rsidR="00B32336" w:rsidRPr="008F4DF9" w14:paraId="7853A133"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646F"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Reuniones del GECT</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452C63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368A5E2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7549FC6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3264717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16</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526142F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66</w:t>
            </w:r>
          </w:p>
        </w:tc>
      </w:tr>
      <w:tr w:rsidR="00B32336" w:rsidRPr="008F4DF9" w14:paraId="426EE55C"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11B2"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Plan Estratégico (2019 - 2021)</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561FB05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8BD72F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36F05AC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3DD65C9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3AB6C8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29</w:t>
            </w:r>
          </w:p>
        </w:tc>
      </w:tr>
      <w:tr w:rsidR="00B32336" w:rsidRPr="008F4DF9" w14:paraId="09293D4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361D95B"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ODS 6.6.1 (inventarios)</w:t>
            </w:r>
          </w:p>
        </w:tc>
        <w:tc>
          <w:tcPr>
            <w:tcW w:w="1303" w:type="dxa"/>
            <w:tcBorders>
              <w:top w:val="nil"/>
              <w:left w:val="nil"/>
              <w:bottom w:val="single" w:sz="4" w:space="0" w:color="auto"/>
              <w:right w:val="single" w:sz="4" w:space="0" w:color="auto"/>
            </w:tcBorders>
            <w:shd w:val="clear" w:color="auto" w:fill="auto"/>
            <w:noWrap/>
            <w:vAlign w:val="center"/>
            <w:hideMark/>
          </w:tcPr>
          <w:p w14:paraId="4BDC573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5F0ACD0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C6906B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91</w:t>
            </w:r>
          </w:p>
        </w:tc>
        <w:tc>
          <w:tcPr>
            <w:tcW w:w="1367" w:type="dxa"/>
            <w:tcBorders>
              <w:top w:val="nil"/>
              <w:left w:val="nil"/>
              <w:bottom w:val="single" w:sz="4" w:space="0" w:color="auto"/>
              <w:right w:val="single" w:sz="4" w:space="0" w:color="auto"/>
            </w:tcBorders>
            <w:shd w:val="clear" w:color="auto" w:fill="auto"/>
            <w:noWrap/>
            <w:vAlign w:val="center"/>
            <w:hideMark/>
          </w:tcPr>
          <w:p w14:paraId="2432C37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4A8270A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91</w:t>
            </w:r>
          </w:p>
        </w:tc>
      </w:tr>
      <w:tr w:rsidR="00B32336" w:rsidRPr="008F4DF9" w14:paraId="550FCEBF"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32AD" w14:textId="320C94CB" w:rsidR="00B32336" w:rsidRPr="008F4DF9" w:rsidRDefault="00B32336" w:rsidP="0068105F">
            <w:pPr>
              <w:ind w:left="0" w:firstLine="0"/>
              <w:rPr>
                <w:rFonts w:eastAsia="Times New Roman" w:cs="Calibri"/>
                <w:color w:val="000000"/>
                <w:sz w:val="20"/>
                <w:szCs w:val="20"/>
              </w:rPr>
            </w:pPr>
            <w:r w:rsidRPr="008F4DF9">
              <w:rPr>
                <w:color w:val="000000"/>
                <w:sz w:val="20"/>
                <w:szCs w:val="20"/>
              </w:rPr>
              <w:t>Servicio de Información sobre Sitios Ramsar (mantenimiento y desarrollo)</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2AA1D4D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91</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D6E11B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2AA97B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058BE39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62</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2A7A91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153</w:t>
            </w:r>
          </w:p>
        </w:tc>
      </w:tr>
      <w:tr w:rsidR="00B32336" w:rsidRPr="008F4DF9" w14:paraId="3EBB3A3C"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A7B4FF9"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G. Administración/SISR/Sitio web</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47B7F473"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436</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7729B651"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11</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164439C3"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83</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5268BCE3"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151</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14:paraId="17234282"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682</w:t>
            </w:r>
          </w:p>
        </w:tc>
      </w:tr>
      <w:tr w:rsidR="00B32336" w:rsidRPr="008F4DF9" w14:paraId="11C6C0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FB5F4CD"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Salarios y gastos sociales</w:t>
            </w:r>
          </w:p>
        </w:tc>
        <w:tc>
          <w:tcPr>
            <w:tcW w:w="1303" w:type="dxa"/>
            <w:tcBorders>
              <w:top w:val="nil"/>
              <w:left w:val="nil"/>
              <w:bottom w:val="single" w:sz="4" w:space="0" w:color="auto"/>
              <w:right w:val="single" w:sz="4" w:space="0" w:color="auto"/>
            </w:tcBorders>
            <w:shd w:val="clear" w:color="auto" w:fill="auto"/>
            <w:noWrap/>
            <w:vAlign w:val="center"/>
            <w:hideMark/>
          </w:tcPr>
          <w:p w14:paraId="727D309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315</w:t>
            </w:r>
          </w:p>
        </w:tc>
        <w:tc>
          <w:tcPr>
            <w:tcW w:w="1258" w:type="dxa"/>
            <w:tcBorders>
              <w:top w:val="nil"/>
              <w:left w:val="nil"/>
              <w:bottom w:val="single" w:sz="4" w:space="0" w:color="auto"/>
              <w:right w:val="single" w:sz="4" w:space="0" w:color="auto"/>
            </w:tcBorders>
            <w:shd w:val="clear" w:color="auto" w:fill="auto"/>
            <w:noWrap/>
            <w:vAlign w:val="center"/>
            <w:hideMark/>
          </w:tcPr>
          <w:p w14:paraId="47BEF69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405D22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E5BBB7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106</w:t>
            </w:r>
          </w:p>
        </w:tc>
        <w:tc>
          <w:tcPr>
            <w:tcW w:w="1328" w:type="dxa"/>
            <w:tcBorders>
              <w:top w:val="nil"/>
              <w:left w:val="nil"/>
              <w:bottom w:val="single" w:sz="4" w:space="0" w:color="auto"/>
              <w:right w:val="single" w:sz="4" w:space="0" w:color="auto"/>
            </w:tcBorders>
            <w:shd w:val="clear" w:color="auto" w:fill="auto"/>
            <w:noWrap/>
            <w:vAlign w:val="center"/>
            <w:hideMark/>
          </w:tcPr>
          <w:p w14:paraId="5034B9B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421</w:t>
            </w:r>
          </w:p>
        </w:tc>
      </w:tr>
      <w:tr w:rsidR="00B32336" w:rsidRPr="008F4DF9" w14:paraId="2710895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0D9D8EE"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Otras prestaciones laborales</w:t>
            </w:r>
          </w:p>
        </w:tc>
        <w:tc>
          <w:tcPr>
            <w:tcW w:w="1303" w:type="dxa"/>
            <w:tcBorders>
              <w:top w:val="nil"/>
              <w:left w:val="nil"/>
              <w:bottom w:val="single" w:sz="4" w:space="0" w:color="auto"/>
              <w:right w:val="single" w:sz="4" w:space="0" w:color="auto"/>
            </w:tcBorders>
            <w:shd w:val="clear" w:color="auto" w:fill="auto"/>
            <w:noWrap/>
            <w:vAlign w:val="center"/>
            <w:hideMark/>
          </w:tcPr>
          <w:p w14:paraId="1063EB8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center"/>
            <w:hideMark/>
          </w:tcPr>
          <w:p w14:paraId="644F049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4670D6D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71EE23A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57DBD1E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w:t>
            </w:r>
          </w:p>
        </w:tc>
      </w:tr>
      <w:tr w:rsidR="00B32336" w:rsidRPr="008F4DF9" w14:paraId="2641F1C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070F90A"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Costos de contratación y separación del personal</w:t>
            </w:r>
          </w:p>
        </w:tc>
        <w:tc>
          <w:tcPr>
            <w:tcW w:w="1303" w:type="dxa"/>
            <w:tcBorders>
              <w:top w:val="nil"/>
              <w:left w:val="nil"/>
              <w:bottom w:val="single" w:sz="4" w:space="0" w:color="auto"/>
              <w:right w:val="single" w:sz="4" w:space="0" w:color="auto"/>
            </w:tcBorders>
            <w:shd w:val="clear" w:color="auto" w:fill="auto"/>
            <w:noWrap/>
            <w:vAlign w:val="center"/>
            <w:hideMark/>
          </w:tcPr>
          <w:p w14:paraId="490EBDD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25</w:t>
            </w:r>
          </w:p>
        </w:tc>
        <w:tc>
          <w:tcPr>
            <w:tcW w:w="1258" w:type="dxa"/>
            <w:tcBorders>
              <w:top w:val="nil"/>
              <w:left w:val="nil"/>
              <w:bottom w:val="single" w:sz="4" w:space="0" w:color="auto"/>
              <w:right w:val="single" w:sz="4" w:space="0" w:color="auto"/>
            </w:tcBorders>
            <w:shd w:val="clear" w:color="auto" w:fill="auto"/>
            <w:noWrap/>
            <w:vAlign w:val="center"/>
            <w:hideMark/>
          </w:tcPr>
          <w:p w14:paraId="5595A65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91B2B2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52533EF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26</w:t>
            </w:r>
          </w:p>
        </w:tc>
        <w:tc>
          <w:tcPr>
            <w:tcW w:w="1328" w:type="dxa"/>
            <w:tcBorders>
              <w:top w:val="nil"/>
              <w:left w:val="nil"/>
              <w:bottom w:val="single" w:sz="4" w:space="0" w:color="auto"/>
              <w:right w:val="single" w:sz="4" w:space="0" w:color="auto"/>
            </w:tcBorders>
            <w:shd w:val="clear" w:color="auto" w:fill="auto"/>
            <w:noWrap/>
            <w:vAlign w:val="center"/>
            <w:hideMark/>
          </w:tcPr>
          <w:p w14:paraId="5EA2CA9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51</w:t>
            </w:r>
          </w:p>
        </w:tc>
      </w:tr>
      <w:tr w:rsidR="00B32336" w:rsidRPr="008F4DF9" w14:paraId="48DCE45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AE5DFC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Viajes</w:t>
            </w:r>
          </w:p>
        </w:tc>
        <w:tc>
          <w:tcPr>
            <w:tcW w:w="1303" w:type="dxa"/>
            <w:tcBorders>
              <w:top w:val="nil"/>
              <w:left w:val="nil"/>
              <w:bottom w:val="single" w:sz="4" w:space="0" w:color="auto"/>
              <w:right w:val="single" w:sz="4" w:space="0" w:color="auto"/>
            </w:tcBorders>
            <w:shd w:val="clear" w:color="auto" w:fill="auto"/>
            <w:noWrap/>
            <w:vAlign w:val="center"/>
            <w:hideMark/>
          </w:tcPr>
          <w:p w14:paraId="6FC67F6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2D126F6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748AC4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7A0685F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674E7B4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r>
      <w:tr w:rsidR="00B32336" w:rsidRPr="008F4DF9" w14:paraId="7AEA1C37"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D31576A"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Equipo/material de oficina</w:t>
            </w:r>
          </w:p>
        </w:tc>
        <w:tc>
          <w:tcPr>
            <w:tcW w:w="1303" w:type="dxa"/>
            <w:tcBorders>
              <w:top w:val="nil"/>
              <w:left w:val="nil"/>
              <w:bottom w:val="single" w:sz="4" w:space="0" w:color="auto"/>
              <w:right w:val="single" w:sz="4" w:space="0" w:color="auto"/>
            </w:tcBorders>
            <w:shd w:val="clear" w:color="auto" w:fill="auto"/>
            <w:noWrap/>
            <w:vAlign w:val="center"/>
            <w:hideMark/>
          </w:tcPr>
          <w:p w14:paraId="48F36DF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95</w:t>
            </w:r>
          </w:p>
        </w:tc>
        <w:tc>
          <w:tcPr>
            <w:tcW w:w="1258" w:type="dxa"/>
            <w:tcBorders>
              <w:top w:val="nil"/>
              <w:left w:val="nil"/>
              <w:bottom w:val="single" w:sz="4" w:space="0" w:color="auto"/>
              <w:right w:val="single" w:sz="4" w:space="0" w:color="auto"/>
            </w:tcBorders>
            <w:shd w:val="clear" w:color="auto" w:fill="auto"/>
            <w:noWrap/>
            <w:vAlign w:val="center"/>
            <w:hideMark/>
          </w:tcPr>
          <w:p w14:paraId="3DCEDBF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43D8C1B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D8D159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19</w:t>
            </w:r>
          </w:p>
        </w:tc>
        <w:tc>
          <w:tcPr>
            <w:tcW w:w="1328" w:type="dxa"/>
            <w:tcBorders>
              <w:top w:val="nil"/>
              <w:left w:val="nil"/>
              <w:bottom w:val="single" w:sz="4" w:space="0" w:color="auto"/>
              <w:right w:val="single" w:sz="4" w:space="0" w:color="auto"/>
            </w:tcBorders>
            <w:shd w:val="clear" w:color="auto" w:fill="auto"/>
            <w:noWrap/>
            <w:vAlign w:val="center"/>
            <w:hideMark/>
          </w:tcPr>
          <w:p w14:paraId="58817EC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114</w:t>
            </w:r>
          </w:p>
        </w:tc>
      </w:tr>
      <w:tr w:rsidR="00B32336" w:rsidRPr="008F4DF9" w14:paraId="05D28DE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2496E75"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Planificación y creación de capacidad</w:t>
            </w:r>
          </w:p>
        </w:tc>
        <w:tc>
          <w:tcPr>
            <w:tcW w:w="1303" w:type="dxa"/>
            <w:tcBorders>
              <w:top w:val="nil"/>
              <w:left w:val="nil"/>
              <w:bottom w:val="single" w:sz="4" w:space="0" w:color="auto"/>
              <w:right w:val="single" w:sz="4" w:space="0" w:color="auto"/>
            </w:tcBorders>
            <w:shd w:val="clear" w:color="auto" w:fill="auto"/>
            <w:noWrap/>
            <w:vAlign w:val="center"/>
            <w:hideMark/>
          </w:tcPr>
          <w:p w14:paraId="561F376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069C328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11</w:t>
            </w:r>
          </w:p>
        </w:tc>
        <w:tc>
          <w:tcPr>
            <w:tcW w:w="1286" w:type="dxa"/>
            <w:tcBorders>
              <w:top w:val="nil"/>
              <w:left w:val="nil"/>
              <w:bottom w:val="single" w:sz="4" w:space="0" w:color="auto"/>
              <w:right w:val="single" w:sz="4" w:space="0" w:color="auto"/>
            </w:tcBorders>
            <w:shd w:val="clear" w:color="auto" w:fill="auto"/>
            <w:noWrap/>
            <w:vAlign w:val="center"/>
            <w:hideMark/>
          </w:tcPr>
          <w:p w14:paraId="314BF91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83</w:t>
            </w:r>
          </w:p>
        </w:tc>
        <w:tc>
          <w:tcPr>
            <w:tcW w:w="1367" w:type="dxa"/>
            <w:tcBorders>
              <w:top w:val="nil"/>
              <w:left w:val="nil"/>
              <w:bottom w:val="single" w:sz="4" w:space="0" w:color="auto"/>
              <w:right w:val="single" w:sz="4" w:space="0" w:color="auto"/>
            </w:tcBorders>
            <w:shd w:val="clear" w:color="auto" w:fill="auto"/>
            <w:noWrap/>
            <w:vAlign w:val="center"/>
            <w:hideMark/>
          </w:tcPr>
          <w:p w14:paraId="4A9F546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5D75A89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94</w:t>
            </w:r>
          </w:p>
        </w:tc>
      </w:tr>
      <w:tr w:rsidR="00B32336" w:rsidRPr="008F4DF9" w14:paraId="71706F29"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799A2B28"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H. Servicios para el Comité Permanente</w:t>
            </w:r>
          </w:p>
        </w:tc>
        <w:tc>
          <w:tcPr>
            <w:tcW w:w="1303" w:type="dxa"/>
            <w:tcBorders>
              <w:top w:val="nil"/>
              <w:left w:val="nil"/>
              <w:bottom w:val="single" w:sz="4" w:space="0" w:color="auto"/>
              <w:right w:val="single" w:sz="4" w:space="0" w:color="auto"/>
            </w:tcBorders>
            <w:shd w:val="clear" w:color="000000" w:fill="EAF1DD"/>
            <w:noWrap/>
            <w:vAlign w:val="center"/>
            <w:hideMark/>
          </w:tcPr>
          <w:p w14:paraId="2A769ABD"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150</w:t>
            </w:r>
          </w:p>
        </w:tc>
        <w:tc>
          <w:tcPr>
            <w:tcW w:w="1258" w:type="dxa"/>
            <w:tcBorders>
              <w:top w:val="nil"/>
              <w:left w:val="nil"/>
              <w:bottom w:val="single" w:sz="4" w:space="0" w:color="auto"/>
              <w:right w:val="single" w:sz="4" w:space="0" w:color="auto"/>
            </w:tcBorders>
            <w:shd w:val="clear" w:color="000000" w:fill="EAF1DD"/>
            <w:noWrap/>
            <w:vAlign w:val="center"/>
            <w:hideMark/>
          </w:tcPr>
          <w:p w14:paraId="231B0C38"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5FB085BA"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75</w:t>
            </w:r>
          </w:p>
        </w:tc>
        <w:tc>
          <w:tcPr>
            <w:tcW w:w="1367" w:type="dxa"/>
            <w:tcBorders>
              <w:top w:val="nil"/>
              <w:left w:val="nil"/>
              <w:bottom w:val="single" w:sz="4" w:space="0" w:color="auto"/>
              <w:right w:val="single" w:sz="4" w:space="0" w:color="auto"/>
            </w:tcBorders>
            <w:shd w:val="clear" w:color="000000" w:fill="EAF1DD"/>
            <w:noWrap/>
            <w:vAlign w:val="center"/>
            <w:hideMark/>
          </w:tcPr>
          <w:p w14:paraId="1207120E"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15</w:t>
            </w:r>
          </w:p>
        </w:tc>
        <w:tc>
          <w:tcPr>
            <w:tcW w:w="1328" w:type="dxa"/>
            <w:tcBorders>
              <w:top w:val="nil"/>
              <w:left w:val="nil"/>
              <w:bottom w:val="single" w:sz="4" w:space="0" w:color="auto"/>
              <w:right w:val="single" w:sz="4" w:space="0" w:color="auto"/>
            </w:tcBorders>
            <w:shd w:val="clear" w:color="000000" w:fill="EAF1DD"/>
            <w:noWrap/>
            <w:vAlign w:val="center"/>
            <w:hideMark/>
          </w:tcPr>
          <w:p w14:paraId="344C62A0"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240</w:t>
            </w:r>
          </w:p>
        </w:tc>
      </w:tr>
      <w:tr w:rsidR="00B32336" w:rsidRPr="008F4DF9" w14:paraId="17C50C6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1656C5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Apoyo a los delegados del Comité Permanente</w:t>
            </w:r>
          </w:p>
        </w:tc>
        <w:tc>
          <w:tcPr>
            <w:tcW w:w="1303" w:type="dxa"/>
            <w:tcBorders>
              <w:top w:val="nil"/>
              <w:left w:val="nil"/>
              <w:bottom w:val="single" w:sz="4" w:space="0" w:color="auto"/>
              <w:right w:val="single" w:sz="4" w:space="0" w:color="auto"/>
            </w:tcBorders>
            <w:shd w:val="clear" w:color="auto" w:fill="auto"/>
            <w:noWrap/>
            <w:vAlign w:val="center"/>
            <w:hideMark/>
          </w:tcPr>
          <w:p w14:paraId="2AF9DD3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45</w:t>
            </w:r>
          </w:p>
        </w:tc>
        <w:tc>
          <w:tcPr>
            <w:tcW w:w="1258" w:type="dxa"/>
            <w:tcBorders>
              <w:top w:val="nil"/>
              <w:left w:val="nil"/>
              <w:bottom w:val="single" w:sz="4" w:space="0" w:color="auto"/>
              <w:right w:val="single" w:sz="4" w:space="0" w:color="auto"/>
            </w:tcBorders>
            <w:shd w:val="clear" w:color="auto" w:fill="auto"/>
            <w:noWrap/>
            <w:vAlign w:val="center"/>
            <w:hideMark/>
          </w:tcPr>
          <w:p w14:paraId="4EA81C69"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2256CB8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76CB31C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w:t>
            </w:r>
          </w:p>
        </w:tc>
        <w:tc>
          <w:tcPr>
            <w:tcW w:w="1328" w:type="dxa"/>
            <w:tcBorders>
              <w:top w:val="nil"/>
              <w:left w:val="nil"/>
              <w:bottom w:val="single" w:sz="4" w:space="0" w:color="auto"/>
              <w:right w:val="single" w:sz="4" w:space="0" w:color="auto"/>
            </w:tcBorders>
            <w:shd w:val="clear" w:color="auto" w:fill="auto"/>
            <w:noWrap/>
            <w:vAlign w:val="center"/>
            <w:hideMark/>
          </w:tcPr>
          <w:p w14:paraId="6C4114B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51</w:t>
            </w:r>
          </w:p>
        </w:tc>
      </w:tr>
      <w:tr w:rsidR="00B32336" w:rsidRPr="008F4DF9" w14:paraId="25EEB95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D795D0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Reuniones del Comité Permanente</w:t>
            </w:r>
          </w:p>
        </w:tc>
        <w:tc>
          <w:tcPr>
            <w:tcW w:w="1303" w:type="dxa"/>
            <w:tcBorders>
              <w:top w:val="nil"/>
              <w:left w:val="nil"/>
              <w:bottom w:val="single" w:sz="4" w:space="0" w:color="auto"/>
              <w:right w:val="single" w:sz="4" w:space="0" w:color="auto"/>
            </w:tcBorders>
            <w:shd w:val="clear" w:color="auto" w:fill="auto"/>
            <w:noWrap/>
            <w:vAlign w:val="center"/>
            <w:hideMark/>
          </w:tcPr>
          <w:p w14:paraId="33F2A35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14:paraId="7E70493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4B6C22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2439BC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56BCD97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10</w:t>
            </w:r>
          </w:p>
        </w:tc>
      </w:tr>
      <w:tr w:rsidR="00B32336" w:rsidRPr="008F4DF9" w14:paraId="5FA5B70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248162A"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Traducción en las reuniones del CP</w:t>
            </w:r>
          </w:p>
        </w:tc>
        <w:tc>
          <w:tcPr>
            <w:tcW w:w="1303" w:type="dxa"/>
            <w:tcBorders>
              <w:top w:val="nil"/>
              <w:left w:val="nil"/>
              <w:bottom w:val="single" w:sz="4" w:space="0" w:color="auto"/>
              <w:right w:val="single" w:sz="4" w:space="0" w:color="auto"/>
            </w:tcBorders>
            <w:shd w:val="clear" w:color="auto" w:fill="auto"/>
            <w:noWrap/>
            <w:vAlign w:val="center"/>
            <w:hideMark/>
          </w:tcPr>
          <w:p w14:paraId="32873CE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60</w:t>
            </w:r>
          </w:p>
        </w:tc>
        <w:tc>
          <w:tcPr>
            <w:tcW w:w="1258" w:type="dxa"/>
            <w:tcBorders>
              <w:top w:val="nil"/>
              <w:left w:val="nil"/>
              <w:bottom w:val="single" w:sz="4" w:space="0" w:color="auto"/>
              <w:right w:val="single" w:sz="4" w:space="0" w:color="auto"/>
            </w:tcBorders>
            <w:shd w:val="clear" w:color="auto" w:fill="auto"/>
            <w:noWrap/>
            <w:vAlign w:val="center"/>
            <w:hideMark/>
          </w:tcPr>
          <w:p w14:paraId="09371B4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221DDAE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E6338D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w:t>
            </w:r>
          </w:p>
        </w:tc>
        <w:tc>
          <w:tcPr>
            <w:tcW w:w="1328" w:type="dxa"/>
            <w:tcBorders>
              <w:top w:val="nil"/>
              <w:left w:val="nil"/>
              <w:bottom w:val="single" w:sz="4" w:space="0" w:color="auto"/>
              <w:right w:val="single" w:sz="4" w:space="0" w:color="auto"/>
            </w:tcBorders>
            <w:shd w:val="clear" w:color="auto" w:fill="auto"/>
            <w:noWrap/>
            <w:vAlign w:val="center"/>
            <w:hideMark/>
          </w:tcPr>
          <w:p w14:paraId="6F886C0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65</w:t>
            </w:r>
          </w:p>
        </w:tc>
      </w:tr>
      <w:tr w:rsidR="00B32336" w:rsidRPr="008F4DF9" w14:paraId="4CEAD3C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36BDAC3"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Interpretación simultánea en las reuniones del CP</w:t>
            </w:r>
          </w:p>
        </w:tc>
        <w:tc>
          <w:tcPr>
            <w:tcW w:w="1303" w:type="dxa"/>
            <w:tcBorders>
              <w:top w:val="nil"/>
              <w:left w:val="nil"/>
              <w:bottom w:val="single" w:sz="4" w:space="0" w:color="auto"/>
              <w:right w:val="single" w:sz="4" w:space="0" w:color="auto"/>
            </w:tcBorders>
            <w:shd w:val="clear" w:color="auto" w:fill="auto"/>
            <w:noWrap/>
            <w:vAlign w:val="center"/>
            <w:hideMark/>
          </w:tcPr>
          <w:p w14:paraId="0BB46CC5"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35</w:t>
            </w:r>
          </w:p>
        </w:tc>
        <w:tc>
          <w:tcPr>
            <w:tcW w:w="1258" w:type="dxa"/>
            <w:tcBorders>
              <w:top w:val="nil"/>
              <w:left w:val="nil"/>
              <w:bottom w:val="single" w:sz="4" w:space="0" w:color="auto"/>
              <w:right w:val="single" w:sz="4" w:space="0" w:color="auto"/>
            </w:tcBorders>
            <w:shd w:val="clear" w:color="auto" w:fill="auto"/>
            <w:noWrap/>
            <w:vAlign w:val="center"/>
            <w:hideMark/>
          </w:tcPr>
          <w:p w14:paraId="23BD73D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3611FAB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ACCF34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w:t>
            </w:r>
          </w:p>
        </w:tc>
        <w:tc>
          <w:tcPr>
            <w:tcW w:w="1328" w:type="dxa"/>
            <w:tcBorders>
              <w:top w:val="nil"/>
              <w:left w:val="nil"/>
              <w:bottom w:val="single" w:sz="4" w:space="0" w:color="auto"/>
              <w:right w:val="single" w:sz="4" w:space="0" w:color="auto"/>
            </w:tcBorders>
            <w:shd w:val="clear" w:color="auto" w:fill="auto"/>
            <w:noWrap/>
            <w:vAlign w:val="center"/>
            <w:hideMark/>
          </w:tcPr>
          <w:p w14:paraId="539D199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39</w:t>
            </w:r>
          </w:p>
        </w:tc>
      </w:tr>
      <w:tr w:rsidR="00B32336" w:rsidRPr="008F4DF9" w14:paraId="5808C9D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7CB35AF"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Grupo de trabajo sobre la eficacia</w:t>
            </w:r>
          </w:p>
        </w:tc>
        <w:tc>
          <w:tcPr>
            <w:tcW w:w="1303" w:type="dxa"/>
            <w:tcBorders>
              <w:top w:val="nil"/>
              <w:left w:val="nil"/>
              <w:bottom w:val="single" w:sz="4" w:space="0" w:color="auto"/>
              <w:right w:val="single" w:sz="4" w:space="0" w:color="auto"/>
            </w:tcBorders>
            <w:shd w:val="clear" w:color="auto" w:fill="auto"/>
            <w:noWrap/>
            <w:vAlign w:val="center"/>
            <w:hideMark/>
          </w:tcPr>
          <w:p w14:paraId="79D763D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571E5D8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42F74B9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55</w:t>
            </w:r>
          </w:p>
        </w:tc>
        <w:tc>
          <w:tcPr>
            <w:tcW w:w="1367" w:type="dxa"/>
            <w:tcBorders>
              <w:top w:val="nil"/>
              <w:left w:val="nil"/>
              <w:bottom w:val="single" w:sz="4" w:space="0" w:color="auto"/>
              <w:right w:val="single" w:sz="4" w:space="0" w:color="auto"/>
            </w:tcBorders>
            <w:shd w:val="clear" w:color="auto" w:fill="auto"/>
            <w:noWrap/>
            <w:vAlign w:val="center"/>
            <w:hideMark/>
          </w:tcPr>
          <w:p w14:paraId="241B3B7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43C42D40"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55</w:t>
            </w:r>
          </w:p>
        </w:tc>
      </w:tr>
      <w:tr w:rsidR="00B32336" w:rsidRPr="008F4DF9" w14:paraId="2259B36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435066A"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Examen de Resoluciones (Res. XIII.4)</w:t>
            </w:r>
          </w:p>
        </w:tc>
        <w:tc>
          <w:tcPr>
            <w:tcW w:w="1303" w:type="dxa"/>
            <w:tcBorders>
              <w:top w:val="nil"/>
              <w:left w:val="nil"/>
              <w:bottom w:val="single" w:sz="4" w:space="0" w:color="auto"/>
              <w:right w:val="single" w:sz="4" w:space="0" w:color="auto"/>
            </w:tcBorders>
            <w:shd w:val="clear" w:color="auto" w:fill="auto"/>
            <w:noWrap/>
            <w:vAlign w:val="center"/>
            <w:hideMark/>
          </w:tcPr>
          <w:p w14:paraId="6143F64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074B357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6B4E065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20</w:t>
            </w:r>
          </w:p>
        </w:tc>
        <w:tc>
          <w:tcPr>
            <w:tcW w:w="1367" w:type="dxa"/>
            <w:tcBorders>
              <w:top w:val="nil"/>
              <w:left w:val="nil"/>
              <w:bottom w:val="single" w:sz="4" w:space="0" w:color="auto"/>
              <w:right w:val="single" w:sz="4" w:space="0" w:color="auto"/>
            </w:tcBorders>
            <w:shd w:val="clear" w:color="auto" w:fill="auto"/>
            <w:noWrap/>
            <w:vAlign w:val="center"/>
            <w:hideMark/>
          </w:tcPr>
          <w:p w14:paraId="2B57279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28" w:type="dxa"/>
            <w:tcBorders>
              <w:top w:val="nil"/>
              <w:left w:val="nil"/>
              <w:bottom w:val="single" w:sz="4" w:space="0" w:color="auto"/>
              <w:right w:val="single" w:sz="4" w:space="0" w:color="auto"/>
            </w:tcBorders>
            <w:shd w:val="clear" w:color="auto" w:fill="auto"/>
            <w:noWrap/>
            <w:vAlign w:val="center"/>
            <w:hideMark/>
          </w:tcPr>
          <w:p w14:paraId="4996341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20</w:t>
            </w:r>
          </w:p>
        </w:tc>
      </w:tr>
      <w:tr w:rsidR="00B32336" w:rsidRPr="008F4DF9" w14:paraId="345853DD"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6643FD62"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J. Gastos por servicios administrativos de la UICN (máximo)</w:t>
            </w:r>
          </w:p>
        </w:tc>
        <w:tc>
          <w:tcPr>
            <w:tcW w:w="1303" w:type="dxa"/>
            <w:tcBorders>
              <w:top w:val="nil"/>
              <w:left w:val="nil"/>
              <w:bottom w:val="single" w:sz="4" w:space="0" w:color="auto"/>
              <w:right w:val="single" w:sz="4" w:space="0" w:color="auto"/>
            </w:tcBorders>
            <w:shd w:val="clear" w:color="000000" w:fill="EAF1DD"/>
            <w:noWrap/>
            <w:vAlign w:val="center"/>
            <w:hideMark/>
          </w:tcPr>
          <w:p w14:paraId="595C94AE"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560</w:t>
            </w:r>
          </w:p>
        </w:tc>
        <w:tc>
          <w:tcPr>
            <w:tcW w:w="1258" w:type="dxa"/>
            <w:tcBorders>
              <w:top w:val="nil"/>
              <w:left w:val="nil"/>
              <w:bottom w:val="single" w:sz="4" w:space="0" w:color="auto"/>
              <w:right w:val="single" w:sz="4" w:space="0" w:color="auto"/>
            </w:tcBorders>
            <w:shd w:val="clear" w:color="000000" w:fill="EAF1DD"/>
            <w:noWrap/>
            <w:vAlign w:val="center"/>
            <w:hideMark/>
          </w:tcPr>
          <w:p w14:paraId="4FC0CF9F"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32E9DCA1"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367" w:type="dxa"/>
            <w:tcBorders>
              <w:top w:val="nil"/>
              <w:left w:val="nil"/>
              <w:bottom w:val="single" w:sz="4" w:space="0" w:color="auto"/>
              <w:right w:val="single" w:sz="4" w:space="0" w:color="auto"/>
            </w:tcBorders>
            <w:shd w:val="clear" w:color="000000" w:fill="EAF1DD"/>
            <w:noWrap/>
            <w:vAlign w:val="center"/>
            <w:hideMark/>
          </w:tcPr>
          <w:p w14:paraId="50C1EC79"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36</w:t>
            </w:r>
          </w:p>
        </w:tc>
        <w:tc>
          <w:tcPr>
            <w:tcW w:w="1328" w:type="dxa"/>
            <w:tcBorders>
              <w:top w:val="nil"/>
              <w:left w:val="nil"/>
              <w:bottom w:val="single" w:sz="4" w:space="0" w:color="auto"/>
              <w:right w:val="single" w:sz="4" w:space="0" w:color="auto"/>
            </w:tcBorders>
            <w:shd w:val="clear" w:color="000000" w:fill="EAF1DD"/>
            <w:noWrap/>
            <w:vAlign w:val="center"/>
            <w:hideMark/>
          </w:tcPr>
          <w:p w14:paraId="3A99AB95"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596</w:t>
            </w:r>
          </w:p>
        </w:tc>
      </w:tr>
      <w:tr w:rsidR="00B32336" w:rsidRPr="008F4DF9" w14:paraId="12912AC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B960BDE"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Administración, RR.HH., finanzas y servicios informáticos</w:t>
            </w:r>
          </w:p>
        </w:tc>
        <w:tc>
          <w:tcPr>
            <w:tcW w:w="1303" w:type="dxa"/>
            <w:tcBorders>
              <w:top w:val="nil"/>
              <w:left w:val="nil"/>
              <w:bottom w:val="single" w:sz="4" w:space="0" w:color="auto"/>
              <w:right w:val="single" w:sz="4" w:space="0" w:color="auto"/>
            </w:tcBorders>
            <w:shd w:val="clear" w:color="auto" w:fill="auto"/>
            <w:noWrap/>
            <w:vAlign w:val="center"/>
            <w:hideMark/>
          </w:tcPr>
          <w:p w14:paraId="0652218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560</w:t>
            </w:r>
          </w:p>
        </w:tc>
        <w:tc>
          <w:tcPr>
            <w:tcW w:w="1258" w:type="dxa"/>
            <w:tcBorders>
              <w:top w:val="nil"/>
              <w:left w:val="nil"/>
              <w:bottom w:val="single" w:sz="4" w:space="0" w:color="auto"/>
              <w:right w:val="single" w:sz="4" w:space="0" w:color="auto"/>
            </w:tcBorders>
            <w:shd w:val="clear" w:color="auto" w:fill="auto"/>
            <w:noWrap/>
            <w:vAlign w:val="center"/>
            <w:hideMark/>
          </w:tcPr>
          <w:p w14:paraId="17DD4F1A"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2030531E"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78F161FD"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36</w:t>
            </w:r>
          </w:p>
        </w:tc>
        <w:tc>
          <w:tcPr>
            <w:tcW w:w="1328" w:type="dxa"/>
            <w:tcBorders>
              <w:top w:val="nil"/>
              <w:left w:val="nil"/>
              <w:bottom w:val="single" w:sz="4" w:space="0" w:color="auto"/>
              <w:right w:val="single" w:sz="4" w:space="0" w:color="auto"/>
            </w:tcBorders>
            <w:shd w:val="clear" w:color="auto" w:fill="auto"/>
            <w:noWrap/>
            <w:vAlign w:val="center"/>
            <w:hideMark/>
          </w:tcPr>
          <w:p w14:paraId="5F491AAC"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596</w:t>
            </w:r>
          </w:p>
        </w:tc>
      </w:tr>
      <w:tr w:rsidR="00B32336" w:rsidRPr="008F4DF9" w14:paraId="2EF48026"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noWrap/>
            <w:vAlign w:val="center"/>
            <w:hideMark/>
          </w:tcPr>
          <w:p w14:paraId="6621E1A9"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K. Varios – Fondo de reserva</w:t>
            </w:r>
          </w:p>
        </w:tc>
        <w:tc>
          <w:tcPr>
            <w:tcW w:w="1303" w:type="dxa"/>
            <w:tcBorders>
              <w:top w:val="nil"/>
              <w:left w:val="nil"/>
              <w:bottom w:val="single" w:sz="4" w:space="0" w:color="auto"/>
              <w:right w:val="single" w:sz="4" w:space="0" w:color="auto"/>
            </w:tcBorders>
            <w:shd w:val="clear" w:color="000000" w:fill="EAF1DD"/>
            <w:noWrap/>
            <w:vAlign w:val="center"/>
            <w:hideMark/>
          </w:tcPr>
          <w:p w14:paraId="3CDB0F66"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109</w:t>
            </w:r>
          </w:p>
        </w:tc>
        <w:tc>
          <w:tcPr>
            <w:tcW w:w="1258" w:type="dxa"/>
            <w:tcBorders>
              <w:top w:val="nil"/>
              <w:left w:val="nil"/>
              <w:bottom w:val="single" w:sz="4" w:space="0" w:color="auto"/>
              <w:right w:val="single" w:sz="4" w:space="0" w:color="auto"/>
            </w:tcBorders>
            <w:shd w:val="clear" w:color="000000" w:fill="EAF1DD"/>
            <w:noWrap/>
            <w:vAlign w:val="center"/>
            <w:hideMark/>
          </w:tcPr>
          <w:p w14:paraId="3AEA9153"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53D5EBC0"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25</w:t>
            </w:r>
          </w:p>
        </w:tc>
        <w:tc>
          <w:tcPr>
            <w:tcW w:w="1367" w:type="dxa"/>
            <w:tcBorders>
              <w:top w:val="nil"/>
              <w:left w:val="nil"/>
              <w:bottom w:val="single" w:sz="4" w:space="0" w:color="auto"/>
              <w:right w:val="single" w:sz="4" w:space="0" w:color="auto"/>
            </w:tcBorders>
            <w:shd w:val="clear" w:color="000000" w:fill="EAF1DD"/>
            <w:noWrap/>
            <w:vAlign w:val="center"/>
            <w:hideMark/>
          </w:tcPr>
          <w:p w14:paraId="50C21358"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26</w:t>
            </w:r>
          </w:p>
        </w:tc>
        <w:tc>
          <w:tcPr>
            <w:tcW w:w="1328" w:type="dxa"/>
            <w:tcBorders>
              <w:top w:val="nil"/>
              <w:left w:val="nil"/>
              <w:bottom w:val="single" w:sz="4" w:space="0" w:color="auto"/>
              <w:right w:val="single" w:sz="4" w:space="0" w:color="auto"/>
            </w:tcBorders>
            <w:shd w:val="clear" w:color="000000" w:fill="EAF1DD"/>
            <w:noWrap/>
            <w:vAlign w:val="center"/>
            <w:hideMark/>
          </w:tcPr>
          <w:p w14:paraId="406CF4B4"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160</w:t>
            </w:r>
          </w:p>
        </w:tc>
      </w:tr>
      <w:tr w:rsidR="00B32336" w:rsidRPr="008F4DF9" w14:paraId="19956BF8"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4E4F4B6"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Provisiones</w:t>
            </w:r>
          </w:p>
        </w:tc>
        <w:tc>
          <w:tcPr>
            <w:tcW w:w="1303" w:type="dxa"/>
            <w:tcBorders>
              <w:top w:val="nil"/>
              <w:left w:val="nil"/>
              <w:bottom w:val="single" w:sz="4" w:space="0" w:color="auto"/>
              <w:right w:val="single" w:sz="4" w:space="0" w:color="auto"/>
            </w:tcBorders>
            <w:shd w:val="clear" w:color="auto" w:fill="auto"/>
            <w:noWrap/>
            <w:vAlign w:val="center"/>
            <w:hideMark/>
          </w:tcPr>
          <w:p w14:paraId="0E8CF23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50</w:t>
            </w:r>
          </w:p>
        </w:tc>
        <w:tc>
          <w:tcPr>
            <w:tcW w:w="1258" w:type="dxa"/>
            <w:tcBorders>
              <w:top w:val="nil"/>
              <w:left w:val="nil"/>
              <w:bottom w:val="single" w:sz="4" w:space="0" w:color="auto"/>
              <w:right w:val="single" w:sz="4" w:space="0" w:color="auto"/>
            </w:tcBorders>
            <w:shd w:val="clear" w:color="auto" w:fill="auto"/>
            <w:noWrap/>
            <w:vAlign w:val="center"/>
            <w:hideMark/>
          </w:tcPr>
          <w:p w14:paraId="5033EFE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73867FC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09E0C47F"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6</w:t>
            </w:r>
          </w:p>
        </w:tc>
        <w:tc>
          <w:tcPr>
            <w:tcW w:w="1328" w:type="dxa"/>
            <w:tcBorders>
              <w:top w:val="nil"/>
              <w:left w:val="nil"/>
              <w:bottom w:val="single" w:sz="4" w:space="0" w:color="auto"/>
              <w:right w:val="single" w:sz="4" w:space="0" w:color="auto"/>
            </w:tcBorders>
            <w:shd w:val="clear" w:color="auto" w:fill="auto"/>
            <w:noWrap/>
            <w:vAlign w:val="center"/>
            <w:hideMark/>
          </w:tcPr>
          <w:p w14:paraId="0EDEEF77"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56</w:t>
            </w:r>
          </w:p>
        </w:tc>
      </w:tr>
      <w:tr w:rsidR="00B32336" w:rsidRPr="008F4DF9" w14:paraId="0247399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45BC45D"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Ganancias / pérdidas por fluctuaciones del tipo de cambio</w:t>
            </w:r>
          </w:p>
        </w:tc>
        <w:tc>
          <w:tcPr>
            <w:tcW w:w="1303" w:type="dxa"/>
            <w:tcBorders>
              <w:top w:val="nil"/>
              <w:left w:val="nil"/>
              <w:bottom w:val="single" w:sz="4" w:space="0" w:color="auto"/>
              <w:right w:val="single" w:sz="4" w:space="0" w:color="auto"/>
            </w:tcBorders>
            <w:shd w:val="clear" w:color="auto" w:fill="auto"/>
            <w:noWrap/>
            <w:vAlign w:val="center"/>
            <w:hideMark/>
          </w:tcPr>
          <w:p w14:paraId="1F88F143"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58" w:type="dxa"/>
            <w:tcBorders>
              <w:top w:val="nil"/>
              <w:left w:val="nil"/>
              <w:bottom w:val="single" w:sz="4" w:space="0" w:color="auto"/>
              <w:right w:val="single" w:sz="4" w:space="0" w:color="auto"/>
            </w:tcBorders>
            <w:shd w:val="clear" w:color="auto" w:fill="auto"/>
            <w:noWrap/>
            <w:vAlign w:val="center"/>
            <w:hideMark/>
          </w:tcPr>
          <w:p w14:paraId="639C6A22"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2A08F8B"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14:paraId="64AF7E44"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(29)</w:t>
            </w:r>
          </w:p>
        </w:tc>
        <w:tc>
          <w:tcPr>
            <w:tcW w:w="1328" w:type="dxa"/>
            <w:tcBorders>
              <w:top w:val="nil"/>
              <w:left w:val="nil"/>
              <w:bottom w:val="single" w:sz="4" w:space="0" w:color="auto"/>
              <w:right w:val="single" w:sz="4" w:space="0" w:color="auto"/>
            </w:tcBorders>
            <w:shd w:val="clear" w:color="auto" w:fill="auto"/>
            <w:noWrap/>
            <w:vAlign w:val="center"/>
            <w:hideMark/>
          </w:tcPr>
          <w:p w14:paraId="3B8BEE71"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(29)</w:t>
            </w:r>
          </w:p>
        </w:tc>
      </w:tr>
      <w:tr w:rsidR="00B32336" w:rsidRPr="008F4DF9" w14:paraId="36D454C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1786BB0" w14:textId="77777777" w:rsidR="00B32336" w:rsidRPr="008F4DF9" w:rsidRDefault="00B32336" w:rsidP="00B32336">
            <w:pPr>
              <w:ind w:left="0" w:firstLine="0"/>
              <w:rPr>
                <w:rFonts w:eastAsia="Times New Roman" w:cs="Calibri"/>
                <w:color w:val="000000"/>
                <w:sz w:val="20"/>
                <w:szCs w:val="20"/>
              </w:rPr>
            </w:pPr>
            <w:r w:rsidRPr="008F4DF9">
              <w:rPr>
                <w:color w:val="000000"/>
                <w:sz w:val="20"/>
                <w:szCs w:val="20"/>
              </w:rPr>
              <w:t>Servicios jurídicos</w:t>
            </w:r>
          </w:p>
        </w:tc>
        <w:tc>
          <w:tcPr>
            <w:tcW w:w="1303" w:type="dxa"/>
            <w:tcBorders>
              <w:top w:val="nil"/>
              <w:left w:val="nil"/>
              <w:bottom w:val="single" w:sz="4" w:space="0" w:color="auto"/>
              <w:right w:val="single" w:sz="4" w:space="0" w:color="auto"/>
            </w:tcBorders>
            <w:shd w:val="clear" w:color="auto" w:fill="auto"/>
            <w:noWrap/>
            <w:vAlign w:val="center"/>
            <w:hideMark/>
          </w:tcPr>
          <w:p w14:paraId="03C7E3A9" w14:textId="77777777" w:rsidR="00B32336" w:rsidRPr="008F4DF9" w:rsidRDefault="00B32336" w:rsidP="00B32336">
            <w:pPr>
              <w:ind w:left="0" w:firstLine="0"/>
              <w:jc w:val="right"/>
              <w:rPr>
                <w:rFonts w:eastAsia="Times New Roman" w:cs="Calibri"/>
                <w:sz w:val="20"/>
                <w:szCs w:val="20"/>
              </w:rPr>
            </w:pPr>
            <w:r w:rsidRPr="008F4DF9">
              <w:rPr>
                <w:sz w:val="20"/>
                <w:szCs w:val="20"/>
              </w:rPr>
              <w:t>59</w:t>
            </w:r>
          </w:p>
        </w:tc>
        <w:tc>
          <w:tcPr>
            <w:tcW w:w="1258" w:type="dxa"/>
            <w:tcBorders>
              <w:top w:val="nil"/>
              <w:left w:val="nil"/>
              <w:bottom w:val="single" w:sz="4" w:space="0" w:color="auto"/>
              <w:right w:val="single" w:sz="4" w:space="0" w:color="auto"/>
            </w:tcBorders>
            <w:shd w:val="clear" w:color="auto" w:fill="auto"/>
            <w:noWrap/>
            <w:vAlign w:val="center"/>
            <w:hideMark/>
          </w:tcPr>
          <w:p w14:paraId="26756EA8" w14:textId="77777777" w:rsidR="00B32336" w:rsidRPr="008F4DF9" w:rsidRDefault="00B32336" w:rsidP="00B32336">
            <w:pPr>
              <w:ind w:left="0" w:firstLine="0"/>
              <w:jc w:val="right"/>
              <w:rPr>
                <w:rFonts w:eastAsia="Times New Roman" w:cs="Calibri"/>
                <w:sz w:val="20"/>
                <w:szCs w:val="20"/>
              </w:rPr>
            </w:pPr>
            <w:r w:rsidRPr="008F4DF9">
              <w:rPr>
                <w:sz w:val="20"/>
                <w:szCs w:val="20"/>
              </w:rPr>
              <w:t>0</w:t>
            </w:r>
          </w:p>
        </w:tc>
        <w:tc>
          <w:tcPr>
            <w:tcW w:w="1286" w:type="dxa"/>
            <w:tcBorders>
              <w:top w:val="nil"/>
              <w:left w:val="nil"/>
              <w:bottom w:val="single" w:sz="4" w:space="0" w:color="auto"/>
              <w:right w:val="single" w:sz="4" w:space="0" w:color="auto"/>
            </w:tcBorders>
            <w:shd w:val="clear" w:color="auto" w:fill="auto"/>
            <w:noWrap/>
            <w:vAlign w:val="center"/>
            <w:hideMark/>
          </w:tcPr>
          <w:p w14:paraId="0222E674" w14:textId="77777777" w:rsidR="00B32336" w:rsidRPr="008F4DF9" w:rsidRDefault="00B32336" w:rsidP="00B32336">
            <w:pPr>
              <w:ind w:left="0" w:firstLine="0"/>
              <w:jc w:val="right"/>
              <w:rPr>
                <w:rFonts w:eastAsia="Times New Roman" w:cs="Calibri"/>
                <w:sz w:val="20"/>
                <w:szCs w:val="20"/>
              </w:rPr>
            </w:pPr>
            <w:r w:rsidRPr="008F4DF9">
              <w:rPr>
                <w:sz w:val="20"/>
                <w:szCs w:val="20"/>
              </w:rPr>
              <w:t>25</w:t>
            </w:r>
          </w:p>
        </w:tc>
        <w:tc>
          <w:tcPr>
            <w:tcW w:w="1367" w:type="dxa"/>
            <w:tcBorders>
              <w:top w:val="nil"/>
              <w:left w:val="nil"/>
              <w:bottom w:val="single" w:sz="4" w:space="0" w:color="auto"/>
              <w:right w:val="single" w:sz="4" w:space="0" w:color="auto"/>
            </w:tcBorders>
            <w:shd w:val="clear" w:color="auto" w:fill="auto"/>
            <w:noWrap/>
            <w:vAlign w:val="center"/>
            <w:hideMark/>
          </w:tcPr>
          <w:p w14:paraId="0FEF9768"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49</w:t>
            </w:r>
          </w:p>
        </w:tc>
        <w:tc>
          <w:tcPr>
            <w:tcW w:w="1328" w:type="dxa"/>
            <w:tcBorders>
              <w:top w:val="nil"/>
              <w:left w:val="nil"/>
              <w:bottom w:val="single" w:sz="4" w:space="0" w:color="auto"/>
              <w:right w:val="single" w:sz="4" w:space="0" w:color="auto"/>
            </w:tcBorders>
            <w:shd w:val="clear" w:color="auto" w:fill="auto"/>
            <w:noWrap/>
            <w:vAlign w:val="center"/>
            <w:hideMark/>
          </w:tcPr>
          <w:p w14:paraId="75902B26" w14:textId="77777777" w:rsidR="00B32336" w:rsidRPr="008F4DF9" w:rsidRDefault="00B32336" w:rsidP="00B32336">
            <w:pPr>
              <w:ind w:left="0" w:firstLine="0"/>
              <w:jc w:val="right"/>
              <w:rPr>
                <w:rFonts w:eastAsia="Times New Roman" w:cs="Calibri"/>
                <w:color w:val="000000"/>
                <w:sz w:val="20"/>
                <w:szCs w:val="20"/>
              </w:rPr>
            </w:pPr>
            <w:r w:rsidRPr="008F4DF9">
              <w:rPr>
                <w:color w:val="000000"/>
                <w:sz w:val="20"/>
                <w:szCs w:val="20"/>
              </w:rPr>
              <w:t>133</w:t>
            </w:r>
          </w:p>
        </w:tc>
      </w:tr>
      <w:tr w:rsidR="00B32336" w:rsidRPr="008F4DF9" w14:paraId="5581D6C0"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D6E3BC"/>
            <w:noWrap/>
            <w:vAlign w:val="center"/>
            <w:hideMark/>
          </w:tcPr>
          <w:p w14:paraId="0AC44503" w14:textId="147AFE8E" w:rsidR="00B32336" w:rsidRPr="008F4DF9" w:rsidRDefault="009154DA" w:rsidP="00B32336">
            <w:pPr>
              <w:ind w:left="0" w:firstLine="0"/>
              <w:rPr>
                <w:rFonts w:eastAsia="Times New Roman" w:cs="Calibri"/>
                <w:b/>
                <w:bCs/>
                <w:color w:val="000000"/>
                <w:sz w:val="20"/>
                <w:szCs w:val="20"/>
              </w:rPr>
            </w:pPr>
            <w:r>
              <w:rPr>
                <w:b/>
                <w:bCs/>
                <w:color w:val="000000"/>
                <w:sz w:val="20"/>
                <w:szCs w:val="20"/>
              </w:rPr>
              <w:t>TOTAL,</w:t>
            </w:r>
            <w:r w:rsidR="000308D5" w:rsidRPr="008F4DF9">
              <w:rPr>
                <w:b/>
                <w:bCs/>
                <w:color w:val="000000"/>
                <w:sz w:val="20"/>
                <w:szCs w:val="20"/>
              </w:rPr>
              <w:t xml:space="preserve"> GASTOS</w:t>
            </w:r>
          </w:p>
        </w:tc>
        <w:tc>
          <w:tcPr>
            <w:tcW w:w="1303" w:type="dxa"/>
            <w:tcBorders>
              <w:top w:val="nil"/>
              <w:left w:val="nil"/>
              <w:bottom w:val="single" w:sz="4" w:space="0" w:color="auto"/>
              <w:right w:val="single" w:sz="4" w:space="0" w:color="auto"/>
            </w:tcBorders>
            <w:shd w:val="clear" w:color="000000" w:fill="D6E3BC"/>
            <w:noWrap/>
            <w:vAlign w:val="center"/>
            <w:hideMark/>
          </w:tcPr>
          <w:p w14:paraId="26982FDA" w14:textId="46475885"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w:t>
            </w:r>
            <w:r w:rsidR="00652E0C" w:rsidRPr="008F4DF9">
              <w:rPr>
                <w:b/>
                <w:bCs/>
                <w:color w:val="000000"/>
                <w:sz w:val="20"/>
                <w:szCs w:val="20"/>
              </w:rPr>
              <w:t> </w:t>
            </w:r>
            <w:r w:rsidRPr="008F4DF9">
              <w:rPr>
                <w:b/>
                <w:bCs/>
                <w:color w:val="000000"/>
                <w:sz w:val="20"/>
                <w:szCs w:val="20"/>
              </w:rPr>
              <w:t>081</w:t>
            </w:r>
          </w:p>
        </w:tc>
        <w:tc>
          <w:tcPr>
            <w:tcW w:w="1258" w:type="dxa"/>
            <w:tcBorders>
              <w:top w:val="nil"/>
              <w:left w:val="nil"/>
              <w:bottom w:val="single" w:sz="4" w:space="0" w:color="auto"/>
              <w:right w:val="single" w:sz="4" w:space="0" w:color="auto"/>
            </w:tcBorders>
            <w:shd w:val="clear" w:color="000000" w:fill="D6E3BC"/>
            <w:noWrap/>
            <w:vAlign w:val="center"/>
            <w:hideMark/>
          </w:tcPr>
          <w:p w14:paraId="377074AB"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76</w:t>
            </w:r>
          </w:p>
        </w:tc>
        <w:tc>
          <w:tcPr>
            <w:tcW w:w="1286" w:type="dxa"/>
            <w:tcBorders>
              <w:top w:val="nil"/>
              <w:left w:val="nil"/>
              <w:bottom w:val="single" w:sz="4" w:space="0" w:color="auto"/>
              <w:right w:val="single" w:sz="4" w:space="0" w:color="auto"/>
            </w:tcBorders>
            <w:shd w:val="clear" w:color="000000" w:fill="D6E3BC"/>
            <w:noWrap/>
            <w:vAlign w:val="center"/>
            <w:hideMark/>
          </w:tcPr>
          <w:p w14:paraId="70389FFB"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588</w:t>
            </w:r>
          </w:p>
        </w:tc>
        <w:tc>
          <w:tcPr>
            <w:tcW w:w="1367" w:type="dxa"/>
            <w:tcBorders>
              <w:top w:val="nil"/>
              <w:left w:val="nil"/>
              <w:bottom w:val="single" w:sz="4" w:space="0" w:color="auto"/>
              <w:right w:val="single" w:sz="4" w:space="0" w:color="auto"/>
            </w:tcBorders>
            <w:shd w:val="clear" w:color="000000" w:fill="D6E3BC"/>
            <w:noWrap/>
            <w:vAlign w:val="center"/>
            <w:hideMark/>
          </w:tcPr>
          <w:p w14:paraId="475E548C" w14:textId="77777777"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919</w:t>
            </w:r>
          </w:p>
        </w:tc>
        <w:tc>
          <w:tcPr>
            <w:tcW w:w="1328" w:type="dxa"/>
            <w:tcBorders>
              <w:top w:val="nil"/>
              <w:left w:val="nil"/>
              <w:bottom w:val="single" w:sz="4" w:space="0" w:color="auto"/>
              <w:right w:val="single" w:sz="4" w:space="0" w:color="auto"/>
            </w:tcBorders>
            <w:shd w:val="clear" w:color="000000" w:fill="D6E3BC"/>
            <w:noWrap/>
            <w:vAlign w:val="center"/>
            <w:hideMark/>
          </w:tcPr>
          <w:p w14:paraId="08DE5C26" w14:textId="5739FE19" w:rsidR="00B32336" w:rsidRPr="008F4DF9" w:rsidRDefault="00B32336" w:rsidP="00B32336">
            <w:pPr>
              <w:ind w:left="0" w:firstLine="0"/>
              <w:jc w:val="right"/>
              <w:rPr>
                <w:rFonts w:eastAsia="Times New Roman" w:cs="Calibri"/>
                <w:b/>
                <w:bCs/>
                <w:color w:val="000000"/>
                <w:sz w:val="20"/>
                <w:szCs w:val="20"/>
              </w:rPr>
            </w:pPr>
            <w:r w:rsidRPr="008F4DF9">
              <w:rPr>
                <w:b/>
                <w:bCs/>
                <w:color w:val="000000"/>
                <w:sz w:val="20"/>
                <w:szCs w:val="20"/>
              </w:rPr>
              <w:t>6</w:t>
            </w:r>
            <w:r w:rsidR="00652E0C" w:rsidRPr="008F4DF9">
              <w:rPr>
                <w:b/>
                <w:bCs/>
                <w:color w:val="000000"/>
                <w:sz w:val="20"/>
                <w:szCs w:val="20"/>
              </w:rPr>
              <w:t> </w:t>
            </w:r>
            <w:r w:rsidRPr="008F4DF9">
              <w:rPr>
                <w:b/>
                <w:bCs/>
                <w:color w:val="000000"/>
                <w:sz w:val="20"/>
                <w:szCs w:val="20"/>
              </w:rPr>
              <w:t>664</w:t>
            </w:r>
          </w:p>
        </w:tc>
      </w:tr>
    </w:tbl>
    <w:p w14:paraId="0B72953E" w14:textId="77777777" w:rsidR="00B32336" w:rsidRPr="008F4DF9" w:rsidRDefault="00B32336" w:rsidP="0012722A">
      <w:pPr>
        <w:ind w:left="0" w:right="-154" w:firstLine="0"/>
        <w:rPr>
          <w:sz w:val="20"/>
          <w:szCs w:val="20"/>
        </w:rPr>
      </w:pPr>
    </w:p>
    <w:sectPr w:rsidR="00B32336" w:rsidRPr="008F4DF9" w:rsidSect="001B3288">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D352" w14:textId="77777777" w:rsidR="00C02579" w:rsidRDefault="00C02579" w:rsidP="00DF2386">
      <w:r>
        <w:separator/>
      </w:r>
    </w:p>
  </w:endnote>
  <w:endnote w:type="continuationSeparator" w:id="0">
    <w:p w14:paraId="7473F3E2" w14:textId="77777777" w:rsidR="00C02579" w:rsidRDefault="00C0257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2D52C4DF" w:rsidR="00C02579" w:rsidRDefault="00C02579" w:rsidP="002137E0">
    <w:pPr>
      <w:pStyle w:val="Header"/>
      <w:rPr>
        <w:noProof/>
      </w:rPr>
    </w:pPr>
    <w:r>
      <w:rPr>
        <w:sz w:val="20"/>
        <w:szCs w:val="20"/>
      </w:rPr>
      <w:t>SC58 Doc.8.2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45CBE">
          <w:rPr>
            <w:noProof/>
            <w:sz w:val="20"/>
            <w:szCs w:val="20"/>
          </w:rPr>
          <w:t>22</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1C96" w14:textId="77777777" w:rsidR="00C02579" w:rsidRDefault="00C02579" w:rsidP="00DF2386">
      <w:r>
        <w:separator/>
      </w:r>
    </w:p>
  </w:footnote>
  <w:footnote w:type="continuationSeparator" w:id="0">
    <w:p w14:paraId="42D8AD04" w14:textId="77777777" w:rsidR="00C02579" w:rsidRDefault="00C02579" w:rsidP="00DF2386">
      <w:r>
        <w:continuationSeparator/>
      </w:r>
    </w:p>
  </w:footnote>
  <w:footnote w:id="1">
    <w:p w14:paraId="3815565D" w14:textId="36159F95" w:rsidR="00C02579" w:rsidRPr="00652E0C" w:rsidRDefault="00C02579" w:rsidP="00CB6134">
      <w:pPr>
        <w:pStyle w:val="FootnoteText"/>
        <w:rPr>
          <w:lang w:val="fr-FR"/>
        </w:rPr>
      </w:pPr>
      <w:r>
        <w:rPr>
          <w:rStyle w:val="FootnoteReference"/>
        </w:rPr>
        <w:footnoteRef/>
      </w:r>
      <w:r w:rsidRPr="00652E0C">
        <w:rPr>
          <w:lang w:val="fr-FR"/>
        </w:rPr>
        <w:t xml:space="preserve"> Véase </w:t>
      </w:r>
      <w:hyperlink r:id="rId1" w:history="1">
        <w:r w:rsidRPr="00652E0C">
          <w:rPr>
            <w:rStyle w:val="Hyperlink"/>
            <w:lang w:val="fr-FR"/>
          </w:rPr>
          <w:t>https://www.ramsar.org/sites/default/files/documents/library/report_auditor_ramsar_2019_e.pdf</w:t>
        </w:r>
      </w:hyperlink>
      <w:r w:rsidRPr="00652E0C">
        <w:rPr>
          <w:lang w:val="fr-FR"/>
        </w:rPr>
        <w:t>.</w:t>
      </w:r>
    </w:p>
  </w:footnote>
  <w:footnote w:id="2">
    <w:p w14:paraId="63C0602E" w14:textId="01E77807" w:rsidR="00C02579" w:rsidRDefault="00C02579" w:rsidP="00301DF1">
      <w:pPr>
        <w:pStyle w:val="FootnoteText"/>
        <w:ind w:left="0" w:firstLine="0"/>
      </w:pPr>
      <w:r>
        <w:rPr>
          <w:rStyle w:val="FootnoteReference"/>
        </w:rPr>
        <w:footnoteRef/>
      </w:r>
      <w:r>
        <w:t xml:space="preserve"> Véase el párrafo 23 de la Resolución X.2 sobre </w:t>
      </w:r>
      <w:r>
        <w:rPr>
          <w:i/>
          <w:iCs/>
        </w:rPr>
        <w:t>Asuntos financieros y presupuestarios</w:t>
      </w:r>
      <w:r>
        <w:t xml:space="preserve">, </w:t>
      </w:r>
      <w:hyperlink r:id="rId2" w:history="1">
        <w:r>
          <w:rPr>
            <w:rStyle w:val="Hyperlink"/>
          </w:rPr>
          <w:t>https://www.ramsar.org/es/documento/resolucion-x2-asuntos-financieros-y-presupuestarios</w:t>
        </w:r>
      </w:hyperlink>
      <w:r>
        <w:t>.</w:t>
      </w:r>
    </w:p>
  </w:footnote>
  <w:footnote w:id="3">
    <w:p w14:paraId="7D2F486B" w14:textId="5F2E9991" w:rsidR="00C02579" w:rsidRDefault="00C02579" w:rsidP="00C02579">
      <w:pPr>
        <w:pStyle w:val="FootnoteText"/>
        <w:ind w:left="0" w:firstLine="0"/>
      </w:pPr>
      <w:r>
        <w:rPr>
          <w:rStyle w:val="FootnoteReference"/>
        </w:rPr>
        <w:footnoteRef/>
      </w:r>
      <w:r>
        <w:t xml:space="preserve"> Véase </w:t>
      </w:r>
      <w:hyperlink r:id="rId3" w:history="1">
        <w:r>
          <w:rPr>
            <w:rStyle w:val="Hyperlink"/>
          </w:rPr>
          <w:t>https://www.ramsar.org/es/documento/sc55-doc82-examen-financiero-de-los-fondos-complementarios-por-la-uicn</w:t>
        </w:r>
      </w:hyperlink>
    </w:p>
  </w:footnote>
  <w:footnote w:id="4">
    <w:p w14:paraId="75CD008C" w14:textId="6015DB48" w:rsidR="00C02579" w:rsidRDefault="00C02579" w:rsidP="006A24F1">
      <w:pPr>
        <w:pStyle w:val="FootnoteText"/>
        <w:ind w:left="0" w:firstLine="0"/>
      </w:pPr>
      <w:r>
        <w:rPr>
          <w:rStyle w:val="FootnoteReference"/>
        </w:rPr>
        <w:footnoteRef/>
      </w:r>
      <w:r>
        <w:t xml:space="preserve"> Véanse las notas de los estados auditados en </w:t>
      </w:r>
      <w:hyperlink r:id="rId4" w:history="1">
        <w:r>
          <w:rPr>
            <w:rStyle w:val="Hyperlink"/>
          </w:rPr>
          <w:t>https://www.ramsar.org/sites/default/files/documents/library/report_auditor_ramsar_2019_e.pdf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2"/>
  </w:num>
  <w:num w:numId="7">
    <w:abstractNumId w:val="1"/>
  </w:num>
  <w:num w:numId="8">
    <w:abstractNumId w:val="5"/>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4171"/>
    <w:rsid w:val="00005D80"/>
    <w:rsid w:val="00006CF6"/>
    <w:rsid w:val="00007309"/>
    <w:rsid w:val="00007908"/>
    <w:rsid w:val="0001295D"/>
    <w:rsid w:val="00013B5D"/>
    <w:rsid w:val="00014168"/>
    <w:rsid w:val="00014DD6"/>
    <w:rsid w:val="00017583"/>
    <w:rsid w:val="00017A16"/>
    <w:rsid w:val="00020298"/>
    <w:rsid w:val="00020C2D"/>
    <w:rsid w:val="00020C56"/>
    <w:rsid w:val="00021F0E"/>
    <w:rsid w:val="00024104"/>
    <w:rsid w:val="0002452B"/>
    <w:rsid w:val="00024537"/>
    <w:rsid w:val="00024832"/>
    <w:rsid w:val="00024E01"/>
    <w:rsid w:val="00025210"/>
    <w:rsid w:val="00026E09"/>
    <w:rsid w:val="0002761D"/>
    <w:rsid w:val="000279C5"/>
    <w:rsid w:val="00027FCD"/>
    <w:rsid w:val="000308AC"/>
    <w:rsid w:val="000308D5"/>
    <w:rsid w:val="00030DC9"/>
    <w:rsid w:val="00031058"/>
    <w:rsid w:val="00031851"/>
    <w:rsid w:val="0003253E"/>
    <w:rsid w:val="00032E44"/>
    <w:rsid w:val="00034C8A"/>
    <w:rsid w:val="00037CE0"/>
    <w:rsid w:val="0004214F"/>
    <w:rsid w:val="00044E37"/>
    <w:rsid w:val="00047393"/>
    <w:rsid w:val="000506B6"/>
    <w:rsid w:val="000518FC"/>
    <w:rsid w:val="00053929"/>
    <w:rsid w:val="00056AA6"/>
    <w:rsid w:val="000575AD"/>
    <w:rsid w:val="0006178A"/>
    <w:rsid w:val="00062093"/>
    <w:rsid w:val="0006294A"/>
    <w:rsid w:val="00062A46"/>
    <w:rsid w:val="0006326D"/>
    <w:rsid w:val="00063F47"/>
    <w:rsid w:val="00064E24"/>
    <w:rsid w:val="00064EA7"/>
    <w:rsid w:val="00065B4A"/>
    <w:rsid w:val="00065E42"/>
    <w:rsid w:val="00067EDC"/>
    <w:rsid w:val="000732F2"/>
    <w:rsid w:val="00073E51"/>
    <w:rsid w:val="00074DE8"/>
    <w:rsid w:val="000776EE"/>
    <w:rsid w:val="00082297"/>
    <w:rsid w:val="0008231A"/>
    <w:rsid w:val="0008295B"/>
    <w:rsid w:val="00082D5E"/>
    <w:rsid w:val="000844F9"/>
    <w:rsid w:val="0008758E"/>
    <w:rsid w:val="000875B8"/>
    <w:rsid w:val="00095913"/>
    <w:rsid w:val="00096FAE"/>
    <w:rsid w:val="00097AE5"/>
    <w:rsid w:val="00097C4A"/>
    <w:rsid w:val="000A0568"/>
    <w:rsid w:val="000A156E"/>
    <w:rsid w:val="000A212C"/>
    <w:rsid w:val="000A3E3E"/>
    <w:rsid w:val="000B0EA8"/>
    <w:rsid w:val="000B13F3"/>
    <w:rsid w:val="000B16B8"/>
    <w:rsid w:val="000B1951"/>
    <w:rsid w:val="000B2366"/>
    <w:rsid w:val="000B2759"/>
    <w:rsid w:val="000B2D8F"/>
    <w:rsid w:val="000B380C"/>
    <w:rsid w:val="000B4332"/>
    <w:rsid w:val="000B6881"/>
    <w:rsid w:val="000C10F5"/>
    <w:rsid w:val="000C2046"/>
    <w:rsid w:val="000C240E"/>
    <w:rsid w:val="000C2489"/>
    <w:rsid w:val="000C3829"/>
    <w:rsid w:val="000C3FCA"/>
    <w:rsid w:val="000C57BA"/>
    <w:rsid w:val="000C5FFB"/>
    <w:rsid w:val="000C6755"/>
    <w:rsid w:val="000C786F"/>
    <w:rsid w:val="000D1BFA"/>
    <w:rsid w:val="000D3FBF"/>
    <w:rsid w:val="000D46E7"/>
    <w:rsid w:val="000D5C76"/>
    <w:rsid w:val="000D6AC7"/>
    <w:rsid w:val="000E18F4"/>
    <w:rsid w:val="000E2FA0"/>
    <w:rsid w:val="000E34D0"/>
    <w:rsid w:val="000E47E9"/>
    <w:rsid w:val="000E6DC0"/>
    <w:rsid w:val="000E7FB6"/>
    <w:rsid w:val="000F001B"/>
    <w:rsid w:val="000F051B"/>
    <w:rsid w:val="000F05DB"/>
    <w:rsid w:val="000F4030"/>
    <w:rsid w:val="000F435C"/>
    <w:rsid w:val="000F5372"/>
    <w:rsid w:val="000F547A"/>
    <w:rsid w:val="000F55F2"/>
    <w:rsid w:val="000F5E23"/>
    <w:rsid w:val="000F66B9"/>
    <w:rsid w:val="000F710F"/>
    <w:rsid w:val="001002FA"/>
    <w:rsid w:val="00103196"/>
    <w:rsid w:val="001032EA"/>
    <w:rsid w:val="00103B40"/>
    <w:rsid w:val="00105960"/>
    <w:rsid w:val="00105D6D"/>
    <w:rsid w:val="001068D9"/>
    <w:rsid w:val="00106C18"/>
    <w:rsid w:val="00107704"/>
    <w:rsid w:val="00107F64"/>
    <w:rsid w:val="00107FE6"/>
    <w:rsid w:val="0011042A"/>
    <w:rsid w:val="00110B4F"/>
    <w:rsid w:val="00110C51"/>
    <w:rsid w:val="00112016"/>
    <w:rsid w:val="0011271D"/>
    <w:rsid w:val="00112F62"/>
    <w:rsid w:val="00114BA0"/>
    <w:rsid w:val="00115F0E"/>
    <w:rsid w:val="00120823"/>
    <w:rsid w:val="0012096C"/>
    <w:rsid w:val="00122175"/>
    <w:rsid w:val="0012223B"/>
    <w:rsid w:val="0012252E"/>
    <w:rsid w:val="0012277D"/>
    <w:rsid w:val="00123E7D"/>
    <w:rsid w:val="0012507E"/>
    <w:rsid w:val="00126808"/>
    <w:rsid w:val="0012722A"/>
    <w:rsid w:val="00127828"/>
    <w:rsid w:val="00127B41"/>
    <w:rsid w:val="001319B8"/>
    <w:rsid w:val="0013219D"/>
    <w:rsid w:val="00133C51"/>
    <w:rsid w:val="0013410C"/>
    <w:rsid w:val="00134BDB"/>
    <w:rsid w:val="0013536D"/>
    <w:rsid w:val="001404C4"/>
    <w:rsid w:val="00140EA0"/>
    <w:rsid w:val="001419BE"/>
    <w:rsid w:val="001438BD"/>
    <w:rsid w:val="00143C80"/>
    <w:rsid w:val="00144820"/>
    <w:rsid w:val="00145434"/>
    <w:rsid w:val="001458BE"/>
    <w:rsid w:val="00147DAD"/>
    <w:rsid w:val="001504A4"/>
    <w:rsid w:val="00150C96"/>
    <w:rsid w:val="00150E18"/>
    <w:rsid w:val="00150F4B"/>
    <w:rsid w:val="00151B98"/>
    <w:rsid w:val="00152AA1"/>
    <w:rsid w:val="0015502B"/>
    <w:rsid w:val="00155171"/>
    <w:rsid w:val="00155710"/>
    <w:rsid w:val="00155F5F"/>
    <w:rsid w:val="001571E1"/>
    <w:rsid w:val="001614FA"/>
    <w:rsid w:val="00161BDA"/>
    <w:rsid w:val="00162710"/>
    <w:rsid w:val="00162EE8"/>
    <w:rsid w:val="00163F72"/>
    <w:rsid w:val="00164326"/>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8B3"/>
    <w:rsid w:val="001819B1"/>
    <w:rsid w:val="00181A6C"/>
    <w:rsid w:val="00182B75"/>
    <w:rsid w:val="00183EDE"/>
    <w:rsid w:val="0018460B"/>
    <w:rsid w:val="00184E6B"/>
    <w:rsid w:val="0018553C"/>
    <w:rsid w:val="001855E9"/>
    <w:rsid w:val="00186339"/>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B20EC"/>
    <w:rsid w:val="001B3288"/>
    <w:rsid w:val="001B551E"/>
    <w:rsid w:val="001B5DAB"/>
    <w:rsid w:val="001B6041"/>
    <w:rsid w:val="001B67AA"/>
    <w:rsid w:val="001B6A54"/>
    <w:rsid w:val="001B73C2"/>
    <w:rsid w:val="001C0243"/>
    <w:rsid w:val="001C11BE"/>
    <w:rsid w:val="001C5386"/>
    <w:rsid w:val="001C5E41"/>
    <w:rsid w:val="001C77BC"/>
    <w:rsid w:val="001D0741"/>
    <w:rsid w:val="001D0B77"/>
    <w:rsid w:val="001D1E46"/>
    <w:rsid w:val="001D2107"/>
    <w:rsid w:val="001D3678"/>
    <w:rsid w:val="001D3FD1"/>
    <w:rsid w:val="001D48BB"/>
    <w:rsid w:val="001D58A8"/>
    <w:rsid w:val="001D5B80"/>
    <w:rsid w:val="001D71EF"/>
    <w:rsid w:val="001D72F3"/>
    <w:rsid w:val="001E00E3"/>
    <w:rsid w:val="001E0171"/>
    <w:rsid w:val="001E0361"/>
    <w:rsid w:val="001E1873"/>
    <w:rsid w:val="001E1A30"/>
    <w:rsid w:val="001E2987"/>
    <w:rsid w:val="001E45FF"/>
    <w:rsid w:val="001E7677"/>
    <w:rsid w:val="001E7894"/>
    <w:rsid w:val="001E7ADD"/>
    <w:rsid w:val="001E7B2D"/>
    <w:rsid w:val="001E7E9C"/>
    <w:rsid w:val="001E7FA6"/>
    <w:rsid w:val="001F0844"/>
    <w:rsid w:val="001F1A2B"/>
    <w:rsid w:val="001F1F7D"/>
    <w:rsid w:val="001F2349"/>
    <w:rsid w:val="001F34DB"/>
    <w:rsid w:val="001F3DC3"/>
    <w:rsid w:val="001F4117"/>
    <w:rsid w:val="001F4497"/>
    <w:rsid w:val="001F6253"/>
    <w:rsid w:val="001F657E"/>
    <w:rsid w:val="001F7360"/>
    <w:rsid w:val="001F79E9"/>
    <w:rsid w:val="002005D2"/>
    <w:rsid w:val="00201722"/>
    <w:rsid w:val="00201A04"/>
    <w:rsid w:val="002021BF"/>
    <w:rsid w:val="0020298B"/>
    <w:rsid w:val="002038EA"/>
    <w:rsid w:val="00206111"/>
    <w:rsid w:val="002064A3"/>
    <w:rsid w:val="00206AF7"/>
    <w:rsid w:val="0021024C"/>
    <w:rsid w:val="00211A70"/>
    <w:rsid w:val="00212942"/>
    <w:rsid w:val="002137E0"/>
    <w:rsid w:val="00213C8C"/>
    <w:rsid w:val="00215D0B"/>
    <w:rsid w:val="00216155"/>
    <w:rsid w:val="002174A1"/>
    <w:rsid w:val="00220A4E"/>
    <w:rsid w:val="002214D7"/>
    <w:rsid w:val="0022294E"/>
    <w:rsid w:val="00222BB0"/>
    <w:rsid w:val="002238A2"/>
    <w:rsid w:val="002249B1"/>
    <w:rsid w:val="002253A7"/>
    <w:rsid w:val="00225A7C"/>
    <w:rsid w:val="002262FE"/>
    <w:rsid w:val="0023074E"/>
    <w:rsid w:val="0023128B"/>
    <w:rsid w:val="002314B9"/>
    <w:rsid w:val="00231F97"/>
    <w:rsid w:val="002324F0"/>
    <w:rsid w:val="00235E12"/>
    <w:rsid w:val="0023713D"/>
    <w:rsid w:val="00241BD9"/>
    <w:rsid w:val="00242921"/>
    <w:rsid w:val="00242C38"/>
    <w:rsid w:val="00243C9A"/>
    <w:rsid w:val="00245529"/>
    <w:rsid w:val="002468FA"/>
    <w:rsid w:val="002473AC"/>
    <w:rsid w:val="0024781C"/>
    <w:rsid w:val="00254016"/>
    <w:rsid w:val="00254205"/>
    <w:rsid w:val="00255D02"/>
    <w:rsid w:val="00255EF0"/>
    <w:rsid w:val="002569BC"/>
    <w:rsid w:val="0025754C"/>
    <w:rsid w:val="00257DB6"/>
    <w:rsid w:val="00264303"/>
    <w:rsid w:val="00264D73"/>
    <w:rsid w:val="002657EF"/>
    <w:rsid w:val="002702BA"/>
    <w:rsid w:val="00270C34"/>
    <w:rsid w:val="00271D3D"/>
    <w:rsid w:val="00272226"/>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90674"/>
    <w:rsid w:val="00295556"/>
    <w:rsid w:val="00295BB5"/>
    <w:rsid w:val="00295BEE"/>
    <w:rsid w:val="002A1371"/>
    <w:rsid w:val="002A1A4B"/>
    <w:rsid w:val="002A1BB6"/>
    <w:rsid w:val="002A1D70"/>
    <w:rsid w:val="002A3250"/>
    <w:rsid w:val="002A427A"/>
    <w:rsid w:val="002A5A4D"/>
    <w:rsid w:val="002A5B1A"/>
    <w:rsid w:val="002A5F1E"/>
    <w:rsid w:val="002A6728"/>
    <w:rsid w:val="002A76E0"/>
    <w:rsid w:val="002B0D26"/>
    <w:rsid w:val="002B10BB"/>
    <w:rsid w:val="002B18A7"/>
    <w:rsid w:val="002B27B1"/>
    <w:rsid w:val="002B402A"/>
    <w:rsid w:val="002B419F"/>
    <w:rsid w:val="002B4262"/>
    <w:rsid w:val="002B478C"/>
    <w:rsid w:val="002B4EEA"/>
    <w:rsid w:val="002B503B"/>
    <w:rsid w:val="002B60B8"/>
    <w:rsid w:val="002B670A"/>
    <w:rsid w:val="002B7987"/>
    <w:rsid w:val="002C0F62"/>
    <w:rsid w:val="002C1ED4"/>
    <w:rsid w:val="002C293C"/>
    <w:rsid w:val="002C37CC"/>
    <w:rsid w:val="002C38F3"/>
    <w:rsid w:val="002C443F"/>
    <w:rsid w:val="002C4FFE"/>
    <w:rsid w:val="002C5FB7"/>
    <w:rsid w:val="002C7B1B"/>
    <w:rsid w:val="002D04F2"/>
    <w:rsid w:val="002D3CC9"/>
    <w:rsid w:val="002D5184"/>
    <w:rsid w:val="002D5A4D"/>
    <w:rsid w:val="002D6DD5"/>
    <w:rsid w:val="002D76F8"/>
    <w:rsid w:val="002E0DFE"/>
    <w:rsid w:val="002E1255"/>
    <w:rsid w:val="002E22AF"/>
    <w:rsid w:val="002E2EC4"/>
    <w:rsid w:val="002E3398"/>
    <w:rsid w:val="002E3C7E"/>
    <w:rsid w:val="002E5B1D"/>
    <w:rsid w:val="002E6166"/>
    <w:rsid w:val="002E7D4F"/>
    <w:rsid w:val="002F0826"/>
    <w:rsid w:val="002F2543"/>
    <w:rsid w:val="002F2BB4"/>
    <w:rsid w:val="002F2D08"/>
    <w:rsid w:val="002F312A"/>
    <w:rsid w:val="002F4CFC"/>
    <w:rsid w:val="002F5B7C"/>
    <w:rsid w:val="002F6793"/>
    <w:rsid w:val="002F6A98"/>
    <w:rsid w:val="002F777D"/>
    <w:rsid w:val="00301BD4"/>
    <w:rsid w:val="00301DF1"/>
    <w:rsid w:val="00302FEE"/>
    <w:rsid w:val="00302FF3"/>
    <w:rsid w:val="0030357A"/>
    <w:rsid w:val="00304F7C"/>
    <w:rsid w:val="00305FC7"/>
    <w:rsid w:val="00306F34"/>
    <w:rsid w:val="0031018C"/>
    <w:rsid w:val="00310E68"/>
    <w:rsid w:val="00311940"/>
    <w:rsid w:val="00311E13"/>
    <w:rsid w:val="00315503"/>
    <w:rsid w:val="003165A3"/>
    <w:rsid w:val="0031679A"/>
    <w:rsid w:val="00317471"/>
    <w:rsid w:val="003204BB"/>
    <w:rsid w:val="00320D9B"/>
    <w:rsid w:val="003218F4"/>
    <w:rsid w:val="00321AAD"/>
    <w:rsid w:val="00321C39"/>
    <w:rsid w:val="00321D0D"/>
    <w:rsid w:val="003236D1"/>
    <w:rsid w:val="00324398"/>
    <w:rsid w:val="003243FB"/>
    <w:rsid w:val="00324E91"/>
    <w:rsid w:val="003254DB"/>
    <w:rsid w:val="00326625"/>
    <w:rsid w:val="00327DAF"/>
    <w:rsid w:val="00330040"/>
    <w:rsid w:val="00330F27"/>
    <w:rsid w:val="003323B0"/>
    <w:rsid w:val="00332FCB"/>
    <w:rsid w:val="00333BAF"/>
    <w:rsid w:val="00335206"/>
    <w:rsid w:val="00335504"/>
    <w:rsid w:val="003367D4"/>
    <w:rsid w:val="00336A77"/>
    <w:rsid w:val="00337CA6"/>
    <w:rsid w:val="00340811"/>
    <w:rsid w:val="00341810"/>
    <w:rsid w:val="00342C26"/>
    <w:rsid w:val="00343932"/>
    <w:rsid w:val="003439AE"/>
    <w:rsid w:val="0034574A"/>
    <w:rsid w:val="00345828"/>
    <w:rsid w:val="00346BD5"/>
    <w:rsid w:val="00347439"/>
    <w:rsid w:val="0035205F"/>
    <w:rsid w:val="003523B0"/>
    <w:rsid w:val="003531DE"/>
    <w:rsid w:val="00354A66"/>
    <w:rsid w:val="00354F4E"/>
    <w:rsid w:val="00355FC7"/>
    <w:rsid w:val="003562A0"/>
    <w:rsid w:val="00357790"/>
    <w:rsid w:val="0036085B"/>
    <w:rsid w:val="00363545"/>
    <w:rsid w:val="00364316"/>
    <w:rsid w:val="003644C5"/>
    <w:rsid w:val="00364A91"/>
    <w:rsid w:val="00364E8B"/>
    <w:rsid w:val="00365F8A"/>
    <w:rsid w:val="003667FF"/>
    <w:rsid w:val="003672B9"/>
    <w:rsid w:val="00370A11"/>
    <w:rsid w:val="0037103C"/>
    <w:rsid w:val="003736CC"/>
    <w:rsid w:val="00373FD6"/>
    <w:rsid w:val="00376478"/>
    <w:rsid w:val="00377657"/>
    <w:rsid w:val="00377D33"/>
    <w:rsid w:val="00380059"/>
    <w:rsid w:val="003802F2"/>
    <w:rsid w:val="0038188C"/>
    <w:rsid w:val="0038245C"/>
    <w:rsid w:val="00383EED"/>
    <w:rsid w:val="00383F07"/>
    <w:rsid w:val="00384FC3"/>
    <w:rsid w:val="00385FC5"/>
    <w:rsid w:val="003906A4"/>
    <w:rsid w:val="00390ED1"/>
    <w:rsid w:val="0039249B"/>
    <w:rsid w:val="003956B3"/>
    <w:rsid w:val="00396ABD"/>
    <w:rsid w:val="003A0924"/>
    <w:rsid w:val="003A0DBF"/>
    <w:rsid w:val="003A168F"/>
    <w:rsid w:val="003A3804"/>
    <w:rsid w:val="003A3AE1"/>
    <w:rsid w:val="003A415A"/>
    <w:rsid w:val="003A52BE"/>
    <w:rsid w:val="003A5866"/>
    <w:rsid w:val="003A6989"/>
    <w:rsid w:val="003A6E9F"/>
    <w:rsid w:val="003B0AD8"/>
    <w:rsid w:val="003B0BC9"/>
    <w:rsid w:val="003B2F42"/>
    <w:rsid w:val="003B392E"/>
    <w:rsid w:val="003B4658"/>
    <w:rsid w:val="003B4987"/>
    <w:rsid w:val="003C048D"/>
    <w:rsid w:val="003C0ACD"/>
    <w:rsid w:val="003C2E56"/>
    <w:rsid w:val="003C35D2"/>
    <w:rsid w:val="003C4036"/>
    <w:rsid w:val="003C4700"/>
    <w:rsid w:val="003C5CE3"/>
    <w:rsid w:val="003D02F4"/>
    <w:rsid w:val="003D0862"/>
    <w:rsid w:val="003D1E05"/>
    <w:rsid w:val="003D4B82"/>
    <w:rsid w:val="003D4CD6"/>
    <w:rsid w:val="003D5354"/>
    <w:rsid w:val="003D548E"/>
    <w:rsid w:val="003D6105"/>
    <w:rsid w:val="003D733E"/>
    <w:rsid w:val="003E07A7"/>
    <w:rsid w:val="003E0E6D"/>
    <w:rsid w:val="003E2167"/>
    <w:rsid w:val="003E3555"/>
    <w:rsid w:val="003E44D9"/>
    <w:rsid w:val="003E4F49"/>
    <w:rsid w:val="003E63A7"/>
    <w:rsid w:val="003E7324"/>
    <w:rsid w:val="003E762E"/>
    <w:rsid w:val="003F135F"/>
    <w:rsid w:val="003F3307"/>
    <w:rsid w:val="003F55A0"/>
    <w:rsid w:val="003F621E"/>
    <w:rsid w:val="003F65E9"/>
    <w:rsid w:val="003F7DF4"/>
    <w:rsid w:val="00400F6E"/>
    <w:rsid w:val="00401624"/>
    <w:rsid w:val="0040226B"/>
    <w:rsid w:val="0040314A"/>
    <w:rsid w:val="0040340A"/>
    <w:rsid w:val="0040500A"/>
    <w:rsid w:val="00405D78"/>
    <w:rsid w:val="0041005A"/>
    <w:rsid w:val="00411932"/>
    <w:rsid w:val="00413AEE"/>
    <w:rsid w:val="00413EC4"/>
    <w:rsid w:val="004142A8"/>
    <w:rsid w:val="00414B55"/>
    <w:rsid w:val="00414EAE"/>
    <w:rsid w:val="0041534E"/>
    <w:rsid w:val="0042091F"/>
    <w:rsid w:val="00421152"/>
    <w:rsid w:val="004228C7"/>
    <w:rsid w:val="00425178"/>
    <w:rsid w:val="0042566B"/>
    <w:rsid w:val="0042598C"/>
    <w:rsid w:val="0042798B"/>
    <w:rsid w:val="0043030E"/>
    <w:rsid w:val="00432A60"/>
    <w:rsid w:val="0043385E"/>
    <w:rsid w:val="00434024"/>
    <w:rsid w:val="00434913"/>
    <w:rsid w:val="00435DEA"/>
    <w:rsid w:val="00435F43"/>
    <w:rsid w:val="00440644"/>
    <w:rsid w:val="004410EB"/>
    <w:rsid w:val="00441474"/>
    <w:rsid w:val="004426DF"/>
    <w:rsid w:val="00443003"/>
    <w:rsid w:val="00443025"/>
    <w:rsid w:val="0044415F"/>
    <w:rsid w:val="00444598"/>
    <w:rsid w:val="00444A1F"/>
    <w:rsid w:val="00445E61"/>
    <w:rsid w:val="004474F8"/>
    <w:rsid w:val="004479ED"/>
    <w:rsid w:val="00450A97"/>
    <w:rsid w:val="00451361"/>
    <w:rsid w:val="00453196"/>
    <w:rsid w:val="00453C82"/>
    <w:rsid w:val="00453CBF"/>
    <w:rsid w:val="00457280"/>
    <w:rsid w:val="00457C23"/>
    <w:rsid w:val="00460135"/>
    <w:rsid w:val="00460BC0"/>
    <w:rsid w:val="00463CEC"/>
    <w:rsid w:val="00463E7C"/>
    <w:rsid w:val="00464D2B"/>
    <w:rsid w:val="00465271"/>
    <w:rsid w:val="004669A9"/>
    <w:rsid w:val="00466E1C"/>
    <w:rsid w:val="00467887"/>
    <w:rsid w:val="00467A9F"/>
    <w:rsid w:val="00467C90"/>
    <w:rsid w:val="0047303C"/>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30A1"/>
    <w:rsid w:val="00495842"/>
    <w:rsid w:val="0049606F"/>
    <w:rsid w:val="00496196"/>
    <w:rsid w:val="00496317"/>
    <w:rsid w:val="004963DA"/>
    <w:rsid w:val="00496803"/>
    <w:rsid w:val="0049688C"/>
    <w:rsid w:val="00496914"/>
    <w:rsid w:val="004A1C0C"/>
    <w:rsid w:val="004A2ABC"/>
    <w:rsid w:val="004A2F10"/>
    <w:rsid w:val="004A3FFD"/>
    <w:rsid w:val="004A48FE"/>
    <w:rsid w:val="004A4983"/>
    <w:rsid w:val="004A50E5"/>
    <w:rsid w:val="004A565C"/>
    <w:rsid w:val="004A61B3"/>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CBA"/>
    <w:rsid w:val="004C504A"/>
    <w:rsid w:val="004C6D8E"/>
    <w:rsid w:val="004C7297"/>
    <w:rsid w:val="004C7511"/>
    <w:rsid w:val="004C798D"/>
    <w:rsid w:val="004D0395"/>
    <w:rsid w:val="004D0F14"/>
    <w:rsid w:val="004D0F32"/>
    <w:rsid w:val="004D203A"/>
    <w:rsid w:val="004D20BE"/>
    <w:rsid w:val="004D23F7"/>
    <w:rsid w:val="004D25A8"/>
    <w:rsid w:val="004D30AB"/>
    <w:rsid w:val="004D419B"/>
    <w:rsid w:val="004D4506"/>
    <w:rsid w:val="004D7734"/>
    <w:rsid w:val="004D7E5C"/>
    <w:rsid w:val="004E01FE"/>
    <w:rsid w:val="004E06D3"/>
    <w:rsid w:val="004E1047"/>
    <w:rsid w:val="004E1C7E"/>
    <w:rsid w:val="004E1F30"/>
    <w:rsid w:val="004E1F42"/>
    <w:rsid w:val="004E30C5"/>
    <w:rsid w:val="004E391E"/>
    <w:rsid w:val="004E59AF"/>
    <w:rsid w:val="004E68DE"/>
    <w:rsid w:val="004E6A21"/>
    <w:rsid w:val="004E7A42"/>
    <w:rsid w:val="004E7F8B"/>
    <w:rsid w:val="004F058A"/>
    <w:rsid w:val="004F24E7"/>
    <w:rsid w:val="004F250A"/>
    <w:rsid w:val="004F30F2"/>
    <w:rsid w:val="004F31FF"/>
    <w:rsid w:val="004F4ED1"/>
    <w:rsid w:val="004F5397"/>
    <w:rsid w:val="004F6BEB"/>
    <w:rsid w:val="00500CA7"/>
    <w:rsid w:val="00501D4A"/>
    <w:rsid w:val="00502524"/>
    <w:rsid w:val="00502C54"/>
    <w:rsid w:val="00504DE2"/>
    <w:rsid w:val="00507CA3"/>
    <w:rsid w:val="00510BD7"/>
    <w:rsid w:val="005113AA"/>
    <w:rsid w:val="00511834"/>
    <w:rsid w:val="005127EC"/>
    <w:rsid w:val="00513689"/>
    <w:rsid w:val="00513871"/>
    <w:rsid w:val="005139ED"/>
    <w:rsid w:val="00515275"/>
    <w:rsid w:val="00516ECE"/>
    <w:rsid w:val="00517760"/>
    <w:rsid w:val="005202CD"/>
    <w:rsid w:val="00520788"/>
    <w:rsid w:val="00520A09"/>
    <w:rsid w:val="005210D8"/>
    <w:rsid w:val="005215EB"/>
    <w:rsid w:val="0052275F"/>
    <w:rsid w:val="0052399E"/>
    <w:rsid w:val="005244A4"/>
    <w:rsid w:val="005247E1"/>
    <w:rsid w:val="00526B39"/>
    <w:rsid w:val="0052703D"/>
    <w:rsid w:val="005271A6"/>
    <w:rsid w:val="0052720A"/>
    <w:rsid w:val="005273D4"/>
    <w:rsid w:val="005276E3"/>
    <w:rsid w:val="00527783"/>
    <w:rsid w:val="00527FC1"/>
    <w:rsid w:val="005315C8"/>
    <w:rsid w:val="005360D1"/>
    <w:rsid w:val="00540CB6"/>
    <w:rsid w:val="00540FEB"/>
    <w:rsid w:val="00541B20"/>
    <w:rsid w:val="00541F61"/>
    <w:rsid w:val="005423C8"/>
    <w:rsid w:val="00542521"/>
    <w:rsid w:val="00542F90"/>
    <w:rsid w:val="00543775"/>
    <w:rsid w:val="00544E1D"/>
    <w:rsid w:val="00545537"/>
    <w:rsid w:val="00545582"/>
    <w:rsid w:val="00545B60"/>
    <w:rsid w:val="0055175A"/>
    <w:rsid w:val="00552061"/>
    <w:rsid w:val="00555956"/>
    <w:rsid w:val="00555CC4"/>
    <w:rsid w:val="0056228F"/>
    <w:rsid w:val="00562F9E"/>
    <w:rsid w:val="005679B4"/>
    <w:rsid w:val="00567A71"/>
    <w:rsid w:val="00573F8B"/>
    <w:rsid w:val="00580141"/>
    <w:rsid w:val="00580695"/>
    <w:rsid w:val="00580871"/>
    <w:rsid w:val="005814B5"/>
    <w:rsid w:val="00581829"/>
    <w:rsid w:val="00582723"/>
    <w:rsid w:val="0058392B"/>
    <w:rsid w:val="0058398D"/>
    <w:rsid w:val="00583E4B"/>
    <w:rsid w:val="00586667"/>
    <w:rsid w:val="00586A7E"/>
    <w:rsid w:val="00586C35"/>
    <w:rsid w:val="00591F68"/>
    <w:rsid w:val="00592B40"/>
    <w:rsid w:val="005951D6"/>
    <w:rsid w:val="005953C4"/>
    <w:rsid w:val="005975E2"/>
    <w:rsid w:val="005A313D"/>
    <w:rsid w:val="005A3804"/>
    <w:rsid w:val="005A4408"/>
    <w:rsid w:val="005A4CF1"/>
    <w:rsid w:val="005A5AD3"/>
    <w:rsid w:val="005A7A18"/>
    <w:rsid w:val="005B6CE5"/>
    <w:rsid w:val="005C102F"/>
    <w:rsid w:val="005C136E"/>
    <w:rsid w:val="005C2D72"/>
    <w:rsid w:val="005C353C"/>
    <w:rsid w:val="005C4B91"/>
    <w:rsid w:val="005C509C"/>
    <w:rsid w:val="005C53F3"/>
    <w:rsid w:val="005C665A"/>
    <w:rsid w:val="005D00D4"/>
    <w:rsid w:val="005D0F51"/>
    <w:rsid w:val="005D3AFC"/>
    <w:rsid w:val="005D3E9D"/>
    <w:rsid w:val="005D43A8"/>
    <w:rsid w:val="005D4EFF"/>
    <w:rsid w:val="005D5242"/>
    <w:rsid w:val="005D70F2"/>
    <w:rsid w:val="005D7E5B"/>
    <w:rsid w:val="005E160C"/>
    <w:rsid w:val="005E2844"/>
    <w:rsid w:val="005E297F"/>
    <w:rsid w:val="005E321B"/>
    <w:rsid w:val="005E4B12"/>
    <w:rsid w:val="005E64D3"/>
    <w:rsid w:val="005E6E2E"/>
    <w:rsid w:val="005E761F"/>
    <w:rsid w:val="005F093A"/>
    <w:rsid w:val="005F0DF6"/>
    <w:rsid w:val="005F24BB"/>
    <w:rsid w:val="005F3A8D"/>
    <w:rsid w:val="005F6D4D"/>
    <w:rsid w:val="00600BDE"/>
    <w:rsid w:val="00600E5B"/>
    <w:rsid w:val="00601130"/>
    <w:rsid w:val="00601404"/>
    <w:rsid w:val="006032A6"/>
    <w:rsid w:val="006041A2"/>
    <w:rsid w:val="006137D4"/>
    <w:rsid w:val="00616014"/>
    <w:rsid w:val="00617E8B"/>
    <w:rsid w:val="00620208"/>
    <w:rsid w:val="00620DE3"/>
    <w:rsid w:val="0062158F"/>
    <w:rsid w:val="00624B6F"/>
    <w:rsid w:val="006256D3"/>
    <w:rsid w:val="00625846"/>
    <w:rsid w:val="00625BC9"/>
    <w:rsid w:val="00626AAF"/>
    <w:rsid w:val="00626ACC"/>
    <w:rsid w:val="006270A9"/>
    <w:rsid w:val="00627BB7"/>
    <w:rsid w:val="00627E65"/>
    <w:rsid w:val="00630583"/>
    <w:rsid w:val="006308CF"/>
    <w:rsid w:val="00633CFE"/>
    <w:rsid w:val="00633DD5"/>
    <w:rsid w:val="00636B62"/>
    <w:rsid w:val="0064183C"/>
    <w:rsid w:val="00643592"/>
    <w:rsid w:val="00644238"/>
    <w:rsid w:val="006443D2"/>
    <w:rsid w:val="00644A13"/>
    <w:rsid w:val="00645C8C"/>
    <w:rsid w:val="0064639B"/>
    <w:rsid w:val="006464E3"/>
    <w:rsid w:val="0065127D"/>
    <w:rsid w:val="0065136E"/>
    <w:rsid w:val="00652E0C"/>
    <w:rsid w:val="006559BB"/>
    <w:rsid w:val="006567F6"/>
    <w:rsid w:val="00656BBF"/>
    <w:rsid w:val="006574AD"/>
    <w:rsid w:val="00660691"/>
    <w:rsid w:val="00661E90"/>
    <w:rsid w:val="006631A2"/>
    <w:rsid w:val="006646B9"/>
    <w:rsid w:val="006656E1"/>
    <w:rsid w:val="00665B62"/>
    <w:rsid w:val="006674A7"/>
    <w:rsid w:val="00667E1E"/>
    <w:rsid w:val="00670D71"/>
    <w:rsid w:val="00671ED8"/>
    <w:rsid w:val="00674A48"/>
    <w:rsid w:val="00676267"/>
    <w:rsid w:val="00676B0D"/>
    <w:rsid w:val="00676F93"/>
    <w:rsid w:val="00677029"/>
    <w:rsid w:val="00680FBF"/>
    <w:rsid w:val="0068105F"/>
    <w:rsid w:val="006819FA"/>
    <w:rsid w:val="006821F4"/>
    <w:rsid w:val="0068385F"/>
    <w:rsid w:val="006874C9"/>
    <w:rsid w:val="006923A9"/>
    <w:rsid w:val="006924D5"/>
    <w:rsid w:val="00692FBD"/>
    <w:rsid w:val="006941B2"/>
    <w:rsid w:val="00695735"/>
    <w:rsid w:val="00696CD3"/>
    <w:rsid w:val="006A0B54"/>
    <w:rsid w:val="006A102F"/>
    <w:rsid w:val="006A24F1"/>
    <w:rsid w:val="006A2C8D"/>
    <w:rsid w:val="006A4032"/>
    <w:rsid w:val="006A4C5B"/>
    <w:rsid w:val="006A5240"/>
    <w:rsid w:val="006A7C3C"/>
    <w:rsid w:val="006A7F7E"/>
    <w:rsid w:val="006B1364"/>
    <w:rsid w:val="006B2AFB"/>
    <w:rsid w:val="006B42D7"/>
    <w:rsid w:val="006B595B"/>
    <w:rsid w:val="006B6981"/>
    <w:rsid w:val="006B74A1"/>
    <w:rsid w:val="006C0D7B"/>
    <w:rsid w:val="006C120C"/>
    <w:rsid w:val="006C15C3"/>
    <w:rsid w:val="006C1657"/>
    <w:rsid w:val="006C3F1C"/>
    <w:rsid w:val="006C4E73"/>
    <w:rsid w:val="006C72B2"/>
    <w:rsid w:val="006C79A5"/>
    <w:rsid w:val="006C7F1C"/>
    <w:rsid w:val="006D1624"/>
    <w:rsid w:val="006D32FC"/>
    <w:rsid w:val="006D37D1"/>
    <w:rsid w:val="006D4727"/>
    <w:rsid w:val="006D4FE3"/>
    <w:rsid w:val="006D57CA"/>
    <w:rsid w:val="006D5829"/>
    <w:rsid w:val="006D6A50"/>
    <w:rsid w:val="006D777A"/>
    <w:rsid w:val="006D7EBC"/>
    <w:rsid w:val="006E10B2"/>
    <w:rsid w:val="006E322F"/>
    <w:rsid w:val="006E3E7E"/>
    <w:rsid w:val="006E414B"/>
    <w:rsid w:val="006E53B3"/>
    <w:rsid w:val="006E735B"/>
    <w:rsid w:val="006E73DA"/>
    <w:rsid w:val="006E7DCE"/>
    <w:rsid w:val="006F17E1"/>
    <w:rsid w:val="006F21D2"/>
    <w:rsid w:val="006F4CE4"/>
    <w:rsid w:val="006F5710"/>
    <w:rsid w:val="006F57A0"/>
    <w:rsid w:val="006F5D9A"/>
    <w:rsid w:val="00701409"/>
    <w:rsid w:val="0070238D"/>
    <w:rsid w:val="00703094"/>
    <w:rsid w:val="00703560"/>
    <w:rsid w:val="007050FF"/>
    <w:rsid w:val="00706EAB"/>
    <w:rsid w:val="007107C4"/>
    <w:rsid w:val="00710D2E"/>
    <w:rsid w:val="007114B2"/>
    <w:rsid w:val="00711BC0"/>
    <w:rsid w:val="00713E0D"/>
    <w:rsid w:val="00714563"/>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5C22"/>
    <w:rsid w:val="007314CE"/>
    <w:rsid w:val="007319CE"/>
    <w:rsid w:val="00732405"/>
    <w:rsid w:val="00732B82"/>
    <w:rsid w:val="00735327"/>
    <w:rsid w:val="00736511"/>
    <w:rsid w:val="00736E0B"/>
    <w:rsid w:val="0073706F"/>
    <w:rsid w:val="00744554"/>
    <w:rsid w:val="0074567B"/>
    <w:rsid w:val="00747E18"/>
    <w:rsid w:val="00750416"/>
    <w:rsid w:val="00751B3E"/>
    <w:rsid w:val="00751CEA"/>
    <w:rsid w:val="00752764"/>
    <w:rsid w:val="0075376A"/>
    <w:rsid w:val="00753CDA"/>
    <w:rsid w:val="00755504"/>
    <w:rsid w:val="007558F4"/>
    <w:rsid w:val="00755F14"/>
    <w:rsid w:val="00756669"/>
    <w:rsid w:val="00756E28"/>
    <w:rsid w:val="00757D03"/>
    <w:rsid w:val="007610F9"/>
    <w:rsid w:val="00761FB6"/>
    <w:rsid w:val="007632DC"/>
    <w:rsid w:val="007644D6"/>
    <w:rsid w:val="007650B5"/>
    <w:rsid w:val="00766186"/>
    <w:rsid w:val="00766962"/>
    <w:rsid w:val="007672B7"/>
    <w:rsid w:val="0076745F"/>
    <w:rsid w:val="00770462"/>
    <w:rsid w:val="00771645"/>
    <w:rsid w:val="00772106"/>
    <w:rsid w:val="00772619"/>
    <w:rsid w:val="0077267E"/>
    <w:rsid w:val="00772F09"/>
    <w:rsid w:val="007740B7"/>
    <w:rsid w:val="007743CD"/>
    <w:rsid w:val="00775287"/>
    <w:rsid w:val="0077681D"/>
    <w:rsid w:val="007768A1"/>
    <w:rsid w:val="00776C90"/>
    <w:rsid w:val="00776FB3"/>
    <w:rsid w:val="0078135F"/>
    <w:rsid w:val="00782645"/>
    <w:rsid w:val="00784C15"/>
    <w:rsid w:val="00785623"/>
    <w:rsid w:val="0078678C"/>
    <w:rsid w:val="007867BB"/>
    <w:rsid w:val="00787E33"/>
    <w:rsid w:val="00790432"/>
    <w:rsid w:val="00790C01"/>
    <w:rsid w:val="00792EB2"/>
    <w:rsid w:val="007933C8"/>
    <w:rsid w:val="0079366D"/>
    <w:rsid w:val="00793F47"/>
    <w:rsid w:val="00795936"/>
    <w:rsid w:val="00796924"/>
    <w:rsid w:val="00797BC5"/>
    <w:rsid w:val="007A0716"/>
    <w:rsid w:val="007A1335"/>
    <w:rsid w:val="007A2A6E"/>
    <w:rsid w:val="007A2D1C"/>
    <w:rsid w:val="007A3CB6"/>
    <w:rsid w:val="007A4875"/>
    <w:rsid w:val="007A4ECA"/>
    <w:rsid w:val="007A6CC3"/>
    <w:rsid w:val="007A7DAB"/>
    <w:rsid w:val="007B18DD"/>
    <w:rsid w:val="007B1E33"/>
    <w:rsid w:val="007B228B"/>
    <w:rsid w:val="007B2601"/>
    <w:rsid w:val="007B2641"/>
    <w:rsid w:val="007B26DA"/>
    <w:rsid w:val="007B531C"/>
    <w:rsid w:val="007C01AC"/>
    <w:rsid w:val="007C1B02"/>
    <w:rsid w:val="007C3013"/>
    <w:rsid w:val="007C37F9"/>
    <w:rsid w:val="007C47AE"/>
    <w:rsid w:val="007C5105"/>
    <w:rsid w:val="007C6E09"/>
    <w:rsid w:val="007C7095"/>
    <w:rsid w:val="007D02A0"/>
    <w:rsid w:val="007D0AE2"/>
    <w:rsid w:val="007D188B"/>
    <w:rsid w:val="007D33F4"/>
    <w:rsid w:val="007D3C31"/>
    <w:rsid w:val="007D3C57"/>
    <w:rsid w:val="007D5070"/>
    <w:rsid w:val="007D6DA7"/>
    <w:rsid w:val="007D6EB5"/>
    <w:rsid w:val="007D744B"/>
    <w:rsid w:val="007E0A1A"/>
    <w:rsid w:val="007E0EA4"/>
    <w:rsid w:val="007E2D4B"/>
    <w:rsid w:val="007E33F7"/>
    <w:rsid w:val="007E3BFD"/>
    <w:rsid w:val="007E471B"/>
    <w:rsid w:val="007F0728"/>
    <w:rsid w:val="007F0A14"/>
    <w:rsid w:val="007F3094"/>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A5B"/>
    <w:rsid w:val="008276E8"/>
    <w:rsid w:val="00827D03"/>
    <w:rsid w:val="008328E9"/>
    <w:rsid w:val="00834967"/>
    <w:rsid w:val="00834C83"/>
    <w:rsid w:val="00835082"/>
    <w:rsid w:val="0083589B"/>
    <w:rsid w:val="00835BCB"/>
    <w:rsid w:val="00835CDC"/>
    <w:rsid w:val="00840536"/>
    <w:rsid w:val="008424C6"/>
    <w:rsid w:val="00842E75"/>
    <w:rsid w:val="00845248"/>
    <w:rsid w:val="00845CBE"/>
    <w:rsid w:val="0084654B"/>
    <w:rsid w:val="00847570"/>
    <w:rsid w:val="00847625"/>
    <w:rsid w:val="008508CC"/>
    <w:rsid w:val="00850B09"/>
    <w:rsid w:val="0085126E"/>
    <w:rsid w:val="00852801"/>
    <w:rsid w:val="00853C6D"/>
    <w:rsid w:val="0085489C"/>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B40"/>
    <w:rsid w:val="008737DE"/>
    <w:rsid w:val="008775BC"/>
    <w:rsid w:val="00877FE8"/>
    <w:rsid w:val="00880FB8"/>
    <w:rsid w:val="00881800"/>
    <w:rsid w:val="008825A0"/>
    <w:rsid w:val="00882609"/>
    <w:rsid w:val="00882F1B"/>
    <w:rsid w:val="00883712"/>
    <w:rsid w:val="00884A5D"/>
    <w:rsid w:val="008855BC"/>
    <w:rsid w:val="00886131"/>
    <w:rsid w:val="00886249"/>
    <w:rsid w:val="00886C90"/>
    <w:rsid w:val="0089261A"/>
    <w:rsid w:val="00892CE9"/>
    <w:rsid w:val="00893636"/>
    <w:rsid w:val="008940A6"/>
    <w:rsid w:val="00894C5C"/>
    <w:rsid w:val="00894CE5"/>
    <w:rsid w:val="0089506B"/>
    <w:rsid w:val="00895280"/>
    <w:rsid w:val="00896D37"/>
    <w:rsid w:val="008A1F61"/>
    <w:rsid w:val="008A23C2"/>
    <w:rsid w:val="008A347C"/>
    <w:rsid w:val="008A3B21"/>
    <w:rsid w:val="008A4B2A"/>
    <w:rsid w:val="008A70CE"/>
    <w:rsid w:val="008A73A2"/>
    <w:rsid w:val="008A73C8"/>
    <w:rsid w:val="008A7E5E"/>
    <w:rsid w:val="008B1247"/>
    <w:rsid w:val="008B157F"/>
    <w:rsid w:val="008B2ABF"/>
    <w:rsid w:val="008B2B9E"/>
    <w:rsid w:val="008C0483"/>
    <w:rsid w:val="008C0AA6"/>
    <w:rsid w:val="008C18DC"/>
    <w:rsid w:val="008C22B4"/>
    <w:rsid w:val="008C25E4"/>
    <w:rsid w:val="008C2DAE"/>
    <w:rsid w:val="008C35B8"/>
    <w:rsid w:val="008C4848"/>
    <w:rsid w:val="008C6372"/>
    <w:rsid w:val="008C703C"/>
    <w:rsid w:val="008C7774"/>
    <w:rsid w:val="008D106E"/>
    <w:rsid w:val="008D35AB"/>
    <w:rsid w:val="008D5BB1"/>
    <w:rsid w:val="008D6157"/>
    <w:rsid w:val="008D76BB"/>
    <w:rsid w:val="008E00BF"/>
    <w:rsid w:val="008E3029"/>
    <w:rsid w:val="008E48BA"/>
    <w:rsid w:val="008E55BA"/>
    <w:rsid w:val="008E683D"/>
    <w:rsid w:val="008E6995"/>
    <w:rsid w:val="008F027B"/>
    <w:rsid w:val="008F1C5D"/>
    <w:rsid w:val="008F4B8B"/>
    <w:rsid w:val="008F4DA8"/>
    <w:rsid w:val="008F4DF9"/>
    <w:rsid w:val="008F5C19"/>
    <w:rsid w:val="008F5CCF"/>
    <w:rsid w:val="008F5E92"/>
    <w:rsid w:val="00900074"/>
    <w:rsid w:val="00900459"/>
    <w:rsid w:val="00900A1A"/>
    <w:rsid w:val="00900C65"/>
    <w:rsid w:val="0090114F"/>
    <w:rsid w:val="00902261"/>
    <w:rsid w:val="00903E7A"/>
    <w:rsid w:val="00904C0A"/>
    <w:rsid w:val="009059A9"/>
    <w:rsid w:val="0090753F"/>
    <w:rsid w:val="00910060"/>
    <w:rsid w:val="00910C00"/>
    <w:rsid w:val="00911363"/>
    <w:rsid w:val="009151C4"/>
    <w:rsid w:val="009153D4"/>
    <w:rsid w:val="009154DA"/>
    <w:rsid w:val="00916078"/>
    <w:rsid w:val="00917B9D"/>
    <w:rsid w:val="00917DF5"/>
    <w:rsid w:val="009223BB"/>
    <w:rsid w:val="009232F2"/>
    <w:rsid w:val="009238C5"/>
    <w:rsid w:val="00923B9F"/>
    <w:rsid w:val="009244AD"/>
    <w:rsid w:val="0092515E"/>
    <w:rsid w:val="00927A2B"/>
    <w:rsid w:val="00930BA2"/>
    <w:rsid w:val="0093328F"/>
    <w:rsid w:val="0093362F"/>
    <w:rsid w:val="00934BF9"/>
    <w:rsid w:val="00934D5D"/>
    <w:rsid w:val="00936293"/>
    <w:rsid w:val="009364F7"/>
    <w:rsid w:val="0093795D"/>
    <w:rsid w:val="009379C8"/>
    <w:rsid w:val="009401C8"/>
    <w:rsid w:val="00940C29"/>
    <w:rsid w:val="0094138F"/>
    <w:rsid w:val="00941945"/>
    <w:rsid w:val="00941E7E"/>
    <w:rsid w:val="00941F90"/>
    <w:rsid w:val="00942026"/>
    <w:rsid w:val="00942840"/>
    <w:rsid w:val="00942FBD"/>
    <w:rsid w:val="009433D2"/>
    <w:rsid w:val="0094770B"/>
    <w:rsid w:val="00947DA1"/>
    <w:rsid w:val="0095098C"/>
    <w:rsid w:val="00952D57"/>
    <w:rsid w:val="00954B84"/>
    <w:rsid w:val="0095500A"/>
    <w:rsid w:val="00955C94"/>
    <w:rsid w:val="00957F77"/>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533"/>
    <w:rsid w:val="00976D55"/>
    <w:rsid w:val="00983E8B"/>
    <w:rsid w:val="00987AA8"/>
    <w:rsid w:val="00990677"/>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36BC"/>
    <w:rsid w:val="009A3C86"/>
    <w:rsid w:val="009A3EEF"/>
    <w:rsid w:val="009A4759"/>
    <w:rsid w:val="009A51C2"/>
    <w:rsid w:val="009A65E1"/>
    <w:rsid w:val="009A7727"/>
    <w:rsid w:val="009B0982"/>
    <w:rsid w:val="009B2267"/>
    <w:rsid w:val="009B3163"/>
    <w:rsid w:val="009B3310"/>
    <w:rsid w:val="009B44BD"/>
    <w:rsid w:val="009B5C76"/>
    <w:rsid w:val="009B6273"/>
    <w:rsid w:val="009B7477"/>
    <w:rsid w:val="009B75F1"/>
    <w:rsid w:val="009C1677"/>
    <w:rsid w:val="009C4D29"/>
    <w:rsid w:val="009C4E55"/>
    <w:rsid w:val="009C55B1"/>
    <w:rsid w:val="009D09AD"/>
    <w:rsid w:val="009D0B87"/>
    <w:rsid w:val="009D13E0"/>
    <w:rsid w:val="009D1EC5"/>
    <w:rsid w:val="009D2783"/>
    <w:rsid w:val="009D2CC9"/>
    <w:rsid w:val="009D425A"/>
    <w:rsid w:val="009D5002"/>
    <w:rsid w:val="009D7BD2"/>
    <w:rsid w:val="009D7CF3"/>
    <w:rsid w:val="009E0AE8"/>
    <w:rsid w:val="009E0E95"/>
    <w:rsid w:val="009E4AA0"/>
    <w:rsid w:val="009E4DC7"/>
    <w:rsid w:val="009E5117"/>
    <w:rsid w:val="009E5374"/>
    <w:rsid w:val="009E5BDE"/>
    <w:rsid w:val="009E699F"/>
    <w:rsid w:val="009E7D0C"/>
    <w:rsid w:val="009F2A50"/>
    <w:rsid w:val="009F345D"/>
    <w:rsid w:val="009F372A"/>
    <w:rsid w:val="009F406C"/>
    <w:rsid w:val="009F5180"/>
    <w:rsid w:val="009F5383"/>
    <w:rsid w:val="009F57D2"/>
    <w:rsid w:val="009F5E65"/>
    <w:rsid w:val="00A0143B"/>
    <w:rsid w:val="00A0434C"/>
    <w:rsid w:val="00A04BB1"/>
    <w:rsid w:val="00A04F22"/>
    <w:rsid w:val="00A050C4"/>
    <w:rsid w:val="00A105B6"/>
    <w:rsid w:val="00A10F42"/>
    <w:rsid w:val="00A1302C"/>
    <w:rsid w:val="00A13218"/>
    <w:rsid w:val="00A134D2"/>
    <w:rsid w:val="00A136F7"/>
    <w:rsid w:val="00A146A7"/>
    <w:rsid w:val="00A14AD4"/>
    <w:rsid w:val="00A154A5"/>
    <w:rsid w:val="00A167E4"/>
    <w:rsid w:val="00A17890"/>
    <w:rsid w:val="00A17CF2"/>
    <w:rsid w:val="00A20021"/>
    <w:rsid w:val="00A205DC"/>
    <w:rsid w:val="00A22579"/>
    <w:rsid w:val="00A227A3"/>
    <w:rsid w:val="00A22823"/>
    <w:rsid w:val="00A234FD"/>
    <w:rsid w:val="00A245AB"/>
    <w:rsid w:val="00A24A70"/>
    <w:rsid w:val="00A250D6"/>
    <w:rsid w:val="00A27E73"/>
    <w:rsid w:val="00A31010"/>
    <w:rsid w:val="00A3128F"/>
    <w:rsid w:val="00A31490"/>
    <w:rsid w:val="00A32455"/>
    <w:rsid w:val="00A32C9A"/>
    <w:rsid w:val="00A32EA1"/>
    <w:rsid w:val="00A342A6"/>
    <w:rsid w:val="00A35D43"/>
    <w:rsid w:val="00A36110"/>
    <w:rsid w:val="00A36407"/>
    <w:rsid w:val="00A36C33"/>
    <w:rsid w:val="00A3777C"/>
    <w:rsid w:val="00A4108E"/>
    <w:rsid w:val="00A4183B"/>
    <w:rsid w:val="00A42238"/>
    <w:rsid w:val="00A446A5"/>
    <w:rsid w:val="00A47386"/>
    <w:rsid w:val="00A47D17"/>
    <w:rsid w:val="00A51FC7"/>
    <w:rsid w:val="00A523BE"/>
    <w:rsid w:val="00A5297A"/>
    <w:rsid w:val="00A53625"/>
    <w:rsid w:val="00A53F01"/>
    <w:rsid w:val="00A5575A"/>
    <w:rsid w:val="00A558E3"/>
    <w:rsid w:val="00A55E34"/>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34D2"/>
    <w:rsid w:val="00A74D4B"/>
    <w:rsid w:val="00A74FCD"/>
    <w:rsid w:val="00A74FF1"/>
    <w:rsid w:val="00A75267"/>
    <w:rsid w:val="00A76D19"/>
    <w:rsid w:val="00A7701F"/>
    <w:rsid w:val="00A77200"/>
    <w:rsid w:val="00A772AB"/>
    <w:rsid w:val="00A779A7"/>
    <w:rsid w:val="00A80080"/>
    <w:rsid w:val="00A81018"/>
    <w:rsid w:val="00A82238"/>
    <w:rsid w:val="00A85520"/>
    <w:rsid w:val="00A8663A"/>
    <w:rsid w:val="00A86DA6"/>
    <w:rsid w:val="00A8724D"/>
    <w:rsid w:val="00A87BA0"/>
    <w:rsid w:val="00A900E8"/>
    <w:rsid w:val="00A90341"/>
    <w:rsid w:val="00A90C75"/>
    <w:rsid w:val="00A93AD5"/>
    <w:rsid w:val="00A9471F"/>
    <w:rsid w:val="00A960C8"/>
    <w:rsid w:val="00A968DF"/>
    <w:rsid w:val="00AA024A"/>
    <w:rsid w:val="00AA14FC"/>
    <w:rsid w:val="00AA3DF1"/>
    <w:rsid w:val="00AA5751"/>
    <w:rsid w:val="00AA5AB6"/>
    <w:rsid w:val="00AA69CE"/>
    <w:rsid w:val="00AA7AFA"/>
    <w:rsid w:val="00AB0CA9"/>
    <w:rsid w:val="00AB232A"/>
    <w:rsid w:val="00AB4541"/>
    <w:rsid w:val="00AB4951"/>
    <w:rsid w:val="00AB49AB"/>
    <w:rsid w:val="00AB5653"/>
    <w:rsid w:val="00AB61F8"/>
    <w:rsid w:val="00AC1C79"/>
    <w:rsid w:val="00AC3603"/>
    <w:rsid w:val="00AC5BA6"/>
    <w:rsid w:val="00AC6729"/>
    <w:rsid w:val="00AC6B8A"/>
    <w:rsid w:val="00AD0595"/>
    <w:rsid w:val="00AD0650"/>
    <w:rsid w:val="00AD0AE9"/>
    <w:rsid w:val="00AD3CE9"/>
    <w:rsid w:val="00AD3EB7"/>
    <w:rsid w:val="00AD6525"/>
    <w:rsid w:val="00AD6EB6"/>
    <w:rsid w:val="00AE109C"/>
    <w:rsid w:val="00AE14CA"/>
    <w:rsid w:val="00AE2219"/>
    <w:rsid w:val="00AE2D1A"/>
    <w:rsid w:val="00AE2EA2"/>
    <w:rsid w:val="00AE402D"/>
    <w:rsid w:val="00AE43C7"/>
    <w:rsid w:val="00AE5291"/>
    <w:rsid w:val="00AE6660"/>
    <w:rsid w:val="00AE672A"/>
    <w:rsid w:val="00AF0D9D"/>
    <w:rsid w:val="00AF27AC"/>
    <w:rsid w:val="00AF3C32"/>
    <w:rsid w:val="00AF4483"/>
    <w:rsid w:val="00AF4D09"/>
    <w:rsid w:val="00AF539B"/>
    <w:rsid w:val="00AF5B5A"/>
    <w:rsid w:val="00AF5F70"/>
    <w:rsid w:val="00AF67BE"/>
    <w:rsid w:val="00AF749F"/>
    <w:rsid w:val="00AF7B2E"/>
    <w:rsid w:val="00B00E07"/>
    <w:rsid w:val="00B025DD"/>
    <w:rsid w:val="00B03C55"/>
    <w:rsid w:val="00B04516"/>
    <w:rsid w:val="00B054BE"/>
    <w:rsid w:val="00B101C9"/>
    <w:rsid w:val="00B108EC"/>
    <w:rsid w:val="00B10EA9"/>
    <w:rsid w:val="00B119AF"/>
    <w:rsid w:val="00B13A85"/>
    <w:rsid w:val="00B14F8E"/>
    <w:rsid w:val="00B153DB"/>
    <w:rsid w:val="00B205B9"/>
    <w:rsid w:val="00B2068E"/>
    <w:rsid w:val="00B21D97"/>
    <w:rsid w:val="00B22316"/>
    <w:rsid w:val="00B23624"/>
    <w:rsid w:val="00B24EE0"/>
    <w:rsid w:val="00B25892"/>
    <w:rsid w:val="00B25F54"/>
    <w:rsid w:val="00B2601D"/>
    <w:rsid w:val="00B26242"/>
    <w:rsid w:val="00B27B64"/>
    <w:rsid w:val="00B3105C"/>
    <w:rsid w:val="00B315A0"/>
    <w:rsid w:val="00B32336"/>
    <w:rsid w:val="00B33709"/>
    <w:rsid w:val="00B33898"/>
    <w:rsid w:val="00B34756"/>
    <w:rsid w:val="00B34A18"/>
    <w:rsid w:val="00B35466"/>
    <w:rsid w:val="00B35FF3"/>
    <w:rsid w:val="00B362A8"/>
    <w:rsid w:val="00B3694E"/>
    <w:rsid w:val="00B45795"/>
    <w:rsid w:val="00B460F5"/>
    <w:rsid w:val="00B468CE"/>
    <w:rsid w:val="00B47A2B"/>
    <w:rsid w:val="00B5204A"/>
    <w:rsid w:val="00B5318A"/>
    <w:rsid w:val="00B5364F"/>
    <w:rsid w:val="00B55BCE"/>
    <w:rsid w:val="00B579CB"/>
    <w:rsid w:val="00B60835"/>
    <w:rsid w:val="00B60B96"/>
    <w:rsid w:val="00B61B3F"/>
    <w:rsid w:val="00B6236E"/>
    <w:rsid w:val="00B62468"/>
    <w:rsid w:val="00B626CD"/>
    <w:rsid w:val="00B6428C"/>
    <w:rsid w:val="00B677D9"/>
    <w:rsid w:val="00B67EE6"/>
    <w:rsid w:val="00B70083"/>
    <w:rsid w:val="00B71B58"/>
    <w:rsid w:val="00B7366D"/>
    <w:rsid w:val="00B75CAF"/>
    <w:rsid w:val="00B77030"/>
    <w:rsid w:val="00B77650"/>
    <w:rsid w:val="00B77808"/>
    <w:rsid w:val="00B8005A"/>
    <w:rsid w:val="00B821BB"/>
    <w:rsid w:val="00B82EC1"/>
    <w:rsid w:val="00B837A3"/>
    <w:rsid w:val="00B83AD6"/>
    <w:rsid w:val="00B8400C"/>
    <w:rsid w:val="00B84445"/>
    <w:rsid w:val="00B8707C"/>
    <w:rsid w:val="00B9530B"/>
    <w:rsid w:val="00B97377"/>
    <w:rsid w:val="00BA0F3C"/>
    <w:rsid w:val="00BA2789"/>
    <w:rsid w:val="00BA2947"/>
    <w:rsid w:val="00BA5048"/>
    <w:rsid w:val="00BA5C94"/>
    <w:rsid w:val="00BA6557"/>
    <w:rsid w:val="00BA7107"/>
    <w:rsid w:val="00BA73D5"/>
    <w:rsid w:val="00BA7542"/>
    <w:rsid w:val="00BB1A0B"/>
    <w:rsid w:val="00BB22EA"/>
    <w:rsid w:val="00BB28F6"/>
    <w:rsid w:val="00BB295B"/>
    <w:rsid w:val="00BB455D"/>
    <w:rsid w:val="00BB4A2E"/>
    <w:rsid w:val="00BB5CF1"/>
    <w:rsid w:val="00BB6CC5"/>
    <w:rsid w:val="00BB7AF1"/>
    <w:rsid w:val="00BC088A"/>
    <w:rsid w:val="00BC0EEC"/>
    <w:rsid w:val="00BC1123"/>
    <w:rsid w:val="00BC2609"/>
    <w:rsid w:val="00BC2EB0"/>
    <w:rsid w:val="00BC32DC"/>
    <w:rsid w:val="00BC5A2F"/>
    <w:rsid w:val="00BC617C"/>
    <w:rsid w:val="00BD196C"/>
    <w:rsid w:val="00BD1DFC"/>
    <w:rsid w:val="00BD2756"/>
    <w:rsid w:val="00BD2863"/>
    <w:rsid w:val="00BD60E7"/>
    <w:rsid w:val="00BD6DB2"/>
    <w:rsid w:val="00BD75DB"/>
    <w:rsid w:val="00BD778B"/>
    <w:rsid w:val="00BE05CF"/>
    <w:rsid w:val="00BE0A0F"/>
    <w:rsid w:val="00BE27BC"/>
    <w:rsid w:val="00BE3240"/>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579"/>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2215"/>
    <w:rsid w:val="00C23752"/>
    <w:rsid w:val="00C2406E"/>
    <w:rsid w:val="00C2427E"/>
    <w:rsid w:val="00C26062"/>
    <w:rsid w:val="00C3045E"/>
    <w:rsid w:val="00C309E0"/>
    <w:rsid w:val="00C31C53"/>
    <w:rsid w:val="00C33E5A"/>
    <w:rsid w:val="00C342C9"/>
    <w:rsid w:val="00C34538"/>
    <w:rsid w:val="00C34747"/>
    <w:rsid w:val="00C35A35"/>
    <w:rsid w:val="00C36222"/>
    <w:rsid w:val="00C36C76"/>
    <w:rsid w:val="00C378FE"/>
    <w:rsid w:val="00C42674"/>
    <w:rsid w:val="00C42F6F"/>
    <w:rsid w:val="00C43428"/>
    <w:rsid w:val="00C43683"/>
    <w:rsid w:val="00C4545A"/>
    <w:rsid w:val="00C45606"/>
    <w:rsid w:val="00C467C8"/>
    <w:rsid w:val="00C473F6"/>
    <w:rsid w:val="00C501D4"/>
    <w:rsid w:val="00C50540"/>
    <w:rsid w:val="00C50729"/>
    <w:rsid w:val="00C518C9"/>
    <w:rsid w:val="00C52BA8"/>
    <w:rsid w:val="00C54315"/>
    <w:rsid w:val="00C543C6"/>
    <w:rsid w:val="00C54D5B"/>
    <w:rsid w:val="00C5516D"/>
    <w:rsid w:val="00C57513"/>
    <w:rsid w:val="00C5783B"/>
    <w:rsid w:val="00C57BA5"/>
    <w:rsid w:val="00C57F39"/>
    <w:rsid w:val="00C61174"/>
    <w:rsid w:val="00C62007"/>
    <w:rsid w:val="00C62065"/>
    <w:rsid w:val="00C62675"/>
    <w:rsid w:val="00C70D1A"/>
    <w:rsid w:val="00C710C1"/>
    <w:rsid w:val="00C713AE"/>
    <w:rsid w:val="00C730BF"/>
    <w:rsid w:val="00C73471"/>
    <w:rsid w:val="00C74DB0"/>
    <w:rsid w:val="00C75087"/>
    <w:rsid w:val="00C81415"/>
    <w:rsid w:val="00C819DA"/>
    <w:rsid w:val="00C820C3"/>
    <w:rsid w:val="00C8303A"/>
    <w:rsid w:val="00C865B8"/>
    <w:rsid w:val="00C86979"/>
    <w:rsid w:val="00C908C0"/>
    <w:rsid w:val="00C911FC"/>
    <w:rsid w:val="00C91784"/>
    <w:rsid w:val="00C93113"/>
    <w:rsid w:val="00C93379"/>
    <w:rsid w:val="00C93FA8"/>
    <w:rsid w:val="00C946CD"/>
    <w:rsid w:val="00C94A20"/>
    <w:rsid w:val="00C94D44"/>
    <w:rsid w:val="00C954AB"/>
    <w:rsid w:val="00C96788"/>
    <w:rsid w:val="00CA08CF"/>
    <w:rsid w:val="00CA0E3E"/>
    <w:rsid w:val="00CA1EF7"/>
    <w:rsid w:val="00CA4BD3"/>
    <w:rsid w:val="00CA6702"/>
    <w:rsid w:val="00CB0294"/>
    <w:rsid w:val="00CB1C4F"/>
    <w:rsid w:val="00CB6134"/>
    <w:rsid w:val="00CC01F6"/>
    <w:rsid w:val="00CC0661"/>
    <w:rsid w:val="00CC217C"/>
    <w:rsid w:val="00CC24F5"/>
    <w:rsid w:val="00CC3282"/>
    <w:rsid w:val="00CC3682"/>
    <w:rsid w:val="00CC3A48"/>
    <w:rsid w:val="00CC555A"/>
    <w:rsid w:val="00CD1D81"/>
    <w:rsid w:val="00CD27F9"/>
    <w:rsid w:val="00CD3D1A"/>
    <w:rsid w:val="00CD426B"/>
    <w:rsid w:val="00CE1715"/>
    <w:rsid w:val="00CE1D0B"/>
    <w:rsid w:val="00CE2725"/>
    <w:rsid w:val="00CE5656"/>
    <w:rsid w:val="00CE5886"/>
    <w:rsid w:val="00CE73B9"/>
    <w:rsid w:val="00CE750F"/>
    <w:rsid w:val="00CF0FD2"/>
    <w:rsid w:val="00CF1355"/>
    <w:rsid w:val="00CF138C"/>
    <w:rsid w:val="00CF2C6E"/>
    <w:rsid w:val="00CF3397"/>
    <w:rsid w:val="00CF43B6"/>
    <w:rsid w:val="00CF5D9F"/>
    <w:rsid w:val="00CF61FB"/>
    <w:rsid w:val="00CF62A2"/>
    <w:rsid w:val="00CF67EB"/>
    <w:rsid w:val="00CF7979"/>
    <w:rsid w:val="00D00038"/>
    <w:rsid w:val="00D02F95"/>
    <w:rsid w:val="00D103B6"/>
    <w:rsid w:val="00D10CBB"/>
    <w:rsid w:val="00D1107C"/>
    <w:rsid w:val="00D160CB"/>
    <w:rsid w:val="00D16F43"/>
    <w:rsid w:val="00D17B8F"/>
    <w:rsid w:val="00D2050B"/>
    <w:rsid w:val="00D206C3"/>
    <w:rsid w:val="00D22DA6"/>
    <w:rsid w:val="00D23BF5"/>
    <w:rsid w:val="00D23E63"/>
    <w:rsid w:val="00D245A1"/>
    <w:rsid w:val="00D24D73"/>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2055"/>
    <w:rsid w:val="00D43C97"/>
    <w:rsid w:val="00D4539F"/>
    <w:rsid w:val="00D4727D"/>
    <w:rsid w:val="00D475F4"/>
    <w:rsid w:val="00D50BB9"/>
    <w:rsid w:val="00D51685"/>
    <w:rsid w:val="00D52AA9"/>
    <w:rsid w:val="00D534C9"/>
    <w:rsid w:val="00D535A9"/>
    <w:rsid w:val="00D54A47"/>
    <w:rsid w:val="00D57862"/>
    <w:rsid w:val="00D57AB8"/>
    <w:rsid w:val="00D629B8"/>
    <w:rsid w:val="00D633E7"/>
    <w:rsid w:val="00D647C3"/>
    <w:rsid w:val="00D67522"/>
    <w:rsid w:val="00D677A7"/>
    <w:rsid w:val="00D72430"/>
    <w:rsid w:val="00D72DC8"/>
    <w:rsid w:val="00D73142"/>
    <w:rsid w:val="00D73DDA"/>
    <w:rsid w:val="00D7462E"/>
    <w:rsid w:val="00D751EA"/>
    <w:rsid w:val="00D755B7"/>
    <w:rsid w:val="00D75AFF"/>
    <w:rsid w:val="00D75D67"/>
    <w:rsid w:val="00D76E4A"/>
    <w:rsid w:val="00D7776A"/>
    <w:rsid w:val="00D803EF"/>
    <w:rsid w:val="00D812B8"/>
    <w:rsid w:val="00D8194D"/>
    <w:rsid w:val="00D82516"/>
    <w:rsid w:val="00D82766"/>
    <w:rsid w:val="00D84D91"/>
    <w:rsid w:val="00D852AF"/>
    <w:rsid w:val="00D87A0A"/>
    <w:rsid w:val="00D90262"/>
    <w:rsid w:val="00D90922"/>
    <w:rsid w:val="00D92B35"/>
    <w:rsid w:val="00D938AB"/>
    <w:rsid w:val="00D95CBC"/>
    <w:rsid w:val="00D960A0"/>
    <w:rsid w:val="00D9633A"/>
    <w:rsid w:val="00D9670C"/>
    <w:rsid w:val="00D96755"/>
    <w:rsid w:val="00D96DE7"/>
    <w:rsid w:val="00D9712F"/>
    <w:rsid w:val="00D97360"/>
    <w:rsid w:val="00D97394"/>
    <w:rsid w:val="00D97CAE"/>
    <w:rsid w:val="00DA12D0"/>
    <w:rsid w:val="00DA2B5B"/>
    <w:rsid w:val="00DA2E72"/>
    <w:rsid w:val="00DA46C2"/>
    <w:rsid w:val="00DA578B"/>
    <w:rsid w:val="00DA5D46"/>
    <w:rsid w:val="00DA6127"/>
    <w:rsid w:val="00DA6FAA"/>
    <w:rsid w:val="00DA7BE0"/>
    <w:rsid w:val="00DB442F"/>
    <w:rsid w:val="00DB623C"/>
    <w:rsid w:val="00DB7060"/>
    <w:rsid w:val="00DB787B"/>
    <w:rsid w:val="00DC0921"/>
    <w:rsid w:val="00DC0D32"/>
    <w:rsid w:val="00DC10B9"/>
    <w:rsid w:val="00DC1D97"/>
    <w:rsid w:val="00DC30C3"/>
    <w:rsid w:val="00DC40CE"/>
    <w:rsid w:val="00DC49DD"/>
    <w:rsid w:val="00DC5FC9"/>
    <w:rsid w:val="00DC6804"/>
    <w:rsid w:val="00DC6EAD"/>
    <w:rsid w:val="00DC7020"/>
    <w:rsid w:val="00DC7204"/>
    <w:rsid w:val="00DD0118"/>
    <w:rsid w:val="00DD02FD"/>
    <w:rsid w:val="00DD06AD"/>
    <w:rsid w:val="00DD11D8"/>
    <w:rsid w:val="00DD24F7"/>
    <w:rsid w:val="00DD6086"/>
    <w:rsid w:val="00DD65A4"/>
    <w:rsid w:val="00DD71E2"/>
    <w:rsid w:val="00DE0698"/>
    <w:rsid w:val="00DE0F22"/>
    <w:rsid w:val="00DE1179"/>
    <w:rsid w:val="00DE43CA"/>
    <w:rsid w:val="00DE5D75"/>
    <w:rsid w:val="00DE6208"/>
    <w:rsid w:val="00DE6299"/>
    <w:rsid w:val="00DE63F0"/>
    <w:rsid w:val="00DF0404"/>
    <w:rsid w:val="00DF1D6D"/>
    <w:rsid w:val="00DF2386"/>
    <w:rsid w:val="00DF47CD"/>
    <w:rsid w:val="00DF64E5"/>
    <w:rsid w:val="00DF7FE7"/>
    <w:rsid w:val="00E00083"/>
    <w:rsid w:val="00E02B6E"/>
    <w:rsid w:val="00E03835"/>
    <w:rsid w:val="00E10665"/>
    <w:rsid w:val="00E1551C"/>
    <w:rsid w:val="00E15F60"/>
    <w:rsid w:val="00E16CC2"/>
    <w:rsid w:val="00E21282"/>
    <w:rsid w:val="00E215B3"/>
    <w:rsid w:val="00E2327D"/>
    <w:rsid w:val="00E246D8"/>
    <w:rsid w:val="00E253A0"/>
    <w:rsid w:val="00E25888"/>
    <w:rsid w:val="00E27915"/>
    <w:rsid w:val="00E27D44"/>
    <w:rsid w:val="00E27EBA"/>
    <w:rsid w:val="00E3014F"/>
    <w:rsid w:val="00E308E6"/>
    <w:rsid w:val="00E32440"/>
    <w:rsid w:val="00E337BF"/>
    <w:rsid w:val="00E33B83"/>
    <w:rsid w:val="00E35DD4"/>
    <w:rsid w:val="00E37BA7"/>
    <w:rsid w:val="00E37FD9"/>
    <w:rsid w:val="00E42115"/>
    <w:rsid w:val="00E42F5B"/>
    <w:rsid w:val="00E43E6D"/>
    <w:rsid w:val="00E43F8B"/>
    <w:rsid w:val="00E46367"/>
    <w:rsid w:val="00E472B8"/>
    <w:rsid w:val="00E509AF"/>
    <w:rsid w:val="00E523FF"/>
    <w:rsid w:val="00E526F8"/>
    <w:rsid w:val="00E53B79"/>
    <w:rsid w:val="00E57506"/>
    <w:rsid w:val="00E61CC2"/>
    <w:rsid w:val="00E625A0"/>
    <w:rsid w:val="00E63F0B"/>
    <w:rsid w:val="00E64581"/>
    <w:rsid w:val="00E64BA3"/>
    <w:rsid w:val="00E6689D"/>
    <w:rsid w:val="00E675AE"/>
    <w:rsid w:val="00E7033E"/>
    <w:rsid w:val="00E71602"/>
    <w:rsid w:val="00E72C60"/>
    <w:rsid w:val="00E736EE"/>
    <w:rsid w:val="00E74FC5"/>
    <w:rsid w:val="00E755EA"/>
    <w:rsid w:val="00E7726B"/>
    <w:rsid w:val="00E772E5"/>
    <w:rsid w:val="00E8159A"/>
    <w:rsid w:val="00E822EB"/>
    <w:rsid w:val="00E84205"/>
    <w:rsid w:val="00E8596C"/>
    <w:rsid w:val="00E86878"/>
    <w:rsid w:val="00E911FD"/>
    <w:rsid w:val="00E9130A"/>
    <w:rsid w:val="00E91F83"/>
    <w:rsid w:val="00E921A2"/>
    <w:rsid w:val="00E92342"/>
    <w:rsid w:val="00E92DCD"/>
    <w:rsid w:val="00E93B56"/>
    <w:rsid w:val="00E93BB6"/>
    <w:rsid w:val="00E94759"/>
    <w:rsid w:val="00E950BB"/>
    <w:rsid w:val="00E95665"/>
    <w:rsid w:val="00E95F52"/>
    <w:rsid w:val="00EA0263"/>
    <w:rsid w:val="00EA0987"/>
    <w:rsid w:val="00EA13DA"/>
    <w:rsid w:val="00EA1FF6"/>
    <w:rsid w:val="00EA2765"/>
    <w:rsid w:val="00EA33CB"/>
    <w:rsid w:val="00EA3A7F"/>
    <w:rsid w:val="00EA3FC2"/>
    <w:rsid w:val="00EA444A"/>
    <w:rsid w:val="00EA44B5"/>
    <w:rsid w:val="00EA4DD8"/>
    <w:rsid w:val="00EA683B"/>
    <w:rsid w:val="00EB151B"/>
    <w:rsid w:val="00EB2FE6"/>
    <w:rsid w:val="00EB4CBD"/>
    <w:rsid w:val="00EB642F"/>
    <w:rsid w:val="00EB7DA6"/>
    <w:rsid w:val="00EC0504"/>
    <w:rsid w:val="00EC0525"/>
    <w:rsid w:val="00EC1205"/>
    <w:rsid w:val="00EC13B3"/>
    <w:rsid w:val="00EC1696"/>
    <w:rsid w:val="00EC1AA4"/>
    <w:rsid w:val="00EC32C4"/>
    <w:rsid w:val="00EC3671"/>
    <w:rsid w:val="00EC61E0"/>
    <w:rsid w:val="00EC6CBC"/>
    <w:rsid w:val="00EC72B0"/>
    <w:rsid w:val="00ED018D"/>
    <w:rsid w:val="00ED13F4"/>
    <w:rsid w:val="00ED1F5E"/>
    <w:rsid w:val="00ED36F8"/>
    <w:rsid w:val="00ED49D6"/>
    <w:rsid w:val="00ED555B"/>
    <w:rsid w:val="00ED6057"/>
    <w:rsid w:val="00ED64A9"/>
    <w:rsid w:val="00ED64C2"/>
    <w:rsid w:val="00EE0EB6"/>
    <w:rsid w:val="00EE309D"/>
    <w:rsid w:val="00EE458C"/>
    <w:rsid w:val="00EE484E"/>
    <w:rsid w:val="00EE4EE3"/>
    <w:rsid w:val="00EE63B0"/>
    <w:rsid w:val="00EE7199"/>
    <w:rsid w:val="00EF0AB8"/>
    <w:rsid w:val="00EF17AC"/>
    <w:rsid w:val="00EF29EA"/>
    <w:rsid w:val="00EF5C41"/>
    <w:rsid w:val="00EF5C9D"/>
    <w:rsid w:val="00EF5E91"/>
    <w:rsid w:val="00EF666E"/>
    <w:rsid w:val="00F02473"/>
    <w:rsid w:val="00F02552"/>
    <w:rsid w:val="00F03C83"/>
    <w:rsid w:val="00F04266"/>
    <w:rsid w:val="00F05E48"/>
    <w:rsid w:val="00F05E6F"/>
    <w:rsid w:val="00F078F1"/>
    <w:rsid w:val="00F1054B"/>
    <w:rsid w:val="00F117D1"/>
    <w:rsid w:val="00F1291E"/>
    <w:rsid w:val="00F12D14"/>
    <w:rsid w:val="00F12DEB"/>
    <w:rsid w:val="00F1556C"/>
    <w:rsid w:val="00F175F5"/>
    <w:rsid w:val="00F204C2"/>
    <w:rsid w:val="00F212AF"/>
    <w:rsid w:val="00F228A7"/>
    <w:rsid w:val="00F253B4"/>
    <w:rsid w:val="00F26404"/>
    <w:rsid w:val="00F27F55"/>
    <w:rsid w:val="00F30BFA"/>
    <w:rsid w:val="00F32065"/>
    <w:rsid w:val="00F32D03"/>
    <w:rsid w:val="00F3443C"/>
    <w:rsid w:val="00F344DE"/>
    <w:rsid w:val="00F36780"/>
    <w:rsid w:val="00F36F5F"/>
    <w:rsid w:val="00F376CC"/>
    <w:rsid w:val="00F43CEA"/>
    <w:rsid w:val="00F440F9"/>
    <w:rsid w:val="00F442BD"/>
    <w:rsid w:val="00F44D2C"/>
    <w:rsid w:val="00F45CC2"/>
    <w:rsid w:val="00F51E7B"/>
    <w:rsid w:val="00F53F39"/>
    <w:rsid w:val="00F547A8"/>
    <w:rsid w:val="00F54855"/>
    <w:rsid w:val="00F55052"/>
    <w:rsid w:val="00F551D6"/>
    <w:rsid w:val="00F553CC"/>
    <w:rsid w:val="00F55684"/>
    <w:rsid w:val="00F573D2"/>
    <w:rsid w:val="00F60C5C"/>
    <w:rsid w:val="00F62079"/>
    <w:rsid w:val="00F62368"/>
    <w:rsid w:val="00F624C0"/>
    <w:rsid w:val="00F64385"/>
    <w:rsid w:val="00F6516D"/>
    <w:rsid w:val="00F6652D"/>
    <w:rsid w:val="00F66F94"/>
    <w:rsid w:val="00F70A79"/>
    <w:rsid w:val="00F70F19"/>
    <w:rsid w:val="00F71EAD"/>
    <w:rsid w:val="00F72237"/>
    <w:rsid w:val="00F72F74"/>
    <w:rsid w:val="00F73E71"/>
    <w:rsid w:val="00F7408E"/>
    <w:rsid w:val="00F74893"/>
    <w:rsid w:val="00F76A53"/>
    <w:rsid w:val="00F81721"/>
    <w:rsid w:val="00F82F05"/>
    <w:rsid w:val="00F83EC8"/>
    <w:rsid w:val="00F84BD4"/>
    <w:rsid w:val="00F852B9"/>
    <w:rsid w:val="00F861A9"/>
    <w:rsid w:val="00F86933"/>
    <w:rsid w:val="00F9197D"/>
    <w:rsid w:val="00F91BD4"/>
    <w:rsid w:val="00F93D83"/>
    <w:rsid w:val="00F95CA0"/>
    <w:rsid w:val="00F96BA5"/>
    <w:rsid w:val="00F973A1"/>
    <w:rsid w:val="00F97495"/>
    <w:rsid w:val="00FA030D"/>
    <w:rsid w:val="00FA0633"/>
    <w:rsid w:val="00FA07D3"/>
    <w:rsid w:val="00FA0846"/>
    <w:rsid w:val="00FA10E7"/>
    <w:rsid w:val="00FA1C88"/>
    <w:rsid w:val="00FA229C"/>
    <w:rsid w:val="00FA374C"/>
    <w:rsid w:val="00FA42D8"/>
    <w:rsid w:val="00FA553B"/>
    <w:rsid w:val="00FA7271"/>
    <w:rsid w:val="00FB03BD"/>
    <w:rsid w:val="00FB187B"/>
    <w:rsid w:val="00FB19B9"/>
    <w:rsid w:val="00FB1F2D"/>
    <w:rsid w:val="00FB2057"/>
    <w:rsid w:val="00FB41AD"/>
    <w:rsid w:val="00FB5403"/>
    <w:rsid w:val="00FB5632"/>
    <w:rsid w:val="00FB584E"/>
    <w:rsid w:val="00FB5B4B"/>
    <w:rsid w:val="00FB620F"/>
    <w:rsid w:val="00FB7688"/>
    <w:rsid w:val="00FB7B82"/>
    <w:rsid w:val="00FB7D22"/>
    <w:rsid w:val="00FC0BF5"/>
    <w:rsid w:val="00FC192D"/>
    <w:rsid w:val="00FC40CB"/>
    <w:rsid w:val="00FC462B"/>
    <w:rsid w:val="00FC51FB"/>
    <w:rsid w:val="00FC5AAA"/>
    <w:rsid w:val="00FD2E2F"/>
    <w:rsid w:val="00FD3719"/>
    <w:rsid w:val="00FD47F3"/>
    <w:rsid w:val="00FD4F37"/>
    <w:rsid w:val="00FD67D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s-E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sc55-doc82-examen-financiero-de-los-fondos-complementarios-por-la-uicn" TargetMode="External"/><Relationship Id="rId2" Type="http://schemas.openxmlformats.org/officeDocument/2006/relationships/hyperlink" Target="https://www.ramsar.org/es/documento/resolucion-x2-asuntos-financieros-y-presupuestarios" TargetMode="External"/><Relationship Id="rId1" Type="http://schemas.openxmlformats.org/officeDocument/2006/relationships/hyperlink" Target="https://www.ramsar.org/sites/default/files/documents/library/report_auditor_ramsar_2019_e.pdf" TargetMode="External"/><Relationship Id="rId4" Type="http://schemas.openxmlformats.org/officeDocument/2006/relationships/hyperlink" Target="https://www.ramsar.org/sites/default/files/documents/library/report_auditor_ramsar_201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BC58-52BC-460D-8F08-71E9BBBB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7386</Words>
  <Characters>42103</Characters>
  <Application>Microsoft Office Word</Application>
  <DocSecurity>0</DocSecurity>
  <Lines>350</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3</cp:revision>
  <cp:lastPrinted>2020-03-02T11:23:00Z</cp:lastPrinted>
  <dcterms:created xsi:type="dcterms:W3CDTF">2020-05-15T10:45:00Z</dcterms:created>
  <dcterms:modified xsi:type="dcterms:W3CDTF">2020-05-15T11:08:00Z</dcterms:modified>
</cp:coreProperties>
</file>