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22F58" w14:textId="45775B9E" w:rsidR="00DF2386" w:rsidRPr="00B5073A" w:rsidRDefault="000331D5" w:rsidP="003F356C">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spacing w:after="0" w:line="240" w:lineRule="auto"/>
        <w:ind w:right="4166"/>
        <w:rPr>
          <w:bCs/>
          <w:lang w:val="fr-CH"/>
        </w:rPr>
      </w:pPr>
      <w:r>
        <w:rPr>
          <w:bCs/>
          <w:lang w:val="fr-CH"/>
        </w:rPr>
        <w:t>CONVENTION SUR LES ZONES HUMIDES</w:t>
      </w:r>
    </w:p>
    <w:p w14:paraId="1A2818AD" w14:textId="48C27915" w:rsidR="00FE30AE" w:rsidRPr="00B5073A" w:rsidRDefault="000331D5" w:rsidP="003F356C">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spacing w:after="0" w:line="240" w:lineRule="auto"/>
        <w:ind w:right="4166"/>
        <w:rPr>
          <w:bCs/>
          <w:lang w:val="fr-CH"/>
        </w:rPr>
      </w:pPr>
      <w:r>
        <w:rPr>
          <w:bCs/>
          <w:lang w:val="fr-CH"/>
        </w:rPr>
        <w:t xml:space="preserve">Processus intersessions </w:t>
      </w:r>
      <w:r w:rsidR="007F0A72">
        <w:rPr>
          <w:rFonts w:cstheme="minorHAnsi"/>
          <w:bCs/>
          <w:sz w:val="24"/>
          <w:szCs w:val="24"/>
          <w:lang w:val="fr-CH"/>
        </w:rPr>
        <w:t>du Comité permanent</w:t>
      </w:r>
    </w:p>
    <w:p w14:paraId="2CC68E91" w14:textId="26EFED2D" w:rsidR="000D0D3E" w:rsidRPr="00B5073A" w:rsidRDefault="00282418" w:rsidP="003F356C">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spacing w:after="0" w:line="240" w:lineRule="auto"/>
        <w:ind w:right="4166"/>
        <w:rPr>
          <w:rFonts w:cs="Arial"/>
          <w:b/>
          <w:sz w:val="28"/>
          <w:szCs w:val="28"/>
          <w:lang w:val="fr-CH"/>
        </w:rPr>
      </w:pPr>
      <w:r w:rsidRPr="00B5073A">
        <w:rPr>
          <w:bCs/>
          <w:lang w:val="fr-CH"/>
        </w:rPr>
        <w:t>2</w:t>
      </w:r>
      <w:r w:rsidR="00FE30AE" w:rsidRPr="00B5073A">
        <w:rPr>
          <w:bCs/>
          <w:lang w:val="fr-CH"/>
        </w:rPr>
        <w:t>3</w:t>
      </w:r>
      <w:r w:rsidRPr="00B5073A">
        <w:rPr>
          <w:bCs/>
          <w:lang w:val="fr-CH"/>
        </w:rPr>
        <w:t xml:space="preserve"> </w:t>
      </w:r>
      <w:r w:rsidR="000331D5">
        <w:rPr>
          <w:bCs/>
          <w:lang w:val="fr-CH"/>
        </w:rPr>
        <w:t>au</w:t>
      </w:r>
      <w:r w:rsidRPr="00B5073A">
        <w:rPr>
          <w:bCs/>
          <w:lang w:val="fr-CH"/>
        </w:rPr>
        <w:t xml:space="preserve"> 2</w:t>
      </w:r>
      <w:r w:rsidR="00FE30AE" w:rsidRPr="00B5073A">
        <w:rPr>
          <w:bCs/>
          <w:lang w:val="fr-CH"/>
        </w:rPr>
        <w:t>5</w:t>
      </w:r>
      <w:r w:rsidRPr="00B5073A">
        <w:rPr>
          <w:bCs/>
          <w:lang w:val="fr-CH"/>
        </w:rPr>
        <w:t xml:space="preserve"> </w:t>
      </w:r>
      <w:r w:rsidR="000331D5">
        <w:rPr>
          <w:bCs/>
          <w:lang w:val="fr-CH"/>
        </w:rPr>
        <w:t>juin</w:t>
      </w:r>
      <w:r w:rsidRPr="00B5073A">
        <w:rPr>
          <w:bCs/>
          <w:lang w:val="fr-CH"/>
        </w:rPr>
        <w:t xml:space="preserve"> 20</w:t>
      </w:r>
      <w:r w:rsidR="00FE30AE" w:rsidRPr="00B5073A">
        <w:rPr>
          <w:bCs/>
          <w:lang w:val="fr-CH"/>
        </w:rPr>
        <w:t>20</w:t>
      </w:r>
    </w:p>
    <w:p w14:paraId="106E35B1" w14:textId="77777777" w:rsidR="00C04170" w:rsidRPr="00034DBE" w:rsidRDefault="00C04170" w:rsidP="003F356C">
      <w:pPr>
        <w:spacing w:after="0" w:line="240" w:lineRule="auto"/>
        <w:jc w:val="center"/>
        <w:rPr>
          <w:rFonts w:cs="Arial"/>
          <w:b/>
          <w:sz w:val="28"/>
          <w:szCs w:val="28"/>
          <w:lang w:val="fr-FR"/>
        </w:rPr>
      </w:pPr>
    </w:p>
    <w:p w14:paraId="06B9E6C6" w14:textId="77777777" w:rsidR="00771C39" w:rsidRPr="00034DBE" w:rsidRDefault="00771C39" w:rsidP="003F356C">
      <w:pPr>
        <w:spacing w:after="0" w:line="240" w:lineRule="auto"/>
        <w:jc w:val="center"/>
        <w:rPr>
          <w:rFonts w:cs="Arial"/>
          <w:b/>
          <w:sz w:val="28"/>
          <w:szCs w:val="28"/>
          <w:lang w:val="fr-FR"/>
        </w:rPr>
      </w:pPr>
    </w:p>
    <w:p w14:paraId="24D5824D" w14:textId="68F9247C" w:rsidR="00DF7FE7" w:rsidRPr="00B5073A" w:rsidRDefault="000331D5" w:rsidP="003F356C">
      <w:pPr>
        <w:spacing w:after="0" w:line="240" w:lineRule="auto"/>
        <w:jc w:val="center"/>
        <w:rPr>
          <w:rFonts w:cs="Arial"/>
          <w:b/>
          <w:sz w:val="28"/>
          <w:szCs w:val="28"/>
          <w:lang w:val="fr-CH"/>
        </w:rPr>
      </w:pPr>
      <w:r>
        <w:rPr>
          <w:rFonts w:cs="Arial"/>
          <w:b/>
          <w:sz w:val="28"/>
          <w:szCs w:val="28"/>
          <w:lang w:val="fr-CH"/>
        </w:rPr>
        <w:t>Ordre du jour provisoire</w:t>
      </w:r>
    </w:p>
    <w:p w14:paraId="37322AA5" w14:textId="77777777" w:rsidR="001F715E" w:rsidRPr="00B5073A" w:rsidRDefault="001F715E" w:rsidP="003F356C">
      <w:pPr>
        <w:spacing w:after="0" w:line="240" w:lineRule="auto"/>
        <w:jc w:val="center"/>
        <w:rPr>
          <w:bCs/>
          <w:lang w:val="fr-CH"/>
        </w:rPr>
      </w:pPr>
    </w:p>
    <w:p w14:paraId="2B4A7189" w14:textId="5C24A108" w:rsidR="009E3705" w:rsidRPr="00B5073A" w:rsidRDefault="009E3705" w:rsidP="003F356C">
      <w:pPr>
        <w:spacing w:after="0" w:line="240" w:lineRule="auto"/>
        <w:jc w:val="center"/>
        <w:rPr>
          <w:rFonts w:asciiTheme="minorHAnsi" w:hAnsiTheme="minorHAnsi" w:cstheme="minorHAnsi"/>
          <w:b/>
          <w:lang w:val="fr-CH"/>
        </w:rPr>
      </w:pPr>
    </w:p>
    <w:p w14:paraId="04429C42" w14:textId="3A764ABA" w:rsidR="009E3705" w:rsidRPr="00B5073A" w:rsidRDefault="000331D5" w:rsidP="003F356C">
      <w:pPr>
        <w:spacing w:after="0" w:line="240" w:lineRule="auto"/>
        <w:ind w:left="-142"/>
        <w:rPr>
          <w:rFonts w:asciiTheme="minorHAnsi" w:hAnsiTheme="minorHAnsi" w:cstheme="minorHAnsi"/>
          <w:b/>
          <w:lang w:val="fr-CH"/>
        </w:rPr>
      </w:pPr>
      <w:r>
        <w:rPr>
          <w:rFonts w:asciiTheme="minorHAnsi" w:hAnsiTheme="minorHAnsi" w:cstheme="minorHAnsi"/>
          <w:b/>
          <w:lang w:val="fr-CH"/>
        </w:rPr>
        <w:t>Mardi 23 juin</w:t>
      </w:r>
      <w:r w:rsidR="009E3705" w:rsidRPr="00B5073A">
        <w:rPr>
          <w:rFonts w:asciiTheme="minorHAnsi" w:hAnsiTheme="minorHAnsi" w:cstheme="minorHAnsi"/>
          <w:b/>
          <w:lang w:val="fr-CH"/>
        </w:rPr>
        <w:t xml:space="preserve"> </w:t>
      </w:r>
    </w:p>
    <w:p w14:paraId="76FEE592" w14:textId="160A2B0F" w:rsidR="00E6570B" w:rsidRDefault="00E6570B" w:rsidP="003F356C">
      <w:pPr>
        <w:spacing w:after="0" w:line="240" w:lineRule="auto"/>
        <w:contextualSpacing/>
        <w:rPr>
          <w:bCs/>
          <w:i/>
          <w:lang w:val="fr-CH"/>
        </w:rPr>
      </w:pPr>
    </w:p>
    <w:p w14:paraId="2BBA14B7" w14:textId="352C6142" w:rsidR="00E6570B" w:rsidRPr="00B5073A" w:rsidRDefault="00E6570B" w:rsidP="007F0A72">
      <w:pPr>
        <w:tabs>
          <w:tab w:val="left" w:pos="1701"/>
        </w:tabs>
        <w:spacing w:after="0" w:line="240" w:lineRule="auto"/>
        <w:contextualSpacing/>
        <w:rPr>
          <w:b/>
          <w:bCs/>
          <w:lang w:val="fr-CH"/>
        </w:rPr>
      </w:pPr>
      <w:r w:rsidRPr="00B5073A">
        <w:rPr>
          <w:b/>
          <w:bCs/>
          <w:lang w:val="fr-CH"/>
        </w:rPr>
        <w:t>1</w:t>
      </w:r>
      <w:r w:rsidR="00034DBE">
        <w:rPr>
          <w:b/>
          <w:bCs/>
          <w:lang w:val="fr-CH"/>
        </w:rPr>
        <w:t>3</w:t>
      </w:r>
      <w:r w:rsidRPr="00B5073A">
        <w:rPr>
          <w:b/>
          <w:bCs/>
          <w:lang w:val="fr-CH"/>
        </w:rPr>
        <w:t xml:space="preserve">:00 – </w:t>
      </w:r>
      <w:r w:rsidR="00034DBE">
        <w:rPr>
          <w:b/>
          <w:bCs/>
          <w:lang w:val="fr-CH"/>
        </w:rPr>
        <w:t>16</w:t>
      </w:r>
      <w:r w:rsidR="000331D5">
        <w:rPr>
          <w:b/>
          <w:bCs/>
          <w:lang w:val="fr-CH"/>
        </w:rPr>
        <w:t xml:space="preserve">:00 </w:t>
      </w:r>
      <w:r w:rsidR="000331D5">
        <w:rPr>
          <w:b/>
          <w:bCs/>
          <w:lang w:val="fr-CH"/>
        </w:rPr>
        <w:tab/>
      </w:r>
      <w:r w:rsidR="000331D5">
        <w:rPr>
          <w:b/>
          <w:bCs/>
          <w:lang w:val="fr-CH"/>
        </w:rPr>
        <w:tab/>
      </w:r>
      <w:r w:rsidR="00E3409F">
        <w:rPr>
          <w:b/>
          <w:bCs/>
          <w:lang w:val="fr-CH"/>
        </w:rPr>
        <w:t>Réunion</w:t>
      </w:r>
      <w:r w:rsidR="000331D5">
        <w:rPr>
          <w:b/>
          <w:bCs/>
          <w:lang w:val="fr-CH"/>
        </w:rPr>
        <w:t xml:space="preserve"> intersessions virtuelle plénière du Comité permanent</w:t>
      </w:r>
    </w:p>
    <w:p w14:paraId="6CA0459B" w14:textId="5333939B" w:rsidR="009E3705" w:rsidRDefault="009E3705" w:rsidP="003F356C">
      <w:pPr>
        <w:spacing w:after="0" w:line="240" w:lineRule="auto"/>
        <w:contextualSpacing/>
        <w:rPr>
          <w:bCs/>
          <w:lang w:val="fr-CH"/>
        </w:rPr>
      </w:pPr>
    </w:p>
    <w:p w14:paraId="07B2B819" w14:textId="24B3BCAE" w:rsidR="003F356C" w:rsidRPr="003F356C" w:rsidRDefault="000331D5" w:rsidP="007F0A72">
      <w:pPr>
        <w:pStyle w:val="ListParagraph"/>
        <w:numPr>
          <w:ilvl w:val="0"/>
          <w:numId w:val="27"/>
        </w:numPr>
        <w:spacing w:after="0" w:line="240" w:lineRule="auto"/>
        <w:ind w:left="426" w:hanging="426"/>
        <w:rPr>
          <w:rFonts w:cs="Calibri"/>
          <w:b/>
          <w:bCs/>
          <w:lang w:val="fr-CH"/>
        </w:rPr>
      </w:pPr>
      <w:r w:rsidRPr="003F356C">
        <w:rPr>
          <w:rFonts w:cs="Calibri"/>
          <w:b/>
          <w:bCs/>
          <w:lang w:val="fr-CH"/>
        </w:rPr>
        <w:t>Allocutions d’ouverture</w:t>
      </w:r>
    </w:p>
    <w:p w14:paraId="1E5A19F5" w14:textId="77777777" w:rsidR="003F356C" w:rsidRDefault="003F356C" w:rsidP="003F356C">
      <w:pPr>
        <w:pStyle w:val="ListParagraph"/>
        <w:spacing w:after="0" w:line="240" w:lineRule="auto"/>
        <w:ind w:left="360"/>
        <w:rPr>
          <w:rFonts w:cs="Calibri"/>
          <w:bCs/>
          <w:lang w:val="fr-CH"/>
        </w:rPr>
      </w:pPr>
    </w:p>
    <w:p w14:paraId="2407EA73" w14:textId="77777777" w:rsidR="003F356C" w:rsidRPr="003F356C" w:rsidRDefault="00034DBE" w:rsidP="007F0A72">
      <w:pPr>
        <w:pStyle w:val="ListParagraph"/>
        <w:numPr>
          <w:ilvl w:val="1"/>
          <w:numId w:val="27"/>
        </w:numPr>
        <w:spacing w:after="0" w:line="240" w:lineRule="auto"/>
        <w:ind w:left="851"/>
        <w:rPr>
          <w:rFonts w:cs="Calibri"/>
          <w:bCs/>
          <w:lang w:val="fr-CH"/>
        </w:rPr>
      </w:pPr>
      <w:r w:rsidRPr="003F356C">
        <w:rPr>
          <w:bCs/>
          <w:lang w:val="fr-CH"/>
        </w:rPr>
        <w:t>Président</w:t>
      </w:r>
      <w:r w:rsidR="000331D5" w:rsidRPr="003F356C">
        <w:rPr>
          <w:bCs/>
          <w:lang w:val="fr-CH"/>
        </w:rPr>
        <w:t xml:space="preserve"> du Comité permanent</w:t>
      </w:r>
      <w:r w:rsidR="00690B38" w:rsidRPr="003F356C">
        <w:rPr>
          <w:bCs/>
          <w:lang w:val="fr-CH"/>
        </w:rPr>
        <w:t xml:space="preserve"> (</w:t>
      </w:r>
      <w:r w:rsidR="000331D5" w:rsidRPr="003F356C">
        <w:rPr>
          <w:bCs/>
          <w:lang w:val="fr-CH"/>
        </w:rPr>
        <w:t>Émirats arabes unis</w:t>
      </w:r>
      <w:r w:rsidR="00690B38" w:rsidRPr="003F356C">
        <w:rPr>
          <w:bCs/>
          <w:lang w:val="fr-CH"/>
        </w:rPr>
        <w:t>)</w:t>
      </w:r>
    </w:p>
    <w:p w14:paraId="045435E2" w14:textId="7611CD8F" w:rsidR="00690B38" w:rsidRPr="003F356C" w:rsidRDefault="000331D5" w:rsidP="007F0A72">
      <w:pPr>
        <w:pStyle w:val="ListParagraph"/>
        <w:numPr>
          <w:ilvl w:val="1"/>
          <w:numId w:val="27"/>
        </w:numPr>
        <w:spacing w:after="0" w:line="240" w:lineRule="auto"/>
        <w:ind w:left="851"/>
        <w:rPr>
          <w:rFonts w:cs="Calibri"/>
          <w:bCs/>
          <w:lang w:val="fr-CH"/>
        </w:rPr>
      </w:pPr>
      <w:r w:rsidRPr="003F356C">
        <w:rPr>
          <w:bCs/>
          <w:lang w:val="fr-CH"/>
        </w:rPr>
        <w:t>Secrétaire générale de la Convention</w:t>
      </w:r>
    </w:p>
    <w:p w14:paraId="57DA62E8" w14:textId="2B6D68CC" w:rsidR="00690B38" w:rsidRPr="00B5073A" w:rsidRDefault="00690B38" w:rsidP="003F356C">
      <w:pPr>
        <w:spacing w:after="0" w:line="240" w:lineRule="auto"/>
        <w:contextualSpacing/>
        <w:rPr>
          <w:bCs/>
          <w:lang w:val="fr-CH"/>
        </w:rPr>
      </w:pPr>
    </w:p>
    <w:p w14:paraId="41E0BC61" w14:textId="36068376" w:rsidR="006E4671" w:rsidRPr="007F0A72" w:rsidRDefault="006E4671" w:rsidP="007F0A72">
      <w:pPr>
        <w:pStyle w:val="ListParagraph"/>
        <w:numPr>
          <w:ilvl w:val="0"/>
          <w:numId w:val="27"/>
        </w:numPr>
        <w:spacing w:after="0" w:line="240" w:lineRule="auto"/>
        <w:ind w:left="426" w:hanging="426"/>
        <w:rPr>
          <w:rFonts w:cs="Calibri"/>
          <w:b/>
          <w:bCs/>
          <w:lang w:val="fr-CH"/>
        </w:rPr>
      </w:pPr>
      <w:r w:rsidRPr="003F356C">
        <w:rPr>
          <w:rFonts w:cs="Calibri"/>
          <w:b/>
          <w:bCs/>
          <w:lang w:val="fr-CH"/>
        </w:rPr>
        <w:t>Adoption</w:t>
      </w:r>
      <w:r w:rsidR="000331D5" w:rsidRPr="007F0A72">
        <w:rPr>
          <w:rFonts w:cs="Calibri"/>
          <w:b/>
          <w:bCs/>
          <w:lang w:val="fr-CH"/>
        </w:rPr>
        <w:t xml:space="preserve"> de l’ordre du jour provisoire</w:t>
      </w:r>
    </w:p>
    <w:p w14:paraId="3B80E74F" w14:textId="77777777" w:rsidR="003F356C" w:rsidRDefault="003F356C" w:rsidP="003F356C">
      <w:pPr>
        <w:spacing w:after="0" w:line="240" w:lineRule="auto"/>
        <w:contextualSpacing/>
        <w:rPr>
          <w:bCs/>
          <w:lang w:val="fr-CH"/>
        </w:rPr>
      </w:pPr>
    </w:p>
    <w:p w14:paraId="32CC63EF" w14:textId="09D13F95" w:rsidR="006E4671" w:rsidRPr="00B5073A" w:rsidRDefault="00F36407" w:rsidP="007F0A72">
      <w:pPr>
        <w:spacing w:after="0" w:line="240" w:lineRule="auto"/>
        <w:ind w:left="426"/>
        <w:contextualSpacing/>
        <w:rPr>
          <w:b/>
          <w:bCs/>
          <w:lang w:val="fr-CH"/>
        </w:rPr>
      </w:pPr>
      <w:r w:rsidRPr="00B5073A">
        <w:rPr>
          <w:bCs/>
          <w:lang w:val="fr-CH"/>
        </w:rPr>
        <w:t xml:space="preserve">Note </w:t>
      </w:r>
      <w:r w:rsidR="000331D5">
        <w:rPr>
          <w:bCs/>
          <w:lang w:val="fr-CH"/>
        </w:rPr>
        <w:t xml:space="preserve">sur l’ordre du jour : Si les Parties sont en mesure de </w:t>
      </w:r>
      <w:r w:rsidR="00034DBE">
        <w:rPr>
          <w:bCs/>
          <w:lang w:val="fr-CH"/>
        </w:rPr>
        <w:t>conclure</w:t>
      </w:r>
      <w:r w:rsidR="000331D5">
        <w:rPr>
          <w:bCs/>
          <w:lang w:val="fr-CH"/>
        </w:rPr>
        <w:t xml:space="preserve"> l’examen de tous les points de l’ordre du jour lors de la première </w:t>
      </w:r>
      <w:r w:rsidR="00E3409F">
        <w:rPr>
          <w:bCs/>
          <w:lang w:val="fr-CH"/>
        </w:rPr>
        <w:t>réunion</w:t>
      </w:r>
      <w:r w:rsidR="000331D5">
        <w:rPr>
          <w:bCs/>
          <w:lang w:val="fr-CH"/>
        </w:rPr>
        <w:t xml:space="preserve"> du mardi 23 juin, la deuxième </w:t>
      </w:r>
      <w:r w:rsidR="00E3409F">
        <w:rPr>
          <w:bCs/>
          <w:lang w:val="fr-CH"/>
        </w:rPr>
        <w:t>réunion</w:t>
      </w:r>
      <w:r w:rsidR="000331D5">
        <w:rPr>
          <w:bCs/>
          <w:lang w:val="fr-CH"/>
        </w:rPr>
        <w:t xml:space="preserve"> prévue pour le jeudi 25 juin sera annulée. Pour ces </w:t>
      </w:r>
      <w:r w:rsidR="00E3409F">
        <w:rPr>
          <w:bCs/>
          <w:lang w:val="fr-CH"/>
        </w:rPr>
        <w:t>réunions</w:t>
      </w:r>
      <w:r w:rsidR="000331D5">
        <w:rPr>
          <w:bCs/>
          <w:lang w:val="fr-CH"/>
        </w:rPr>
        <w:t xml:space="preserve"> du Comité permanent plénier, l’interprétation simultanée sera assurée.</w:t>
      </w:r>
      <w:r w:rsidRPr="00B5073A">
        <w:rPr>
          <w:rFonts w:cs="Calibri"/>
          <w:sz w:val="21"/>
          <w:szCs w:val="21"/>
          <w:lang w:val="fr-CH"/>
        </w:rPr>
        <w:t xml:space="preserve"> </w:t>
      </w:r>
      <w:r w:rsidRPr="00B5073A">
        <w:rPr>
          <w:lang w:val="fr-CH"/>
        </w:rPr>
        <w:br/>
      </w:r>
    </w:p>
    <w:p w14:paraId="57F61F1F" w14:textId="23BC8BB5" w:rsidR="00690B38" w:rsidRPr="003F356C" w:rsidRDefault="000331D5" w:rsidP="007F0A72">
      <w:pPr>
        <w:pStyle w:val="ListParagraph"/>
        <w:numPr>
          <w:ilvl w:val="0"/>
          <w:numId w:val="27"/>
        </w:numPr>
        <w:spacing w:after="0" w:line="240" w:lineRule="auto"/>
        <w:ind w:left="426" w:hanging="426"/>
        <w:rPr>
          <w:rFonts w:cs="Calibri"/>
          <w:b/>
          <w:bCs/>
          <w:lang w:val="fr-CH"/>
        </w:rPr>
      </w:pPr>
      <w:r w:rsidRPr="003F356C">
        <w:rPr>
          <w:rFonts w:cs="Calibri"/>
          <w:b/>
          <w:bCs/>
          <w:lang w:val="fr-CH"/>
        </w:rPr>
        <w:t>Information sur le processus intersessions du Comité permanent</w:t>
      </w:r>
      <w:r w:rsidR="00B46D18" w:rsidRPr="003F356C">
        <w:rPr>
          <w:rFonts w:cs="Calibri"/>
          <w:b/>
          <w:bCs/>
          <w:lang w:val="fr-CH"/>
        </w:rPr>
        <w:t xml:space="preserve"> </w:t>
      </w:r>
    </w:p>
    <w:p w14:paraId="7304C779" w14:textId="77777777" w:rsidR="00690B38" w:rsidRPr="00B5073A" w:rsidRDefault="00690B38" w:rsidP="003F356C">
      <w:pPr>
        <w:spacing w:after="0" w:line="240" w:lineRule="auto"/>
        <w:ind w:left="1134" w:hanging="708"/>
        <w:contextualSpacing/>
        <w:rPr>
          <w:rFonts w:cs="Calibri"/>
          <w:b/>
          <w:bCs/>
          <w:lang w:val="fr-CH"/>
        </w:rPr>
      </w:pPr>
    </w:p>
    <w:p w14:paraId="3AED8128" w14:textId="1C3FB450" w:rsidR="00415642" w:rsidRPr="00B5073A" w:rsidRDefault="00034DBE" w:rsidP="007F0A72">
      <w:pPr>
        <w:spacing w:after="0" w:line="240" w:lineRule="auto"/>
        <w:ind w:left="426"/>
        <w:contextualSpacing/>
        <w:rPr>
          <w:rFonts w:ascii="Times New Roman" w:eastAsiaTheme="minorHAnsi" w:hAnsi="Times New Roman"/>
          <w:lang w:val="fr-CH"/>
        </w:rPr>
      </w:pPr>
      <w:r>
        <w:rPr>
          <w:rFonts w:cs="Calibri"/>
          <w:lang w:val="fr-CH"/>
        </w:rPr>
        <w:t xml:space="preserve">Le </w:t>
      </w:r>
      <w:r w:rsidRPr="003F356C">
        <w:rPr>
          <w:bCs/>
          <w:lang w:val="fr-CH"/>
        </w:rPr>
        <w:t>Comité</w:t>
      </w:r>
      <w:r>
        <w:rPr>
          <w:rFonts w:cs="Calibri"/>
          <w:lang w:val="fr-CH"/>
        </w:rPr>
        <w:t xml:space="preserve"> permanent a estimé que l</w:t>
      </w:r>
      <w:r w:rsidR="000331D5">
        <w:rPr>
          <w:rFonts w:cs="Calibri"/>
          <w:lang w:val="fr-CH"/>
        </w:rPr>
        <w:t>es points suivants de l’ordre du jour de la 58</w:t>
      </w:r>
      <w:r w:rsidR="000331D5" w:rsidRPr="000331D5">
        <w:rPr>
          <w:rFonts w:cs="Calibri"/>
          <w:vertAlign w:val="superscript"/>
          <w:lang w:val="fr-CH"/>
        </w:rPr>
        <w:t>e</w:t>
      </w:r>
      <w:r w:rsidR="000331D5">
        <w:rPr>
          <w:rFonts w:cs="Calibri"/>
          <w:lang w:val="fr-CH"/>
        </w:rPr>
        <w:t xml:space="preserve"> Réunion du Comité permanent </w:t>
      </w:r>
      <w:r>
        <w:rPr>
          <w:rFonts w:cs="Calibri"/>
          <w:lang w:val="fr-CH"/>
        </w:rPr>
        <w:t>sont</w:t>
      </w:r>
      <w:r w:rsidR="000331D5">
        <w:rPr>
          <w:rFonts w:cs="Calibri"/>
          <w:lang w:val="fr-CH"/>
        </w:rPr>
        <w:t xml:space="preserve"> sensibles au facteur temps et </w:t>
      </w:r>
      <w:r>
        <w:rPr>
          <w:rFonts w:cs="Calibri"/>
          <w:lang w:val="fr-CH"/>
        </w:rPr>
        <w:t>doivent</w:t>
      </w:r>
      <w:r w:rsidR="000331D5">
        <w:rPr>
          <w:rFonts w:cs="Calibri"/>
          <w:lang w:val="fr-CH"/>
        </w:rPr>
        <w:t xml:space="preserve"> être traités dans le cadre d’un processus intersessions. La situation </w:t>
      </w:r>
      <w:r>
        <w:rPr>
          <w:rFonts w:cs="Calibri"/>
          <w:lang w:val="fr-CH"/>
        </w:rPr>
        <w:t>concernant</w:t>
      </w:r>
      <w:r w:rsidR="000331D5">
        <w:rPr>
          <w:rFonts w:cs="Calibri"/>
          <w:lang w:val="fr-CH"/>
        </w:rPr>
        <w:t xml:space="preserve"> ces points est la suivante : </w:t>
      </w:r>
    </w:p>
    <w:p w14:paraId="626031AF" w14:textId="77777777" w:rsidR="006E4671" w:rsidRPr="00B5073A" w:rsidRDefault="006E4671" w:rsidP="003F356C">
      <w:pPr>
        <w:spacing w:after="0" w:line="240" w:lineRule="auto"/>
        <w:ind w:left="1077"/>
        <w:rPr>
          <w:lang w:val="fr-CH"/>
        </w:rPr>
      </w:pPr>
    </w:p>
    <w:p w14:paraId="4480BCB7" w14:textId="798893CB" w:rsidR="00415642" w:rsidRPr="00B5073A" w:rsidRDefault="000331D5" w:rsidP="007F0A72">
      <w:pPr>
        <w:numPr>
          <w:ilvl w:val="0"/>
          <w:numId w:val="19"/>
        </w:numPr>
        <w:spacing w:after="0" w:line="240" w:lineRule="auto"/>
        <w:ind w:left="851" w:hanging="425"/>
        <w:rPr>
          <w:lang w:val="fr-CH"/>
        </w:rPr>
      </w:pPr>
      <w:r>
        <w:rPr>
          <w:rFonts w:cs="Calibri"/>
          <w:lang w:val="fr-CH"/>
        </w:rPr>
        <w:t>Point</w:t>
      </w:r>
      <w:r w:rsidR="00415642" w:rsidRPr="00B5073A">
        <w:rPr>
          <w:rFonts w:cs="Calibri"/>
          <w:lang w:val="fr-CH"/>
        </w:rPr>
        <w:t xml:space="preserve"> 19</w:t>
      </w:r>
      <w:r>
        <w:rPr>
          <w:rFonts w:cs="Calibri"/>
          <w:lang w:val="fr-CH"/>
        </w:rPr>
        <w:t xml:space="preserve"> de l’ordre du jour</w:t>
      </w:r>
      <w:r w:rsidR="00415642" w:rsidRPr="00B5073A">
        <w:rPr>
          <w:rFonts w:cs="Calibri"/>
          <w:lang w:val="fr-CH"/>
        </w:rPr>
        <w:t xml:space="preserve"> </w:t>
      </w:r>
      <w:r>
        <w:rPr>
          <w:rFonts w:cs="Calibri"/>
          <w:i/>
          <w:iCs/>
          <w:lang w:val="fr-CH"/>
        </w:rPr>
        <w:t>Rapport du Président du Groupe d’évaluation scientifique et technique </w:t>
      </w:r>
      <w:r>
        <w:rPr>
          <w:rFonts w:cs="Calibri"/>
          <w:lang w:val="fr-CH"/>
        </w:rPr>
        <w:t xml:space="preserve">: le Groupe de travail sur la gestion s’est réuni le 10 juin pour discuter de cette question. Le rapport de cette réunion a été communiqué </w:t>
      </w:r>
      <w:r w:rsidR="00034DBE">
        <w:rPr>
          <w:rFonts w:cs="Calibri"/>
          <w:lang w:val="fr-CH"/>
        </w:rPr>
        <w:t xml:space="preserve">le 19 juin </w:t>
      </w:r>
      <w:r>
        <w:rPr>
          <w:rFonts w:cs="Calibri"/>
          <w:lang w:val="fr-CH"/>
        </w:rPr>
        <w:t xml:space="preserve">aux membres du Comité permanent et aux Parties contractantes </w:t>
      </w:r>
      <w:r w:rsidR="00DE284D">
        <w:rPr>
          <w:rFonts w:cs="Calibri"/>
          <w:lang w:val="fr-CH"/>
        </w:rPr>
        <w:t>inscrites</w:t>
      </w:r>
      <w:r>
        <w:rPr>
          <w:rFonts w:cs="Calibri"/>
          <w:lang w:val="fr-CH"/>
        </w:rPr>
        <w:t xml:space="preserve"> comme observateurs. </w:t>
      </w:r>
    </w:p>
    <w:p w14:paraId="7521C936" w14:textId="35666A8C" w:rsidR="004672F1" w:rsidRPr="00B5073A" w:rsidRDefault="00DE284D" w:rsidP="007F0A72">
      <w:pPr>
        <w:numPr>
          <w:ilvl w:val="0"/>
          <w:numId w:val="19"/>
        </w:numPr>
        <w:spacing w:after="0" w:line="240" w:lineRule="auto"/>
        <w:ind w:left="851" w:hanging="425"/>
        <w:rPr>
          <w:lang w:val="fr-CH"/>
        </w:rPr>
      </w:pPr>
      <w:r>
        <w:rPr>
          <w:rFonts w:cs="Calibri"/>
          <w:lang w:val="fr-CH"/>
        </w:rPr>
        <w:t>Point 20.4 de l’ordre du jour</w:t>
      </w:r>
      <w:r w:rsidR="00415642" w:rsidRPr="00B5073A">
        <w:rPr>
          <w:rFonts w:cs="Calibri"/>
          <w:lang w:val="fr-CH"/>
        </w:rPr>
        <w:t xml:space="preserve"> </w:t>
      </w:r>
      <w:r w:rsidR="00415642" w:rsidRPr="00DE284D">
        <w:rPr>
          <w:rFonts w:cs="Calibri"/>
          <w:i/>
          <w:lang w:val="fr-CH"/>
        </w:rPr>
        <w:t>Process</w:t>
      </w:r>
      <w:r w:rsidRPr="00DE284D">
        <w:rPr>
          <w:rFonts w:cs="Calibri"/>
          <w:i/>
          <w:lang w:val="fr-CH"/>
        </w:rPr>
        <w:t xml:space="preserve">us de préparation et d’examen des projets de </w:t>
      </w:r>
      <w:r w:rsidR="00034DBE" w:rsidRPr="00DE284D">
        <w:rPr>
          <w:rFonts w:cs="Calibri"/>
          <w:i/>
          <w:lang w:val="fr-CH"/>
        </w:rPr>
        <w:t>résolutions</w:t>
      </w:r>
      <w:r w:rsidR="00034DBE">
        <w:rPr>
          <w:rFonts w:cs="Calibri"/>
          <w:lang w:val="fr-CH"/>
        </w:rPr>
        <w:t xml:space="preserve"> </w:t>
      </w:r>
      <w:r w:rsidR="00034DBE" w:rsidRPr="00B5073A">
        <w:rPr>
          <w:rFonts w:cs="Calibri"/>
          <w:lang w:val="fr-CH"/>
        </w:rPr>
        <w:t>(</w:t>
      </w:r>
      <w:r w:rsidRPr="00034DBE">
        <w:rPr>
          <w:rFonts w:cs="Calibri"/>
          <w:iCs/>
          <w:lang w:val="fr-CH"/>
        </w:rPr>
        <w:t>but et calendrier des réunions régionales pré</w:t>
      </w:r>
      <w:r w:rsidRPr="00034DBE">
        <w:rPr>
          <w:rFonts w:cs="Calibri"/>
          <w:iCs/>
          <w:lang w:val="fr-CH"/>
        </w:rPr>
        <w:noBreakHyphen/>
        <w:t>COP)</w:t>
      </w:r>
      <w:r>
        <w:rPr>
          <w:rFonts w:cs="Calibri"/>
          <w:lang w:val="fr-CH"/>
        </w:rPr>
        <w:t xml:space="preserve"> : le Comité exécutif s’est réuni le 17 juin pour discuter de cette question. Le rapport de la réunion a été communiqué </w:t>
      </w:r>
      <w:r w:rsidR="00034DBE">
        <w:rPr>
          <w:rFonts w:cs="Calibri"/>
          <w:lang w:val="fr-CH"/>
        </w:rPr>
        <w:t xml:space="preserve">le 19 juin </w:t>
      </w:r>
      <w:r>
        <w:rPr>
          <w:rFonts w:cs="Calibri"/>
          <w:lang w:val="fr-CH"/>
        </w:rPr>
        <w:t xml:space="preserve">aux membres du Comité permanent et aux Parties contractantes inscrites comme observateurs. </w:t>
      </w:r>
    </w:p>
    <w:p w14:paraId="6D237636" w14:textId="07177592" w:rsidR="004672F1" w:rsidRPr="00B5073A" w:rsidRDefault="004672F1" w:rsidP="007F0A72">
      <w:pPr>
        <w:numPr>
          <w:ilvl w:val="0"/>
          <w:numId w:val="19"/>
        </w:numPr>
        <w:spacing w:after="0" w:line="240" w:lineRule="auto"/>
        <w:ind w:left="851" w:hanging="425"/>
        <w:rPr>
          <w:lang w:val="fr-CH"/>
        </w:rPr>
      </w:pPr>
      <w:r w:rsidRPr="00B5073A">
        <w:rPr>
          <w:rFonts w:cs="Calibri"/>
          <w:lang w:val="fr-CH"/>
        </w:rPr>
        <w:t xml:space="preserve"> </w:t>
      </w:r>
      <w:r w:rsidR="00DE284D">
        <w:rPr>
          <w:rFonts w:cs="Calibri"/>
          <w:lang w:val="fr-CH"/>
        </w:rPr>
        <w:t xml:space="preserve">Point 8.2 de l’ordre du jour </w:t>
      </w:r>
      <w:r w:rsidR="00DE284D" w:rsidRPr="00DE284D">
        <w:rPr>
          <w:rFonts w:cs="Calibri"/>
          <w:i/>
          <w:lang w:val="fr-CH"/>
        </w:rPr>
        <w:t>Rapport sur les questions financières pour 2019 et 2020</w:t>
      </w:r>
      <w:r w:rsidR="00DE284D">
        <w:rPr>
          <w:rFonts w:cs="Calibri"/>
          <w:lang w:val="fr-CH"/>
        </w:rPr>
        <w:t xml:space="preserve"> et point 8.3 de l’ordre du jour </w:t>
      </w:r>
      <w:r w:rsidR="00DE284D" w:rsidRPr="00DE284D">
        <w:rPr>
          <w:rFonts w:cs="Calibri"/>
          <w:i/>
          <w:lang w:val="fr-CH"/>
        </w:rPr>
        <w:t>État des contributions annuelles</w:t>
      </w:r>
      <w:r w:rsidR="00DE284D">
        <w:rPr>
          <w:rFonts w:cs="Calibri"/>
          <w:lang w:val="fr-CH"/>
        </w:rPr>
        <w:t xml:space="preserve"> : le Sous-groupe sur les finances s’est réuni le 15 juin pour discuter de ces questions. Le rapport de la réunion a été communiqué </w:t>
      </w:r>
      <w:r w:rsidR="00034DBE">
        <w:rPr>
          <w:rFonts w:cs="Calibri"/>
          <w:lang w:val="fr-CH"/>
        </w:rPr>
        <w:t xml:space="preserve">le 19 juin </w:t>
      </w:r>
      <w:r w:rsidR="00DE284D">
        <w:rPr>
          <w:rFonts w:cs="Calibri"/>
          <w:lang w:val="fr-CH"/>
        </w:rPr>
        <w:t>aux membres du Comité permanent et aux Parties contractantes inscrites comme observateurs.</w:t>
      </w:r>
    </w:p>
    <w:p w14:paraId="6EE6B253" w14:textId="6E165CF3" w:rsidR="00415642" w:rsidRPr="00B5073A" w:rsidRDefault="00DE284D" w:rsidP="007F0A72">
      <w:pPr>
        <w:numPr>
          <w:ilvl w:val="0"/>
          <w:numId w:val="19"/>
        </w:numPr>
        <w:spacing w:after="0" w:line="240" w:lineRule="auto"/>
        <w:ind w:left="851" w:hanging="425"/>
        <w:rPr>
          <w:lang w:val="fr-CH"/>
        </w:rPr>
      </w:pPr>
      <w:r>
        <w:rPr>
          <w:rFonts w:cs="Calibri"/>
          <w:lang w:val="fr-CH"/>
        </w:rPr>
        <w:t xml:space="preserve">Point </w:t>
      </w:r>
      <w:r w:rsidR="00415642" w:rsidRPr="00B5073A">
        <w:rPr>
          <w:rFonts w:cs="Calibri"/>
          <w:lang w:val="fr-CH"/>
        </w:rPr>
        <w:t xml:space="preserve">20.1 </w:t>
      </w:r>
      <w:r>
        <w:rPr>
          <w:rFonts w:cs="Calibri"/>
          <w:lang w:val="fr-CH"/>
        </w:rPr>
        <w:t xml:space="preserve">de l’ordre du jour </w:t>
      </w:r>
      <w:r>
        <w:rPr>
          <w:rFonts w:cs="Calibri"/>
          <w:i/>
          <w:lang w:val="fr-CH"/>
        </w:rPr>
        <w:t>Rapport du Sous</w:t>
      </w:r>
      <w:r>
        <w:rPr>
          <w:rFonts w:cs="Calibri"/>
          <w:i/>
          <w:lang w:val="fr-CH"/>
        </w:rPr>
        <w:noBreakHyphen/>
        <w:t xml:space="preserve">groupe sur la </w:t>
      </w:r>
      <w:r w:rsidR="00415642" w:rsidRPr="00DE284D">
        <w:rPr>
          <w:rFonts w:cs="Calibri"/>
          <w:i/>
          <w:lang w:val="fr-CH"/>
        </w:rPr>
        <w:t>COP14</w:t>
      </w:r>
      <w:r>
        <w:rPr>
          <w:rFonts w:cs="Calibri"/>
          <w:i/>
          <w:lang w:val="fr-CH"/>
        </w:rPr>
        <w:t> </w:t>
      </w:r>
      <w:r w:rsidR="0074234C">
        <w:rPr>
          <w:rFonts w:cs="Calibri"/>
          <w:lang w:val="fr-CH"/>
        </w:rPr>
        <w:t>: le Sous</w:t>
      </w:r>
      <w:r w:rsidR="0074234C">
        <w:rPr>
          <w:rFonts w:cs="Calibri"/>
          <w:lang w:val="fr-CH"/>
        </w:rPr>
        <w:noBreakHyphen/>
        <w:t xml:space="preserve">groupe sur la COP14 s’est réuni le 12 juin. Un résumé verbal </w:t>
      </w:r>
      <w:r w:rsidR="00034DBE">
        <w:rPr>
          <w:rFonts w:cs="Calibri"/>
          <w:lang w:val="fr-CH"/>
        </w:rPr>
        <w:t>est</w:t>
      </w:r>
      <w:r w:rsidR="0074234C">
        <w:rPr>
          <w:rFonts w:cs="Calibri"/>
          <w:lang w:val="fr-CH"/>
        </w:rPr>
        <w:t xml:space="preserve"> présenté par le Président du Groupe de travail (République populaire de Chine) à </w:t>
      </w:r>
      <w:r w:rsidR="00034DBE">
        <w:rPr>
          <w:rFonts w:cs="Calibri"/>
          <w:lang w:val="fr-CH"/>
        </w:rPr>
        <w:t>la présente</w:t>
      </w:r>
      <w:r w:rsidR="0074234C">
        <w:rPr>
          <w:rFonts w:cs="Calibri"/>
          <w:lang w:val="fr-CH"/>
        </w:rPr>
        <w:t xml:space="preserve"> réunion. </w:t>
      </w:r>
    </w:p>
    <w:p w14:paraId="23540C6C" w14:textId="01AD498A" w:rsidR="00415642" w:rsidRPr="00B5073A" w:rsidRDefault="00902769" w:rsidP="007F0A72">
      <w:pPr>
        <w:numPr>
          <w:ilvl w:val="0"/>
          <w:numId w:val="19"/>
        </w:numPr>
        <w:spacing w:after="0" w:line="240" w:lineRule="auto"/>
        <w:ind w:left="851" w:hanging="425"/>
        <w:rPr>
          <w:lang w:val="fr-CH"/>
        </w:rPr>
      </w:pPr>
      <w:r>
        <w:rPr>
          <w:rFonts w:cs="Calibri"/>
          <w:lang w:val="fr-CH"/>
        </w:rPr>
        <w:t>Des commentaires ont été sollicités par courriel, le 15 juin, sur le</w:t>
      </w:r>
      <w:r w:rsidR="0074234C">
        <w:rPr>
          <w:rFonts w:cs="Calibri"/>
          <w:lang w:val="fr-CH"/>
        </w:rPr>
        <w:t>s points suivants de l’ordre du jour. Les commentaires regroupés</w:t>
      </w:r>
      <w:r>
        <w:rPr>
          <w:rFonts w:cs="Calibri"/>
          <w:lang w:val="fr-CH"/>
        </w:rPr>
        <w:t>,</w:t>
      </w:r>
      <w:r w:rsidR="0074234C">
        <w:rPr>
          <w:rFonts w:cs="Calibri"/>
          <w:lang w:val="fr-CH"/>
        </w:rPr>
        <w:t xml:space="preserve"> reçus des Parties</w:t>
      </w:r>
      <w:r>
        <w:rPr>
          <w:rFonts w:cs="Calibri"/>
          <w:lang w:val="fr-CH"/>
        </w:rPr>
        <w:t>,</w:t>
      </w:r>
      <w:r w:rsidR="0074234C">
        <w:rPr>
          <w:rFonts w:cs="Calibri"/>
          <w:lang w:val="fr-CH"/>
        </w:rPr>
        <w:t xml:space="preserve"> ont été envoyés aux Parties avec le texte révisé des décisions</w:t>
      </w:r>
      <w:r>
        <w:rPr>
          <w:rFonts w:cs="Calibri"/>
          <w:lang w:val="fr-CH"/>
        </w:rPr>
        <w:t>,</w:t>
      </w:r>
      <w:r w:rsidR="0074234C">
        <w:rPr>
          <w:rFonts w:cs="Calibri"/>
          <w:lang w:val="fr-CH"/>
        </w:rPr>
        <w:t xml:space="preserve"> le 19 juin : </w:t>
      </w:r>
    </w:p>
    <w:p w14:paraId="6A6D3EDC" w14:textId="2109E8B3" w:rsidR="00415642" w:rsidRPr="0074234C" w:rsidRDefault="0074234C" w:rsidP="007F0A72">
      <w:pPr>
        <w:numPr>
          <w:ilvl w:val="1"/>
          <w:numId w:val="28"/>
        </w:numPr>
        <w:tabs>
          <w:tab w:val="clear" w:pos="1440"/>
        </w:tabs>
        <w:spacing w:after="0" w:line="240" w:lineRule="auto"/>
        <w:ind w:left="1276" w:hanging="425"/>
        <w:rPr>
          <w:lang w:val="fr-CH"/>
        </w:rPr>
      </w:pPr>
      <w:r>
        <w:rPr>
          <w:rFonts w:cs="Calibri"/>
          <w:lang w:val="fr-CH"/>
        </w:rPr>
        <w:lastRenderedPageBreak/>
        <w:t>Po</w:t>
      </w:r>
      <w:r w:rsidR="00853BF7">
        <w:rPr>
          <w:rFonts w:cs="Calibri"/>
          <w:lang w:val="fr-CH"/>
        </w:rPr>
        <w:t>i</w:t>
      </w:r>
      <w:r>
        <w:rPr>
          <w:rFonts w:cs="Calibri"/>
          <w:lang w:val="fr-CH"/>
        </w:rPr>
        <w:t>nt</w:t>
      </w:r>
      <w:r w:rsidRPr="0074234C">
        <w:rPr>
          <w:rFonts w:cs="Calibri"/>
          <w:lang w:val="fr-CH"/>
        </w:rPr>
        <w:t xml:space="preserve"> 13 de</w:t>
      </w:r>
      <w:r>
        <w:rPr>
          <w:rFonts w:cs="Calibri"/>
          <w:lang w:val="fr-CH"/>
        </w:rPr>
        <w:t xml:space="preserve"> l’ordre du jour </w:t>
      </w:r>
      <w:r>
        <w:rPr>
          <w:rFonts w:cs="Calibri"/>
          <w:i/>
          <w:iCs/>
          <w:lang w:val="fr-CH"/>
        </w:rPr>
        <w:t>Examen de toutes les résolutions et décisions précédentes </w:t>
      </w:r>
      <w:r w:rsidRPr="0074234C">
        <w:rPr>
          <w:rFonts w:cs="Calibri"/>
          <w:iCs/>
          <w:lang w:val="fr-CH"/>
        </w:rPr>
        <w:t>;</w:t>
      </w:r>
    </w:p>
    <w:p w14:paraId="7C115D87" w14:textId="755B398F" w:rsidR="00415642" w:rsidRPr="0074234C" w:rsidRDefault="0074234C" w:rsidP="007F0A72">
      <w:pPr>
        <w:numPr>
          <w:ilvl w:val="1"/>
          <w:numId w:val="28"/>
        </w:numPr>
        <w:tabs>
          <w:tab w:val="clear" w:pos="1440"/>
        </w:tabs>
        <w:spacing w:after="0" w:line="240" w:lineRule="auto"/>
        <w:ind w:left="1276" w:hanging="425"/>
        <w:rPr>
          <w:lang w:val="fr-CH"/>
        </w:rPr>
      </w:pPr>
      <w:r>
        <w:rPr>
          <w:rFonts w:cs="Calibri"/>
          <w:lang w:val="fr-CH"/>
        </w:rPr>
        <w:t>Point</w:t>
      </w:r>
      <w:r w:rsidR="00415642" w:rsidRPr="0074234C">
        <w:rPr>
          <w:rFonts w:cs="Calibri"/>
          <w:lang w:val="fr-CH"/>
        </w:rPr>
        <w:t xml:space="preserve"> 16</w:t>
      </w:r>
      <w:r>
        <w:rPr>
          <w:rFonts w:cs="Calibri"/>
          <w:lang w:val="fr-CH"/>
        </w:rPr>
        <w:t xml:space="preserve"> de l’ordre du jour</w:t>
      </w:r>
      <w:r w:rsidR="00415642" w:rsidRPr="0074234C">
        <w:rPr>
          <w:rFonts w:cs="Calibri"/>
          <w:lang w:val="fr-CH"/>
        </w:rPr>
        <w:t xml:space="preserve"> </w:t>
      </w:r>
      <w:r>
        <w:rPr>
          <w:rFonts w:cs="Calibri"/>
          <w:i/>
          <w:iCs/>
          <w:lang w:val="fr-CH"/>
        </w:rPr>
        <w:t>Plan de travail du Secrétariat pour 2020 </w:t>
      </w:r>
      <w:r w:rsidR="00415642" w:rsidRPr="0074234C">
        <w:rPr>
          <w:rFonts w:cs="Calibri"/>
          <w:lang w:val="fr-CH"/>
        </w:rPr>
        <w:t>;</w:t>
      </w:r>
    </w:p>
    <w:p w14:paraId="413DFB8E" w14:textId="54E67654" w:rsidR="00415642" w:rsidRPr="0074234C" w:rsidRDefault="0074234C" w:rsidP="007F0A72">
      <w:pPr>
        <w:numPr>
          <w:ilvl w:val="1"/>
          <w:numId w:val="28"/>
        </w:numPr>
        <w:tabs>
          <w:tab w:val="clear" w:pos="1440"/>
        </w:tabs>
        <w:spacing w:after="0" w:line="240" w:lineRule="auto"/>
        <w:ind w:left="1276" w:hanging="425"/>
        <w:rPr>
          <w:lang w:val="fr-CH"/>
        </w:rPr>
      </w:pPr>
      <w:r>
        <w:rPr>
          <w:rFonts w:cs="Calibri"/>
          <w:lang w:val="fr-CH"/>
        </w:rPr>
        <w:t>Point</w:t>
      </w:r>
      <w:r w:rsidR="00415642" w:rsidRPr="0074234C">
        <w:rPr>
          <w:rFonts w:cs="Calibri"/>
          <w:lang w:val="fr-CH"/>
        </w:rPr>
        <w:t xml:space="preserve"> 20.3</w:t>
      </w:r>
      <w:r>
        <w:rPr>
          <w:rFonts w:cs="Calibri"/>
          <w:lang w:val="fr-CH"/>
        </w:rPr>
        <w:t xml:space="preserve"> de l’ordre du jour</w:t>
      </w:r>
      <w:r w:rsidR="00415642" w:rsidRPr="0074234C">
        <w:rPr>
          <w:rFonts w:cs="Calibri"/>
          <w:lang w:val="fr-CH"/>
        </w:rPr>
        <w:t xml:space="preserve"> </w:t>
      </w:r>
      <w:r>
        <w:rPr>
          <w:rFonts w:cs="Calibri"/>
          <w:i/>
          <w:iCs/>
          <w:lang w:val="fr-CH"/>
        </w:rPr>
        <w:t>Les prix Ramsar pour la conservation des zones humides </w:t>
      </w:r>
      <w:r w:rsidR="00415642" w:rsidRPr="0074234C">
        <w:rPr>
          <w:rFonts w:cs="Calibri"/>
          <w:lang w:val="fr-CH"/>
        </w:rPr>
        <w:t>;</w:t>
      </w:r>
    </w:p>
    <w:p w14:paraId="01E845A4" w14:textId="1F36EBFF" w:rsidR="00415642" w:rsidRPr="0074234C" w:rsidRDefault="0074234C" w:rsidP="007F0A72">
      <w:pPr>
        <w:numPr>
          <w:ilvl w:val="1"/>
          <w:numId w:val="28"/>
        </w:numPr>
        <w:tabs>
          <w:tab w:val="clear" w:pos="1440"/>
        </w:tabs>
        <w:spacing w:after="0" w:line="240" w:lineRule="auto"/>
        <w:ind w:left="1276" w:hanging="425"/>
        <w:rPr>
          <w:lang w:val="fr-CH"/>
        </w:rPr>
      </w:pPr>
      <w:r>
        <w:rPr>
          <w:rFonts w:cs="Calibri"/>
          <w:lang w:val="fr-CH"/>
        </w:rPr>
        <w:t>Point</w:t>
      </w:r>
      <w:r w:rsidR="00415642" w:rsidRPr="0074234C">
        <w:rPr>
          <w:rFonts w:cs="Calibri"/>
          <w:lang w:val="fr-CH"/>
        </w:rPr>
        <w:t xml:space="preserve"> 22.2</w:t>
      </w:r>
      <w:r>
        <w:rPr>
          <w:rFonts w:cs="Calibri"/>
          <w:lang w:val="fr-CH"/>
        </w:rPr>
        <w:t xml:space="preserve"> de l’ordre du jour</w:t>
      </w:r>
      <w:r w:rsidR="00415642" w:rsidRPr="0074234C">
        <w:rPr>
          <w:rFonts w:cs="Calibri"/>
          <w:lang w:val="fr-CH"/>
        </w:rPr>
        <w:t xml:space="preserve"> </w:t>
      </w:r>
      <w:r w:rsidR="00415642" w:rsidRPr="0074234C">
        <w:rPr>
          <w:rFonts w:cs="Calibri"/>
          <w:i/>
          <w:iCs/>
          <w:lang w:val="fr-CH"/>
        </w:rPr>
        <w:t>R</w:t>
      </w:r>
      <w:r>
        <w:rPr>
          <w:rFonts w:cs="Calibri"/>
          <w:i/>
          <w:iCs/>
          <w:lang w:val="fr-CH"/>
        </w:rPr>
        <w:t>apport du Secrétariat sur les Initiatives régionales Ramsar</w:t>
      </w:r>
      <w:r w:rsidR="00415642" w:rsidRPr="0074234C">
        <w:rPr>
          <w:rFonts w:cs="Calibri"/>
          <w:lang w:val="fr-CH"/>
        </w:rPr>
        <w:t xml:space="preserve"> (</w:t>
      </w:r>
      <w:r>
        <w:rPr>
          <w:rFonts w:cs="Calibri"/>
          <w:lang w:val="fr-CH"/>
        </w:rPr>
        <w:t>précision sur l’appel à propositions pour les nouvelles IRR) </w:t>
      </w:r>
      <w:r w:rsidR="00415642" w:rsidRPr="0074234C">
        <w:rPr>
          <w:rFonts w:cs="Calibri"/>
          <w:lang w:val="fr-CH"/>
        </w:rPr>
        <w:t>; </w:t>
      </w:r>
    </w:p>
    <w:p w14:paraId="46C449E4" w14:textId="2D7585EC" w:rsidR="00415642" w:rsidRPr="0074234C" w:rsidRDefault="0074234C" w:rsidP="007F0A72">
      <w:pPr>
        <w:numPr>
          <w:ilvl w:val="1"/>
          <w:numId w:val="28"/>
        </w:numPr>
        <w:tabs>
          <w:tab w:val="clear" w:pos="1440"/>
        </w:tabs>
        <w:spacing w:after="0" w:line="240" w:lineRule="auto"/>
        <w:ind w:left="1276" w:hanging="425"/>
        <w:rPr>
          <w:lang w:val="fr-CH"/>
        </w:rPr>
      </w:pPr>
      <w:r>
        <w:rPr>
          <w:rFonts w:cs="Calibri"/>
          <w:lang w:val="fr-CH"/>
        </w:rPr>
        <w:t>Point</w:t>
      </w:r>
      <w:r w:rsidR="00415642" w:rsidRPr="0074234C">
        <w:rPr>
          <w:rFonts w:cs="Calibri"/>
          <w:lang w:val="fr-CH"/>
        </w:rPr>
        <w:t xml:space="preserve"> 23</w:t>
      </w:r>
      <w:r>
        <w:rPr>
          <w:rFonts w:cs="Calibri"/>
          <w:lang w:val="fr-CH"/>
        </w:rPr>
        <w:t xml:space="preserve"> de l’ordre du jour</w:t>
      </w:r>
      <w:r w:rsidR="00415642" w:rsidRPr="0074234C">
        <w:rPr>
          <w:rFonts w:cs="Calibri"/>
          <w:lang w:val="fr-CH"/>
        </w:rPr>
        <w:t xml:space="preserve"> </w:t>
      </w:r>
      <w:r>
        <w:rPr>
          <w:rFonts w:cs="Calibri"/>
          <w:i/>
          <w:iCs/>
          <w:lang w:val="fr-CH"/>
        </w:rPr>
        <w:t>Rapport des coprésidents du Comité consultatif indépendant sur le label Ville des Zones Humides accréditée </w:t>
      </w:r>
      <w:r w:rsidR="00415642" w:rsidRPr="0074234C">
        <w:rPr>
          <w:rFonts w:cs="Calibri"/>
          <w:lang w:val="fr-CH"/>
        </w:rPr>
        <w:t xml:space="preserve">; </w:t>
      </w:r>
    </w:p>
    <w:p w14:paraId="73539B33" w14:textId="69FEAF8D" w:rsidR="00415642" w:rsidRPr="0074234C" w:rsidRDefault="0074234C" w:rsidP="007F0A72">
      <w:pPr>
        <w:numPr>
          <w:ilvl w:val="1"/>
          <w:numId w:val="28"/>
        </w:numPr>
        <w:tabs>
          <w:tab w:val="clear" w:pos="1440"/>
        </w:tabs>
        <w:spacing w:after="0" w:line="240" w:lineRule="auto"/>
        <w:ind w:left="1276" w:hanging="425"/>
        <w:rPr>
          <w:lang w:val="fr-CH"/>
        </w:rPr>
      </w:pPr>
      <w:r>
        <w:rPr>
          <w:rFonts w:cs="Calibri"/>
          <w:lang w:val="fr-CH"/>
        </w:rPr>
        <w:t xml:space="preserve">Éléments d’avis pour le FEM concernant le financement </w:t>
      </w:r>
      <w:r w:rsidR="00902769" w:rsidRPr="00902769">
        <w:rPr>
          <w:rFonts w:cs="Calibri"/>
          <w:lang w:val="fr-CH"/>
        </w:rPr>
        <w:t>à l’appui des objectifs et des priorités de la Convention</w:t>
      </w:r>
      <w:r>
        <w:rPr>
          <w:rFonts w:cs="Calibri"/>
          <w:lang w:val="fr-CH"/>
        </w:rPr>
        <w:t xml:space="preserve">, pour la huitième reconstitution de la Caisse du FEM. </w:t>
      </w:r>
      <w:r w:rsidR="003F356C">
        <w:rPr>
          <w:lang w:val="fr-CH"/>
        </w:rPr>
        <w:br/>
      </w:r>
    </w:p>
    <w:p w14:paraId="68B5AA23" w14:textId="0FF5B37F" w:rsidR="00AC5535" w:rsidRPr="0074234C" w:rsidRDefault="0074234C" w:rsidP="007F0A72">
      <w:pPr>
        <w:spacing w:after="0" w:line="240" w:lineRule="auto"/>
        <w:ind w:left="426"/>
        <w:rPr>
          <w:rFonts w:cs="Calibri"/>
          <w:lang w:val="fr-CH"/>
        </w:rPr>
      </w:pPr>
      <w:r>
        <w:rPr>
          <w:rFonts w:cs="Calibri"/>
          <w:lang w:val="fr-CH"/>
        </w:rPr>
        <w:t xml:space="preserve">Les membres du Comité permanent et </w:t>
      </w:r>
      <w:r w:rsidR="00902769">
        <w:rPr>
          <w:rFonts w:cs="Calibri"/>
          <w:lang w:val="fr-CH"/>
        </w:rPr>
        <w:t>l</w:t>
      </w:r>
      <w:r>
        <w:rPr>
          <w:rFonts w:cs="Calibri"/>
          <w:lang w:val="fr-CH"/>
        </w:rPr>
        <w:t>es Parties contractantes inscrites comme observateurs ont examiné le texte révisé des décisions proposé</w:t>
      </w:r>
      <w:r w:rsidR="002D388F">
        <w:rPr>
          <w:rFonts w:cs="Calibri"/>
          <w:lang w:val="fr-CH"/>
        </w:rPr>
        <w:t>es</w:t>
      </w:r>
      <w:r>
        <w:rPr>
          <w:rFonts w:cs="Calibri"/>
          <w:lang w:val="fr-CH"/>
        </w:rPr>
        <w:t xml:space="preserve"> qui s’appuyai</w:t>
      </w:r>
      <w:r w:rsidR="002D388F">
        <w:rPr>
          <w:rFonts w:cs="Calibri"/>
          <w:lang w:val="fr-CH"/>
        </w:rPr>
        <w:t>en</w:t>
      </w:r>
      <w:r>
        <w:rPr>
          <w:rFonts w:cs="Calibri"/>
          <w:lang w:val="fr-CH"/>
        </w:rPr>
        <w:t xml:space="preserve">t sur les commentaires fournis par les Parties contractantes </w:t>
      </w:r>
      <w:r w:rsidR="002D388F">
        <w:rPr>
          <w:rFonts w:cs="Calibri"/>
          <w:lang w:val="fr-CH"/>
        </w:rPr>
        <w:t xml:space="preserve">jusqu’au lundi 22 juin </w:t>
      </w:r>
      <w:r w:rsidR="00415642" w:rsidRPr="0074234C">
        <w:rPr>
          <w:rFonts w:cs="Calibri"/>
          <w:bCs/>
          <w:lang w:val="fr-CH"/>
        </w:rPr>
        <w:t>12:00 (</w:t>
      </w:r>
      <w:r w:rsidR="002D388F">
        <w:rPr>
          <w:rFonts w:cs="Calibri"/>
          <w:bCs/>
          <w:lang w:val="fr-CH"/>
        </w:rPr>
        <w:t>midi) </w:t>
      </w:r>
      <w:r w:rsidR="00415642" w:rsidRPr="0074234C">
        <w:rPr>
          <w:rFonts w:cs="Calibri"/>
          <w:bCs/>
          <w:lang w:val="fr-CH"/>
        </w:rPr>
        <w:t>CET</w:t>
      </w:r>
      <w:r w:rsidR="002D388F">
        <w:rPr>
          <w:rFonts w:cs="Calibri"/>
          <w:bCs/>
          <w:lang w:val="fr-CH"/>
        </w:rPr>
        <w:t xml:space="preserve">. </w:t>
      </w:r>
      <w:r w:rsidR="00902769">
        <w:rPr>
          <w:rFonts w:cs="Calibri"/>
          <w:bCs/>
          <w:lang w:val="fr-CH"/>
        </w:rPr>
        <w:t>La situation de ces décisions est présentée s</w:t>
      </w:r>
      <w:r w:rsidR="002D388F">
        <w:rPr>
          <w:rFonts w:cs="Calibri"/>
          <w:bCs/>
          <w:lang w:val="fr-CH"/>
        </w:rPr>
        <w:t xml:space="preserve">ous le point 9 de l’ordre du jour. </w:t>
      </w:r>
    </w:p>
    <w:p w14:paraId="289B9007" w14:textId="77777777" w:rsidR="00B46D18" w:rsidRPr="0074234C" w:rsidRDefault="00B46D18" w:rsidP="003F356C">
      <w:pPr>
        <w:spacing w:after="0" w:line="240" w:lineRule="auto"/>
        <w:rPr>
          <w:rFonts w:cs="Calibri"/>
          <w:b/>
          <w:lang w:val="fr-CH"/>
        </w:rPr>
      </w:pPr>
    </w:p>
    <w:p w14:paraId="0DF0A96B" w14:textId="412568EB" w:rsidR="00E7755E" w:rsidRPr="003F356C" w:rsidRDefault="002D388F" w:rsidP="007F0A72">
      <w:pPr>
        <w:pStyle w:val="ListParagraph"/>
        <w:numPr>
          <w:ilvl w:val="0"/>
          <w:numId w:val="27"/>
        </w:numPr>
        <w:spacing w:after="0" w:line="240" w:lineRule="auto"/>
        <w:ind w:left="426" w:hanging="426"/>
        <w:rPr>
          <w:rFonts w:cs="Calibri"/>
          <w:b/>
          <w:bCs/>
          <w:lang w:val="fr-CH"/>
        </w:rPr>
      </w:pPr>
      <w:r w:rsidRPr="003F356C">
        <w:rPr>
          <w:rFonts w:cs="Calibri"/>
          <w:b/>
          <w:bCs/>
          <w:lang w:val="fr-CH"/>
        </w:rPr>
        <w:t>Participation au Comité permanent</w:t>
      </w:r>
    </w:p>
    <w:p w14:paraId="74A8DDD9" w14:textId="77777777" w:rsidR="002D388F" w:rsidRDefault="002D388F" w:rsidP="003F356C">
      <w:pPr>
        <w:spacing w:after="0" w:line="240" w:lineRule="auto"/>
        <w:ind w:left="-142"/>
        <w:rPr>
          <w:rFonts w:cs="Calibri"/>
          <w:lang w:val="fr-CH"/>
        </w:rPr>
      </w:pPr>
    </w:p>
    <w:p w14:paraId="6D606847" w14:textId="1EE162E7" w:rsidR="007A151B" w:rsidRDefault="002D388F" w:rsidP="007F0A72">
      <w:pPr>
        <w:spacing w:after="0" w:line="240" w:lineRule="auto"/>
        <w:ind w:left="426"/>
        <w:rPr>
          <w:rFonts w:cs="Calibri"/>
          <w:lang w:val="fr-CH"/>
        </w:rPr>
      </w:pPr>
      <w:r>
        <w:rPr>
          <w:rFonts w:cs="Calibri"/>
          <w:lang w:val="fr-CH"/>
        </w:rPr>
        <w:t xml:space="preserve">Les membres </w:t>
      </w:r>
      <w:r w:rsidR="00E3409F">
        <w:rPr>
          <w:rFonts w:cs="Calibri"/>
          <w:lang w:val="fr-CH"/>
        </w:rPr>
        <w:t xml:space="preserve">votant </w:t>
      </w:r>
      <w:r>
        <w:rPr>
          <w:rFonts w:cs="Calibri"/>
          <w:lang w:val="fr-CH"/>
        </w:rPr>
        <w:t xml:space="preserve">du Comité permanent sont </w:t>
      </w:r>
      <w:r w:rsidR="00E3409F">
        <w:rPr>
          <w:rFonts w:cs="Calibri"/>
          <w:lang w:val="fr-CH"/>
        </w:rPr>
        <w:t>énumérés</w:t>
      </w:r>
      <w:r>
        <w:rPr>
          <w:rFonts w:cs="Calibri"/>
          <w:lang w:val="fr-CH"/>
        </w:rPr>
        <w:t xml:space="preserve"> dans l’annexe de l’ordre du jour</w:t>
      </w:r>
      <w:r w:rsidR="00E3409F">
        <w:rPr>
          <w:rFonts w:cs="Calibri"/>
          <w:lang w:val="fr-CH"/>
        </w:rPr>
        <w:t>,</w:t>
      </w:r>
      <w:r>
        <w:rPr>
          <w:rFonts w:cs="Calibri"/>
          <w:lang w:val="fr-CH"/>
        </w:rPr>
        <w:t xml:space="preserve"> tout comme les Parties contractantes inscrites en tant qu’observateurs pour les réunions intersessions virtuelles.</w:t>
      </w:r>
      <w:r w:rsidR="00952A63" w:rsidRPr="0074234C">
        <w:rPr>
          <w:rFonts w:cs="Calibri"/>
          <w:lang w:val="fr-CH"/>
        </w:rPr>
        <w:t xml:space="preserve"> </w:t>
      </w:r>
      <w:r>
        <w:rPr>
          <w:rFonts w:cs="Calibri"/>
          <w:lang w:val="fr-CH"/>
        </w:rPr>
        <w:t>Conformément aux articles</w:t>
      </w:r>
      <w:r w:rsidR="007A151B" w:rsidRPr="0074234C">
        <w:rPr>
          <w:rFonts w:cs="Calibri"/>
          <w:lang w:val="fr-CH"/>
        </w:rPr>
        <w:t xml:space="preserve"> 25 </w:t>
      </w:r>
      <w:r>
        <w:rPr>
          <w:rFonts w:cs="Calibri"/>
          <w:lang w:val="fr-CH"/>
        </w:rPr>
        <w:t>et</w:t>
      </w:r>
      <w:r w:rsidR="007A151B" w:rsidRPr="0074234C">
        <w:rPr>
          <w:rFonts w:cs="Calibri"/>
          <w:lang w:val="fr-CH"/>
        </w:rPr>
        <w:t xml:space="preserve"> 28, </w:t>
      </w:r>
      <w:r>
        <w:rPr>
          <w:rFonts w:cs="Calibri"/>
          <w:lang w:val="fr-CH"/>
        </w:rPr>
        <w:t xml:space="preserve">les réunions intersessions virtuelles du Comité permanent </w:t>
      </w:r>
      <w:r w:rsidR="00E3409F">
        <w:rPr>
          <w:rFonts w:cs="Calibri"/>
          <w:lang w:val="fr-CH"/>
        </w:rPr>
        <w:t>ont</w:t>
      </w:r>
      <w:r>
        <w:rPr>
          <w:rFonts w:cs="Calibri"/>
          <w:lang w:val="fr-CH"/>
        </w:rPr>
        <w:t xml:space="preserve"> lieu à huit clos. </w:t>
      </w:r>
    </w:p>
    <w:p w14:paraId="51F0FB32" w14:textId="77777777" w:rsidR="003F356C" w:rsidRPr="0074234C" w:rsidRDefault="003F356C" w:rsidP="003F356C">
      <w:pPr>
        <w:spacing w:after="0" w:line="240" w:lineRule="auto"/>
        <w:ind w:left="360"/>
        <w:rPr>
          <w:rFonts w:cs="Calibri"/>
          <w:lang w:val="fr-CH"/>
        </w:rPr>
      </w:pPr>
    </w:p>
    <w:p w14:paraId="3EEB70A1" w14:textId="43BF9110" w:rsidR="00444B5A" w:rsidRPr="007F0A72" w:rsidRDefault="00444B5A" w:rsidP="007F0A72">
      <w:pPr>
        <w:pStyle w:val="ListParagraph"/>
        <w:numPr>
          <w:ilvl w:val="0"/>
          <w:numId w:val="27"/>
        </w:numPr>
        <w:spacing w:after="0" w:line="240" w:lineRule="auto"/>
        <w:ind w:left="426" w:hanging="426"/>
        <w:rPr>
          <w:rFonts w:cs="Calibri"/>
          <w:b/>
          <w:bCs/>
          <w:lang w:val="fr-CH"/>
        </w:rPr>
      </w:pPr>
      <w:r w:rsidRPr="007F0A72">
        <w:rPr>
          <w:rFonts w:cs="Calibri"/>
          <w:b/>
          <w:bCs/>
          <w:lang w:val="fr-CH"/>
        </w:rPr>
        <w:t>R</w:t>
      </w:r>
      <w:r w:rsidR="002D388F" w:rsidRPr="007F0A72">
        <w:rPr>
          <w:rFonts w:cs="Calibri"/>
          <w:b/>
          <w:bCs/>
          <w:lang w:val="fr-CH"/>
        </w:rPr>
        <w:t>apport du Groupe de travail sur la gestion</w:t>
      </w:r>
    </w:p>
    <w:p w14:paraId="272CF220" w14:textId="77777777" w:rsidR="003F356C" w:rsidRPr="0074234C" w:rsidRDefault="003F356C" w:rsidP="003F356C">
      <w:pPr>
        <w:pStyle w:val="ListParagraph"/>
        <w:spacing w:after="0" w:line="240" w:lineRule="auto"/>
        <w:ind w:left="360"/>
        <w:rPr>
          <w:bCs/>
          <w:lang w:val="fr-CH"/>
        </w:rPr>
      </w:pPr>
    </w:p>
    <w:p w14:paraId="4B1A2E53" w14:textId="2CC376BB" w:rsidR="00811949" w:rsidRPr="0074234C" w:rsidRDefault="002D388F" w:rsidP="007F0A72">
      <w:pPr>
        <w:spacing w:after="0" w:line="240" w:lineRule="auto"/>
        <w:ind w:left="426"/>
        <w:contextualSpacing/>
        <w:rPr>
          <w:rFonts w:asciiTheme="minorHAnsi" w:hAnsiTheme="minorHAnsi" w:cstheme="minorHAnsi"/>
          <w:lang w:val="fr-CH"/>
        </w:rPr>
      </w:pPr>
      <w:r>
        <w:rPr>
          <w:rFonts w:asciiTheme="minorHAnsi" w:hAnsiTheme="minorHAnsi" w:cstheme="minorHAnsi"/>
          <w:bCs/>
          <w:lang w:val="fr-CH"/>
        </w:rPr>
        <w:t xml:space="preserve">Le Président du Groupe de travail sur la gestion présente </w:t>
      </w:r>
      <w:r w:rsidR="00E3409F">
        <w:rPr>
          <w:rFonts w:asciiTheme="minorHAnsi" w:hAnsiTheme="minorHAnsi" w:cstheme="minorHAnsi"/>
          <w:bCs/>
          <w:lang w:val="fr-CH"/>
        </w:rPr>
        <w:t>le</w:t>
      </w:r>
      <w:r>
        <w:rPr>
          <w:rFonts w:asciiTheme="minorHAnsi" w:hAnsiTheme="minorHAnsi" w:cstheme="minorHAnsi"/>
          <w:bCs/>
          <w:lang w:val="fr-CH"/>
        </w:rPr>
        <w:t xml:space="preserve"> rapport avec </w:t>
      </w:r>
      <w:r w:rsidR="00E3409F">
        <w:rPr>
          <w:rFonts w:asciiTheme="minorHAnsi" w:hAnsiTheme="minorHAnsi" w:cstheme="minorHAnsi"/>
          <w:bCs/>
          <w:lang w:val="fr-CH"/>
        </w:rPr>
        <w:t>d</w:t>
      </w:r>
      <w:r>
        <w:rPr>
          <w:rFonts w:asciiTheme="minorHAnsi" w:hAnsiTheme="minorHAnsi" w:cstheme="minorHAnsi"/>
          <w:bCs/>
          <w:lang w:val="fr-CH"/>
        </w:rPr>
        <w:t xml:space="preserve">es recommandations </w:t>
      </w:r>
      <w:r w:rsidR="00E3409F">
        <w:rPr>
          <w:rFonts w:cs="Calibri"/>
          <w:lang w:val="fr-CH"/>
        </w:rPr>
        <w:t>pour approbation par le Comité permanent</w:t>
      </w:r>
      <w:r>
        <w:rPr>
          <w:rFonts w:asciiTheme="minorHAnsi" w:hAnsiTheme="minorHAnsi" w:cstheme="minorHAnsi"/>
          <w:bCs/>
          <w:lang w:val="fr-CH"/>
        </w:rPr>
        <w:t xml:space="preserve">. </w:t>
      </w:r>
    </w:p>
    <w:p w14:paraId="467010C6" w14:textId="77777777" w:rsidR="00811949" w:rsidRPr="0074234C" w:rsidRDefault="00811949" w:rsidP="003F356C">
      <w:pPr>
        <w:spacing w:after="0" w:line="240" w:lineRule="auto"/>
        <w:ind w:left="567" w:hanging="567"/>
        <w:contextualSpacing/>
        <w:rPr>
          <w:bCs/>
          <w:lang w:val="fr-CH"/>
        </w:rPr>
      </w:pPr>
    </w:p>
    <w:p w14:paraId="5F216DED" w14:textId="239E4173" w:rsidR="00444B5A" w:rsidRPr="007F0A72" w:rsidRDefault="00444B5A" w:rsidP="007F0A72">
      <w:pPr>
        <w:pStyle w:val="ListParagraph"/>
        <w:numPr>
          <w:ilvl w:val="0"/>
          <w:numId w:val="27"/>
        </w:numPr>
        <w:spacing w:after="0" w:line="240" w:lineRule="auto"/>
        <w:ind w:left="426" w:hanging="426"/>
        <w:rPr>
          <w:rFonts w:cs="Calibri"/>
          <w:b/>
          <w:bCs/>
          <w:lang w:val="fr-CH"/>
        </w:rPr>
      </w:pPr>
      <w:r w:rsidRPr="007F0A72">
        <w:rPr>
          <w:rFonts w:cs="Calibri"/>
          <w:b/>
          <w:bCs/>
          <w:lang w:val="fr-CH"/>
        </w:rPr>
        <w:t>R</w:t>
      </w:r>
      <w:r w:rsidR="002D388F" w:rsidRPr="007F0A72">
        <w:rPr>
          <w:rFonts w:cs="Calibri"/>
          <w:b/>
          <w:bCs/>
          <w:lang w:val="fr-CH"/>
        </w:rPr>
        <w:t xml:space="preserve">apport du Sous-groupe sur la </w:t>
      </w:r>
      <w:r w:rsidRPr="007F0A72">
        <w:rPr>
          <w:rFonts w:cs="Calibri"/>
          <w:b/>
          <w:bCs/>
          <w:lang w:val="fr-CH"/>
        </w:rPr>
        <w:t>COP14</w:t>
      </w:r>
    </w:p>
    <w:p w14:paraId="0941A3DC" w14:textId="77777777" w:rsidR="003F356C" w:rsidRPr="0074234C" w:rsidRDefault="003F356C" w:rsidP="003F356C">
      <w:pPr>
        <w:pStyle w:val="ListParagraph"/>
        <w:spacing w:after="0" w:line="240" w:lineRule="auto"/>
        <w:ind w:left="360"/>
        <w:rPr>
          <w:bCs/>
          <w:lang w:val="fr-CH"/>
        </w:rPr>
      </w:pPr>
    </w:p>
    <w:p w14:paraId="06C95219" w14:textId="2B96BB63" w:rsidR="00D10C38" w:rsidRPr="0074234C" w:rsidRDefault="002D388F" w:rsidP="007F0A72">
      <w:pPr>
        <w:spacing w:after="0" w:line="240" w:lineRule="auto"/>
        <w:ind w:left="426"/>
        <w:contextualSpacing/>
        <w:rPr>
          <w:rFonts w:asciiTheme="minorHAnsi" w:hAnsiTheme="minorHAnsi" w:cstheme="minorHAnsi"/>
          <w:lang w:val="fr-CH"/>
        </w:rPr>
      </w:pPr>
      <w:r>
        <w:rPr>
          <w:bCs/>
          <w:lang w:val="fr-CH"/>
        </w:rPr>
        <w:t>Le Président du Sous-groupe sur la COP14 présente un rapport verbal sur les questions discutées par le Sous</w:t>
      </w:r>
      <w:r>
        <w:rPr>
          <w:bCs/>
          <w:lang w:val="fr-CH"/>
        </w:rPr>
        <w:noBreakHyphen/>
        <w:t xml:space="preserve">groupe le 12 juin (thème de la COP14 et thème </w:t>
      </w:r>
      <w:r w:rsidR="00E3409F">
        <w:rPr>
          <w:bCs/>
          <w:lang w:val="fr-CH"/>
        </w:rPr>
        <w:t>du</w:t>
      </w:r>
      <w:r>
        <w:rPr>
          <w:bCs/>
          <w:lang w:val="fr-CH"/>
        </w:rPr>
        <w:t xml:space="preserve"> 50</w:t>
      </w:r>
      <w:r w:rsidRPr="002D388F">
        <w:rPr>
          <w:bCs/>
          <w:vertAlign w:val="superscript"/>
          <w:lang w:val="fr-CH"/>
        </w:rPr>
        <w:t>e</w:t>
      </w:r>
      <w:r>
        <w:rPr>
          <w:bCs/>
          <w:lang w:val="fr-CH"/>
        </w:rPr>
        <w:t xml:space="preserve"> anniversaire de la Convention). </w:t>
      </w:r>
    </w:p>
    <w:p w14:paraId="745F4CBD" w14:textId="77777777" w:rsidR="00D10C38" w:rsidRPr="007F0A72" w:rsidRDefault="00D10C38" w:rsidP="00C73485">
      <w:pPr>
        <w:pStyle w:val="ListParagraph"/>
        <w:spacing w:after="0" w:line="240" w:lineRule="auto"/>
        <w:ind w:left="426"/>
        <w:rPr>
          <w:rFonts w:cs="Calibri"/>
          <w:b/>
          <w:bCs/>
          <w:lang w:val="fr-CH"/>
        </w:rPr>
      </w:pPr>
    </w:p>
    <w:p w14:paraId="67802ADB" w14:textId="05BE0F9A" w:rsidR="00F636EA" w:rsidRPr="003F356C" w:rsidRDefault="00444B5A" w:rsidP="007F0A72">
      <w:pPr>
        <w:pStyle w:val="ListParagraph"/>
        <w:numPr>
          <w:ilvl w:val="0"/>
          <w:numId w:val="27"/>
        </w:numPr>
        <w:spacing w:after="0" w:line="240" w:lineRule="auto"/>
        <w:ind w:left="426" w:hanging="426"/>
        <w:rPr>
          <w:rFonts w:cs="Calibri"/>
          <w:b/>
          <w:lang w:val="fr-CH"/>
        </w:rPr>
      </w:pPr>
      <w:r w:rsidRPr="007F0A72">
        <w:rPr>
          <w:rFonts w:cs="Calibri"/>
          <w:b/>
          <w:bCs/>
          <w:lang w:val="fr-CH"/>
        </w:rPr>
        <w:t>R</w:t>
      </w:r>
      <w:r w:rsidR="002D388F" w:rsidRPr="007F0A72">
        <w:rPr>
          <w:rFonts w:cs="Calibri"/>
          <w:b/>
          <w:bCs/>
          <w:lang w:val="fr-CH"/>
        </w:rPr>
        <w:t>apport du Comité exécutif sur le point</w:t>
      </w:r>
      <w:r w:rsidR="00F636EA" w:rsidRPr="007F0A72">
        <w:rPr>
          <w:rFonts w:cs="Calibri"/>
          <w:b/>
          <w:bCs/>
          <w:lang w:val="fr-CH"/>
        </w:rPr>
        <w:t xml:space="preserve"> 20.4</w:t>
      </w:r>
      <w:r w:rsidR="002D388F" w:rsidRPr="007F0A72">
        <w:rPr>
          <w:rFonts w:cs="Calibri"/>
          <w:b/>
          <w:bCs/>
          <w:lang w:val="fr-CH"/>
        </w:rPr>
        <w:t xml:space="preserve"> de l’ordre du jour</w:t>
      </w:r>
      <w:r w:rsidR="00F636EA" w:rsidRPr="007F0A72">
        <w:rPr>
          <w:rFonts w:cs="Calibri"/>
          <w:b/>
          <w:bCs/>
          <w:lang w:val="fr-CH"/>
        </w:rPr>
        <w:t xml:space="preserve"> </w:t>
      </w:r>
      <w:r w:rsidR="00F636EA" w:rsidRPr="007F0A72">
        <w:rPr>
          <w:rFonts w:cs="Calibri"/>
          <w:b/>
          <w:bCs/>
          <w:i/>
          <w:lang w:val="fr-CH"/>
        </w:rPr>
        <w:t>Process</w:t>
      </w:r>
      <w:r w:rsidR="002D388F" w:rsidRPr="007F0A72">
        <w:rPr>
          <w:rFonts w:cs="Calibri"/>
          <w:b/>
          <w:bCs/>
          <w:i/>
          <w:lang w:val="fr-CH"/>
        </w:rPr>
        <w:t>us de préparation et</w:t>
      </w:r>
      <w:r w:rsidR="002D388F" w:rsidRPr="003F356C">
        <w:rPr>
          <w:rFonts w:cs="Calibri"/>
          <w:b/>
          <w:i/>
          <w:lang w:val="fr-CH"/>
        </w:rPr>
        <w:t xml:space="preserve"> d’examen des projets de résolutions </w:t>
      </w:r>
      <w:r w:rsidR="002D388F" w:rsidRPr="003F356C">
        <w:rPr>
          <w:rFonts w:cs="Calibri"/>
          <w:b/>
          <w:iCs/>
          <w:lang w:val="fr-CH"/>
        </w:rPr>
        <w:t>(but et calendrier des réunions régionales pré</w:t>
      </w:r>
      <w:r w:rsidR="002D388F" w:rsidRPr="003F356C">
        <w:rPr>
          <w:rFonts w:cs="Calibri"/>
          <w:b/>
          <w:iCs/>
          <w:lang w:val="fr-CH"/>
        </w:rPr>
        <w:noBreakHyphen/>
        <w:t>COP)</w:t>
      </w:r>
      <w:r w:rsidR="002D388F" w:rsidRPr="003F356C">
        <w:rPr>
          <w:rFonts w:cs="Calibri"/>
          <w:b/>
          <w:i/>
          <w:lang w:val="fr-CH"/>
        </w:rPr>
        <w:t xml:space="preserve"> </w:t>
      </w:r>
    </w:p>
    <w:p w14:paraId="3E7E62D5" w14:textId="77777777" w:rsidR="003F356C" w:rsidRDefault="003F356C" w:rsidP="003F356C">
      <w:pPr>
        <w:spacing w:after="0" w:line="240" w:lineRule="auto"/>
        <w:ind w:left="-142"/>
        <w:rPr>
          <w:rFonts w:cs="Calibri"/>
          <w:lang w:val="fr-CH"/>
        </w:rPr>
      </w:pPr>
    </w:p>
    <w:p w14:paraId="0E3A37CE" w14:textId="1CCDB250" w:rsidR="00F636EA" w:rsidRDefault="003F356C" w:rsidP="007F0A72">
      <w:pPr>
        <w:spacing w:after="0" w:line="240" w:lineRule="auto"/>
        <w:ind w:left="426"/>
        <w:rPr>
          <w:rFonts w:cs="Calibri"/>
          <w:lang w:val="fr-CH"/>
        </w:rPr>
      </w:pPr>
      <w:r>
        <w:rPr>
          <w:rFonts w:cs="Calibri"/>
          <w:lang w:val="fr-CH"/>
        </w:rPr>
        <w:t>L</w:t>
      </w:r>
      <w:r w:rsidR="002D388F">
        <w:rPr>
          <w:rFonts w:cs="Calibri"/>
          <w:lang w:val="fr-CH"/>
        </w:rPr>
        <w:t xml:space="preserve">e Président du Comité exécutif présente le rapport du Comité </w:t>
      </w:r>
      <w:r w:rsidR="00E3409F">
        <w:rPr>
          <w:rFonts w:cs="Calibri"/>
          <w:lang w:val="fr-CH"/>
        </w:rPr>
        <w:t>avec</w:t>
      </w:r>
      <w:r w:rsidR="002D388F">
        <w:rPr>
          <w:rFonts w:cs="Calibri"/>
          <w:lang w:val="fr-CH"/>
        </w:rPr>
        <w:t xml:space="preserve"> </w:t>
      </w:r>
      <w:r w:rsidR="00E3409F">
        <w:rPr>
          <w:rFonts w:cs="Calibri"/>
          <w:lang w:val="fr-CH"/>
        </w:rPr>
        <w:t>d</w:t>
      </w:r>
      <w:r w:rsidR="002D388F">
        <w:rPr>
          <w:rFonts w:cs="Calibri"/>
          <w:lang w:val="fr-CH"/>
        </w:rPr>
        <w:t>es recommandations pour approbation par le Comité permanent.</w:t>
      </w:r>
    </w:p>
    <w:p w14:paraId="1A3E79A3" w14:textId="77777777" w:rsidR="003F356C" w:rsidRPr="0074234C" w:rsidRDefault="003F356C" w:rsidP="003F356C">
      <w:pPr>
        <w:spacing w:after="0" w:line="240" w:lineRule="auto"/>
        <w:ind w:left="-142"/>
        <w:rPr>
          <w:lang w:val="fr-CH"/>
        </w:rPr>
      </w:pPr>
    </w:p>
    <w:p w14:paraId="599CCC6F" w14:textId="4BCA4A84" w:rsidR="00444B5A" w:rsidRPr="003F356C" w:rsidRDefault="002D388F" w:rsidP="00C73485">
      <w:pPr>
        <w:pStyle w:val="ListParagraph"/>
        <w:numPr>
          <w:ilvl w:val="0"/>
          <w:numId w:val="27"/>
        </w:numPr>
        <w:spacing w:after="0" w:line="240" w:lineRule="auto"/>
        <w:ind w:left="426" w:hanging="426"/>
        <w:rPr>
          <w:rFonts w:cs="Calibri"/>
          <w:b/>
          <w:lang w:val="fr-CH"/>
        </w:rPr>
      </w:pPr>
      <w:r w:rsidRPr="003F356C">
        <w:rPr>
          <w:b/>
          <w:bCs/>
          <w:lang w:val="fr-CH"/>
        </w:rPr>
        <w:t>Point</w:t>
      </w:r>
      <w:r w:rsidR="00326D9C" w:rsidRPr="003F356C">
        <w:rPr>
          <w:rFonts w:cs="Calibri"/>
          <w:b/>
          <w:lang w:val="fr-CH"/>
        </w:rPr>
        <w:t xml:space="preserve"> 8.2</w:t>
      </w:r>
      <w:r w:rsidRPr="003F356C">
        <w:rPr>
          <w:rFonts w:cs="Calibri"/>
          <w:b/>
          <w:lang w:val="fr-CH"/>
        </w:rPr>
        <w:t xml:space="preserve"> de l’ordre du jour </w:t>
      </w:r>
      <w:r w:rsidRPr="003F356C">
        <w:rPr>
          <w:rFonts w:cs="Calibri"/>
          <w:b/>
          <w:i/>
          <w:lang w:val="fr-CH"/>
        </w:rPr>
        <w:t xml:space="preserve">Rapport sur les questions financières pour </w:t>
      </w:r>
      <w:r w:rsidR="00326D9C" w:rsidRPr="003F356C">
        <w:rPr>
          <w:rFonts w:cs="Calibri"/>
          <w:b/>
          <w:i/>
          <w:lang w:val="fr-CH"/>
        </w:rPr>
        <w:t xml:space="preserve">2019 </w:t>
      </w:r>
      <w:r w:rsidRPr="003F356C">
        <w:rPr>
          <w:rFonts w:cs="Calibri"/>
          <w:b/>
          <w:i/>
          <w:lang w:val="fr-CH"/>
        </w:rPr>
        <w:t>et </w:t>
      </w:r>
      <w:r w:rsidR="00326D9C" w:rsidRPr="003F356C">
        <w:rPr>
          <w:rFonts w:cs="Calibri"/>
          <w:b/>
          <w:i/>
          <w:lang w:val="fr-CH"/>
        </w:rPr>
        <w:t>2020</w:t>
      </w:r>
      <w:r w:rsidR="00326D9C" w:rsidRPr="003F356C">
        <w:rPr>
          <w:rFonts w:cs="Calibri"/>
          <w:b/>
          <w:lang w:val="fr-CH"/>
        </w:rPr>
        <w:t xml:space="preserve"> </w:t>
      </w:r>
      <w:r w:rsidRPr="003F356C">
        <w:rPr>
          <w:rFonts w:cs="Calibri"/>
          <w:b/>
          <w:lang w:val="fr-CH"/>
        </w:rPr>
        <w:t>et</w:t>
      </w:r>
      <w:r w:rsidR="00326D9C" w:rsidRPr="003F356C">
        <w:rPr>
          <w:rFonts w:cs="Calibri"/>
          <w:b/>
          <w:lang w:val="fr-CH"/>
        </w:rPr>
        <w:t xml:space="preserve"> </w:t>
      </w:r>
      <w:r w:rsidRPr="003F356C">
        <w:rPr>
          <w:rFonts w:cs="Calibri"/>
          <w:b/>
          <w:lang w:val="fr-CH"/>
        </w:rPr>
        <w:t>point </w:t>
      </w:r>
      <w:r w:rsidR="00326D9C" w:rsidRPr="003F356C">
        <w:rPr>
          <w:rFonts w:cs="Calibri"/>
          <w:b/>
          <w:lang w:val="fr-CH"/>
        </w:rPr>
        <w:t xml:space="preserve">8.3 </w:t>
      </w:r>
      <w:r w:rsidRPr="003F356C">
        <w:rPr>
          <w:rFonts w:cs="Calibri"/>
          <w:b/>
          <w:lang w:val="fr-CH"/>
        </w:rPr>
        <w:t xml:space="preserve">de l’ordre du jour </w:t>
      </w:r>
      <w:r w:rsidRPr="003F356C">
        <w:rPr>
          <w:rFonts w:cs="Calibri"/>
          <w:b/>
          <w:i/>
          <w:lang w:val="fr-CH"/>
        </w:rPr>
        <w:t>État des contributions annuelles</w:t>
      </w:r>
    </w:p>
    <w:p w14:paraId="54DF149E" w14:textId="77777777" w:rsidR="003F356C" w:rsidRDefault="003F356C" w:rsidP="003F356C">
      <w:pPr>
        <w:spacing w:after="0" w:line="240" w:lineRule="auto"/>
        <w:ind w:left="-142"/>
        <w:rPr>
          <w:rFonts w:cs="Calibri"/>
          <w:lang w:val="fr-CH"/>
        </w:rPr>
      </w:pPr>
    </w:p>
    <w:p w14:paraId="0DB18EE4" w14:textId="4CC01BA5" w:rsidR="00855B14" w:rsidRDefault="002D388F" w:rsidP="007F0A72">
      <w:pPr>
        <w:spacing w:after="0" w:line="240" w:lineRule="auto"/>
        <w:ind w:left="426"/>
        <w:rPr>
          <w:rFonts w:cs="Calibri"/>
          <w:lang w:val="fr-CH"/>
        </w:rPr>
      </w:pPr>
      <w:r>
        <w:rPr>
          <w:rFonts w:cs="Calibri"/>
          <w:lang w:val="fr-CH"/>
        </w:rPr>
        <w:t>Le Président du Sous-groupe sur les finances présente le rapport du Sous</w:t>
      </w:r>
      <w:r>
        <w:rPr>
          <w:rFonts w:cs="Calibri"/>
          <w:lang w:val="fr-CH"/>
        </w:rPr>
        <w:noBreakHyphen/>
        <w:t xml:space="preserve">groupe </w:t>
      </w:r>
      <w:r w:rsidR="001354AD">
        <w:rPr>
          <w:rFonts w:cs="Calibri"/>
          <w:lang w:val="fr-CH"/>
        </w:rPr>
        <w:t>avec des</w:t>
      </w:r>
      <w:r>
        <w:rPr>
          <w:rFonts w:cs="Calibri"/>
          <w:lang w:val="fr-CH"/>
        </w:rPr>
        <w:t xml:space="preserve"> recommandations pour appro</w:t>
      </w:r>
      <w:r w:rsidR="003F356C">
        <w:rPr>
          <w:rFonts w:cs="Calibri"/>
          <w:lang w:val="fr-CH"/>
        </w:rPr>
        <w:t>bation par le Comité permanent.</w:t>
      </w:r>
    </w:p>
    <w:p w14:paraId="00F17418" w14:textId="77777777" w:rsidR="003F356C" w:rsidRPr="0074234C" w:rsidRDefault="003F356C" w:rsidP="003F356C">
      <w:pPr>
        <w:spacing w:after="0" w:line="240" w:lineRule="auto"/>
        <w:ind w:left="360"/>
        <w:rPr>
          <w:rFonts w:cs="Calibri"/>
          <w:lang w:val="fr-CH"/>
        </w:rPr>
      </w:pPr>
    </w:p>
    <w:p w14:paraId="378A36BA" w14:textId="77777777" w:rsidR="003F356C" w:rsidRDefault="003F356C">
      <w:pPr>
        <w:rPr>
          <w:rFonts w:cs="Calibri"/>
          <w:lang w:val="fr-CH"/>
        </w:rPr>
      </w:pPr>
      <w:r>
        <w:rPr>
          <w:rFonts w:cs="Calibri"/>
          <w:lang w:val="fr-CH"/>
        </w:rPr>
        <w:br w:type="page"/>
      </w:r>
    </w:p>
    <w:p w14:paraId="5CFD250A" w14:textId="1383D8A1" w:rsidR="001500B9" w:rsidRPr="003F356C" w:rsidRDefault="002D388F" w:rsidP="00C73485">
      <w:pPr>
        <w:pStyle w:val="ListParagraph"/>
        <w:numPr>
          <w:ilvl w:val="0"/>
          <w:numId w:val="27"/>
        </w:numPr>
        <w:spacing w:after="0" w:line="240" w:lineRule="auto"/>
        <w:ind w:left="426" w:hanging="426"/>
        <w:rPr>
          <w:rFonts w:cs="Calibri"/>
          <w:b/>
          <w:lang w:val="fr-CH"/>
        </w:rPr>
      </w:pPr>
      <w:r w:rsidRPr="003F356C">
        <w:rPr>
          <w:b/>
          <w:bCs/>
          <w:lang w:val="fr-CH"/>
        </w:rPr>
        <w:lastRenderedPageBreak/>
        <w:t>Révision</w:t>
      </w:r>
      <w:r w:rsidR="001500B9" w:rsidRPr="003F356C">
        <w:rPr>
          <w:rFonts w:cs="Calibri"/>
          <w:b/>
          <w:lang w:val="fr-CH"/>
        </w:rPr>
        <w:t xml:space="preserve"> </w:t>
      </w:r>
      <w:r w:rsidRPr="003F356C">
        <w:rPr>
          <w:rFonts w:cs="Calibri"/>
          <w:b/>
          <w:lang w:val="fr-CH"/>
        </w:rPr>
        <w:t xml:space="preserve">des décisions sur les points de l’ordre du jour discutés par courriel </w:t>
      </w:r>
    </w:p>
    <w:p w14:paraId="441A6152" w14:textId="77777777" w:rsidR="003F356C" w:rsidRPr="0074234C" w:rsidRDefault="003F356C" w:rsidP="003F356C">
      <w:pPr>
        <w:pStyle w:val="ListParagraph"/>
        <w:spacing w:after="0" w:line="240" w:lineRule="auto"/>
        <w:ind w:left="360"/>
        <w:rPr>
          <w:rFonts w:cs="Calibri"/>
          <w:lang w:val="fr-CH"/>
        </w:rPr>
      </w:pPr>
    </w:p>
    <w:p w14:paraId="445D4477" w14:textId="67ACC919" w:rsidR="00ED6811" w:rsidRPr="0074234C" w:rsidRDefault="001354AD" w:rsidP="007F0A72">
      <w:pPr>
        <w:spacing w:after="0" w:line="240" w:lineRule="auto"/>
        <w:ind w:left="426"/>
        <w:rPr>
          <w:rFonts w:cs="Calibri"/>
          <w:lang w:val="fr-CH"/>
        </w:rPr>
      </w:pPr>
      <w:r>
        <w:rPr>
          <w:rFonts w:cs="Calibri"/>
          <w:lang w:val="fr-CH"/>
        </w:rPr>
        <w:t>Des commentaires ont été sollicités par courriel sur s</w:t>
      </w:r>
      <w:r w:rsidR="006718CE" w:rsidRPr="0074234C">
        <w:rPr>
          <w:rFonts w:cs="Calibri"/>
          <w:lang w:val="fr-CH"/>
        </w:rPr>
        <w:t>ix</w:t>
      </w:r>
      <w:r w:rsidR="00370164">
        <w:rPr>
          <w:rFonts w:cs="Calibri"/>
          <w:lang w:val="fr-CH"/>
        </w:rPr>
        <w:t xml:space="preserve"> points de l’ordre du jour</w:t>
      </w:r>
      <w:r>
        <w:rPr>
          <w:rFonts w:cs="Calibri"/>
          <w:lang w:val="fr-CH"/>
        </w:rPr>
        <w:t xml:space="preserve">, avec un délai fixé </w:t>
      </w:r>
      <w:r w:rsidR="00370164">
        <w:rPr>
          <w:rFonts w:cs="Calibri"/>
          <w:lang w:val="fr-CH"/>
        </w:rPr>
        <w:t xml:space="preserve">au 15 juin. Le texte révisé des décisions fondé sur les commentaires reçus a ensuite été transmis aux Parties contractantes pour un second cycle de commentaires jusqu’au 22 juin. L’état de ces six points est le suivant : </w:t>
      </w:r>
      <w:r w:rsidR="006718CE" w:rsidRPr="0074234C">
        <w:rPr>
          <w:rFonts w:cs="Calibri"/>
          <w:lang w:val="fr-CH"/>
        </w:rPr>
        <w:t xml:space="preserve"> </w:t>
      </w:r>
    </w:p>
    <w:p w14:paraId="1F6FF75D" w14:textId="77777777" w:rsidR="00ED6811" w:rsidRPr="0074234C" w:rsidRDefault="00ED6811" w:rsidP="007F0A72">
      <w:pPr>
        <w:spacing w:after="0" w:line="240" w:lineRule="auto"/>
        <w:ind w:left="426"/>
        <w:rPr>
          <w:rFonts w:cs="Calibri"/>
          <w:lang w:val="fr-CH"/>
        </w:rPr>
      </w:pPr>
    </w:p>
    <w:p w14:paraId="62D3C2EC" w14:textId="551B354D" w:rsidR="000325B1" w:rsidRPr="0074234C" w:rsidRDefault="00140528" w:rsidP="007F0A72">
      <w:pPr>
        <w:spacing w:after="0" w:line="240" w:lineRule="auto"/>
        <w:ind w:left="426"/>
        <w:rPr>
          <w:rFonts w:cs="Calibri"/>
          <w:lang w:val="fr-CH"/>
        </w:rPr>
      </w:pPr>
      <w:r>
        <w:rPr>
          <w:rFonts w:cs="Calibri"/>
          <w:lang w:val="fr-CH"/>
        </w:rPr>
        <w:t>Le Secrétariat présente l’état des points de l’ordre du jour qui ont reçu des commentaires ou des objections.</w:t>
      </w:r>
      <w:r w:rsidR="00CD4233" w:rsidRPr="0074234C">
        <w:rPr>
          <w:rFonts w:cs="Calibri"/>
          <w:lang w:val="fr-CH"/>
        </w:rPr>
        <w:t xml:space="preserve">   </w:t>
      </w:r>
    </w:p>
    <w:p w14:paraId="6D40B1F0" w14:textId="36A4FC54" w:rsidR="00CD4233" w:rsidRPr="0074234C" w:rsidRDefault="00CD4233" w:rsidP="003F356C">
      <w:pPr>
        <w:spacing w:after="0" w:line="240" w:lineRule="auto"/>
        <w:ind w:left="-142"/>
        <w:rPr>
          <w:rFonts w:cs="Calibri"/>
          <w:lang w:val="fr-CH"/>
        </w:rPr>
      </w:pPr>
    </w:p>
    <w:p w14:paraId="47FB7150" w14:textId="60DB607B" w:rsidR="00CD4233" w:rsidRPr="0074234C" w:rsidRDefault="00140528" w:rsidP="007F0A72">
      <w:pPr>
        <w:numPr>
          <w:ilvl w:val="0"/>
          <w:numId w:val="19"/>
        </w:numPr>
        <w:spacing w:after="0" w:line="240" w:lineRule="auto"/>
        <w:ind w:left="851" w:hanging="425"/>
        <w:rPr>
          <w:lang w:val="fr-CH"/>
        </w:rPr>
      </w:pPr>
      <w:r>
        <w:rPr>
          <w:rFonts w:cs="Calibri"/>
          <w:lang w:val="fr-CH"/>
        </w:rPr>
        <w:t>Point</w:t>
      </w:r>
      <w:r w:rsidR="00CD4233" w:rsidRPr="0074234C">
        <w:rPr>
          <w:rFonts w:cs="Calibri"/>
          <w:lang w:val="fr-CH"/>
        </w:rPr>
        <w:t xml:space="preserve"> 13</w:t>
      </w:r>
      <w:r>
        <w:rPr>
          <w:rFonts w:cs="Calibri"/>
          <w:lang w:val="fr-CH"/>
        </w:rPr>
        <w:t xml:space="preserve"> de l’ordre du jour –</w:t>
      </w:r>
      <w:r w:rsidR="00235E86" w:rsidRPr="0074234C">
        <w:rPr>
          <w:rFonts w:cs="Calibri"/>
          <w:lang w:val="fr-CH"/>
        </w:rPr>
        <w:t xml:space="preserve"> </w:t>
      </w:r>
      <w:r>
        <w:rPr>
          <w:rFonts w:cs="Calibri"/>
          <w:i/>
          <w:iCs/>
          <w:lang w:val="fr-CH"/>
        </w:rPr>
        <w:t>Examen de toutes les résolutions et décisions précédentes</w:t>
      </w:r>
    </w:p>
    <w:p w14:paraId="1436F4B0" w14:textId="574236BC" w:rsidR="00CD4233" w:rsidRPr="0074234C" w:rsidRDefault="00140528" w:rsidP="007F0A72">
      <w:pPr>
        <w:numPr>
          <w:ilvl w:val="0"/>
          <w:numId w:val="19"/>
        </w:numPr>
        <w:spacing w:after="0" w:line="240" w:lineRule="auto"/>
        <w:ind w:left="851" w:hanging="425"/>
        <w:rPr>
          <w:lang w:val="fr-CH"/>
        </w:rPr>
      </w:pPr>
      <w:r>
        <w:rPr>
          <w:rFonts w:cs="Calibri"/>
          <w:lang w:val="fr-CH"/>
        </w:rPr>
        <w:t>Point 16 de l’ordre du jour</w:t>
      </w:r>
      <w:r w:rsidR="00CD4233" w:rsidRPr="0074234C">
        <w:rPr>
          <w:rFonts w:cs="Calibri"/>
          <w:lang w:val="fr-CH"/>
        </w:rPr>
        <w:t xml:space="preserve"> </w:t>
      </w:r>
      <w:r>
        <w:rPr>
          <w:rFonts w:cs="Calibri"/>
          <w:lang w:val="fr-CH"/>
        </w:rPr>
        <w:t>–</w:t>
      </w:r>
      <w:r w:rsidR="00235E86" w:rsidRPr="0074234C">
        <w:rPr>
          <w:rFonts w:cs="Calibri"/>
          <w:lang w:val="fr-CH"/>
        </w:rPr>
        <w:t xml:space="preserve"> </w:t>
      </w:r>
      <w:r>
        <w:rPr>
          <w:rFonts w:cs="Calibri"/>
          <w:i/>
          <w:iCs/>
          <w:lang w:val="fr-CH"/>
        </w:rPr>
        <w:t>Plan de travail du Secrétariat pour 2020</w:t>
      </w:r>
    </w:p>
    <w:p w14:paraId="624FEEE1" w14:textId="77E44CC2" w:rsidR="00D8673D" w:rsidRPr="0074234C" w:rsidRDefault="00140528" w:rsidP="007F0A72">
      <w:pPr>
        <w:numPr>
          <w:ilvl w:val="0"/>
          <w:numId w:val="19"/>
        </w:numPr>
        <w:spacing w:after="0" w:line="240" w:lineRule="auto"/>
        <w:ind w:left="851" w:hanging="425"/>
        <w:rPr>
          <w:sz w:val="21"/>
          <w:lang w:val="fr-CH"/>
        </w:rPr>
      </w:pPr>
      <w:r>
        <w:rPr>
          <w:sz w:val="21"/>
          <w:lang w:val="fr-CH"/>
        </w:rPr>
        <w:t>Point</w:t>
      </w:r>
      <w:r w:rsidR="00D8673D" w:rsidRPr="0074234C">
        <w:rPr>
          <w:sz w:val="21"/>
          <w:lang w:val="fr-CH"/>
        </w:rPr>
        <w:t xml:space="preserve"> 20.3</w:t>
      </w:r>
      <w:r>
        <w:rPr>
          <w:sz w:val="21"/>
          <w:lang w:val="fr-CH"/>
        </w:rPr>
        <w:t xml:space="preserve"> de l’ordre du jour</w:t>
      </w:r>
      <w:r w:rsidR="00D8673D" w:rsidRPr="0074234C">
        <w:rPr>
          <w:sz w:val="21"/>
          <w:lang w:val="fr-CH"/>
        </w:rPr>
        <w:t xml:space="preserve"> </w:t>
      </w:r>
      <w:r>
        <w:rPr>
          <w:sz w:val="21"/>
          <w:lang w:val="fr-CH"/>
        </w:rPr>
        <w:t xml:space="preserve">– </w:t>
      </w:r>
      <w:r w:rsidRPr="00140528">
        <w:rPr>
          <w:i/>
          <w:sz w:val="21"/>
          <w:lang w:val="fr-CH"/>
        </w:rPr>
        <w:t>Les prix Ramsar</w:t>
      </w:r>
      <w:r>
        <w:rPr>
          <w:i/>
          <w:sz w:val="21"/>
          <w:lang w:val="fr-CH"/>
        </w:rPr>
        <w:t xml:space="preserve"> pour la conservation des zones humides</w:t>
      </w:r>
      <w:r w:rsidR="00D8673D" w:rsidRPr="0074234C">
        <w:rPr>
          <w:sz w:val="21"/>
          <w:lang w:val="fr-CH"/>
        </w:rPr>
        <w:t xml:space="preserve"> </w:t>
      </w:r>
    </w:p>
    <w:p w14:paraId="398E3480" w14:textId="2303B383" w:rsidR="00D8673D" w:rsidRPr="0074234C" w:rsidRDefault="00140528" w:rsidP="007F0A72">
      <w:pPr>
        <w:numPr>
          <w:ilvl w:val="0"/>
          <w:numId w:val="19"/>
        </w:numPr>
        <w:spacing w:after="0" w:line="240" w:lineRule="auto"/>
        <w:ind w:left="851" w:hanging="425"/>
        <w:rPr>
          <w:lang w:val="fr-CH"/>
        </w:rPr>
      </w:pPr>
      <w:r>
        <w:rPr>
          <w:rFonts w:cs="Calibri"/>
          <w:lang w:val="fr-CH"/>
        </w:rPr>
        <w:t>Point</w:t>
      </w:r>
      <w:r w:rsidR="000B1148" w:rsidRPr="0074234C">
        <w:rPr>
          <w:rFonts w:cs="Calibri"/>
          <w:lang w:val="fr-CH"/>
        </w:rPr>
        <w:t xml:space="preserve"> 22.2</w:t>
      </w:r>
      <w:r>
        <w:rPr>
          <w:rFonts w:cs="Calibri"/>
          <w:lang w:val="fr-CH"/>
        </w:rPr>
        <w:t xml:space="preserve"> de l’ordre du jour</w:t>
      </w:r>
      <w:r w:rsidR="000B1148" w:rsidRPr="0074234C">
        <w:rPr>
          <w:rFonts w:cs="Calibri"/>
          <w:lang w:val="fr-CH"/>
        </w:rPr>
        <w:t xml:space="preserve"> </w:t>
      </w:r>
      <w:r>
        <w:rPr>
          <w:rFonts w:cs="Calibri"/>
          <w:lang w:val="fr-CH"/>
        </w:rPr>
        <w:t>–</w:t>
      </w:r>
      <w:r w:rsidR="00235E86" w:rsidRPr="0074234C">
        <w:rPr>
          <w:rFonts w:cs="Calibri"/>
          <w:lang w:val="fr-CH"/>
        </w:rPr>
        <w:t xml:space="preserve"> </w:t>
      </w:r>
      <w:r w:rsidR="000B1148" w:rsidRPr="0074234C">
        <w:rPr>
          <w:rFonts w:cs="Calibri"/>
          <w:i/>
          <w:iCs/>
          <w:lang w:val="fr-CH"/>
        </w:rPr>
        <w:t>R</w:t>
      </w:r>
      <w:r>
        <w:rPr>
          <w:rFonts w:cs="Calibri"/>
          <w:i/>
          <w:iCs/>
          <w:lang w:val="fr-CH"/>
        </w:rPr>
        <w:t xml:space="preserve">apport du Secrétariat sur les Initiatives régionales Ramsar </w:t>
      </w:r>
      <w:r>
        <w:rPr>
          <w:rFonts w:cs="Calibri"/>
          <w:lang w:val="fr-CH"/>
        </w:rPr>
        <w:t xml:space="preserve">(précision sur l’appel à propositions pour de nouvelles IRR) </w:t>
      </w:r>
    </w:p>
    <w:p w14:paraId="488278B1" w14:textId="2824F7AB" w:rsidR="00235E86" w:rsidRPr="00140528" w:rsidRDefault="00140528" w:rsidP="007F0A72">
      <w:pPr>
        <w:numPr>
          <w:ilvl w:val="0"/>
          <w:numId w:val="19"/>
        </w:numPr>
        <w:spacing w:after="0" w:line="240" w:lineRule="auto"/>
        <w:ind w:left="851" w:hanging="425"/>
        <w:rPr>
          <w:rFonts w:cs="Calibri"/>
          <w:lang w:val="fr-CH"/>
        </w:rPr>
      </w:pPr>
      <w:r>
        <w:rPr>
          <w:rFonts w:cs="Calibri"/>
          <w:lang w:val="fr-CH"/>
        </w:rPr>
        <w:t>Point</w:t>
      </w:r>
      <w:r w:rsidR="00235E86" w:rsidRPr="00140528">
        <w:rPr>
          <w:rFonts w:cs="Calibri"/>
          <w:lang w:val="fr-CH"/>
        </w:rPr>
        <w:t xml:space="preserve"> 23</w:t>
      </w:r>
      <w:r>
        <w:rPr>
          <w:rFonts w:cs="Calibri"/>
          <w:lang w:val="fr-CH"/>
        </w:rPr>
        <w:t xml:space="preserve"> de l’ordre du jour</w:t>
      </w:r>
      <w:r w:rsidR="00235E86" w:rsidRPr="00140528">
        <w:rPr>
          <w:rFonts w:cs="Calibri"/>
          <w:lang w:val="fr-CH"/>
        </w:rPr>
        <w:t xml:space="preserve"> </w:t>
      </w:r>
      <w:r>
        <w:rPr>
          <w:rFonts w:cs="Calibri"/>
          <w:lang w:val="fr-CH"/>
        </w:rPr>
        <w:t>–</w:t>
      </w:r>
      <w:r w:rsidR="00235E86" w:rsidRPr="00140528">
        <w:rPr>
          <w:rFonts w:cs="Calibri"/>
          <w:lang w:val="fr-CH"/>
        </w:rPr>
        <w:t xml:space="preserve"> </w:t>
      </w:r>
      <w:r w:rsidR="00235E86" w:rsidRPr="00140528">
        <w:rPr>
          <w:rFonts w:cs="Calibri"/>
          <w:i/>
          <w:lang w:val="fr-CH"/>
        </w:rPr>
        <w:t>R</w:t>
      </w:r>
      <w:r>
        <w:rPr>
          <w:rFonts w:cs="Calibri"/>
          <w:i/>
          <w:lang w:val="fr-CH"/>
        </w:rPr>
        <w:t>apport des coprésidents du Comité consultatif indépendant sur le label Ville des Zones Humides accréditée </w:t>
      </w:r>
      <w:r w:rsidR="00235E86" w:rsidRPr="00140528">
        <w:rPr>
          <w:rFonts w:cs="Calibri"/>
          <w:lang w:val="fr-CH"/>
        </w:rPr>
        <w:t xml:space="preserve">; </w:t>
      </w:r>
      <w:r>
        <w:rPr>
          <w:rFonts w:cs="Calibri"/>
          <w:lang w:val="fr-CH"/>
        </w:rPr>
        <w:t>et</w:t>
      </w:r>
    </w:p>
    <w:p w14:paraId="2A56C140" w14:textId="24F336C5" w:rsidR="0023247B" w:rsidRPr="0074234C" w:rsidRDefault="00140528" w:rsidP="007F0A72">
      <w:pPr>
        <w:numPr>
          <w:ilvl w:val="0"/>
          <w:numId w:val="19"/>
        </w:numPr>
        <w:spacing w:after="0" w:line="240" w:lineRule="auto"/>
        <w:ind w:left="851" w:hanging="425"/>
        <w:rPr>
          <w:lang w:val="fr-CH"/>
        </w:rPr>
      </w:pPr>
      <w:r>
        <w:rPr>
          <w:rFonts w:cs="Calibri"/>
          <w:lang w:val="fr-CH"/>
        </w:rPr>
        <w:t xml:space="preserve">Éléments d’avis pour le FEM concernant le financement </w:t>
      </w:r>
      <w:r w:rsidR="001354AD">
        <w:rPr>
          <w:rFonts w:cs="Calibri"/>
          <w:lang w:val="fr-CH"/>
        </w:rPr>
        <w:t>à l’</w:t>
      </w:r>
      <w:r>
        <w:rPr>
          <w:rFonts w:cs="Calibri"/>
          <w:lang w:val="fr-CH"/>
        </w:rPr>
        <w:t xml:space="preserve">appui </w:t>
      </w:r>
      <w:r w:rsidR="001354AD">
        <w:rPr>
          <w:rFonts w:cs="Calibri"/>
          <w:lang w:val="fr-CH"/>
        </w:rPr>
        <w:t>des</w:t>
      </w:r>
      <w:r>
        <w:rPr>
          <w:rFonts w:cs="Calibri"/>
          <w:lang w:val="fr-CH"/>
        </w:rPr>
        <w:t xml:space="preserve"> objectifs et </w:t>
      </w:r>
      <w:r w:rsidR="001354AD">
        <w:rPr>
          <w:rFonts w:cs="Calibri"/>
          <w:lang w:val="fr-CH"/>
        </w:rPr>
        <w:t xml:space="preserve">des </w:t>
      </w:r>
      <w:r>
        <w:rPr>
          <w:rFonts w:cs="Calibri"/>
          <w:lang w:val="fr-CH"/>
        </w:rPr>
        <w:t xml:space="preserve">priorités de la Convention, pour la huitième reconstitution de la Caisse du FEM. </w:t>
      </w:r>
    </w:p>
    <w:p w14:paraId="7270E4E6" w14:textId="56AD55A1" w:rsidR="00CD4233" w:rsidRPr="0074234C" w:rsidRDefault="00CD4233" w:rsidP="003F356C">
      <w:pPr>
        <w:spacing w:after="0" w:line="240" w:lineRule="auto"/>
        <w:ind w:left="-142"/>
        <w:rPr>
          <w:rFonts w:cs="Calibri"/>
          <w:lang w:val="fr-CH"/>
        </w:rPr>
      </w:pPr>
    </w:p>
    <w:p w14:paraId="12FBD9D8" w14:textId="01F74D64" w:rsidR="001500B9" w:rsidRPr="003F356C" w:rsidRDefault="000325B1" w:rsidP="00C73485">
      <w:pPr>
        <w:pStyle w:val="ListParagraph"/>
        <w:numPr>
          <w:ilvl w:val="0"/>
          <w:numId w:val="27"/>
        </w:numPr>
        <w:spacing w:after="0" w:line="240" w:lineRule="auto"/>
        <w:ind w:left="426" w:hanging="426"/>
        <w:rPr>
          <w:b/>
          <w:lang w:val="fr-CH"/>
        </w:rPr>
      </w:pPr>
      <w:r w:rsidRPr="003F356C">
        <w:rPr>
          <w:b/>
          <w:lang w:val="fr-CH"/>
        </w:rPr>
        <w:t xml:space="preserve">Adoption </w:t>
      </w:r>
      <w:r w:rsidR="00140528" w:rsidRPr="003F356C">
        <w:rPr>
          <w:b/>
          <w:lang w:val="fr-CH"/>
        </w:rPr>
        <w:t>du rapport de la réunion</w:t>
      </w:r>
    </w:p>
    <w:p w14:paraId="0E64D0BD" w14:textId="77777777" w:rsidR="003F356C" w:rsidRDefault="003F356C" w:rsidP="003F356C">
      <w:pPr>
        <w:spacing w:after="0" w:line="240" w:lineRule="auto"/>
        <w:ind w:left="-142" w:firstLine="426"/>
        <w:contextualSpacing/>
        <w:rPr>
          <w:rFonts w:asciiTheme="minorHAnsi" w:hAnsiTheme="minorHAnsi" w:cstheme="minorHAnsi"/>
          <w:bCs/>
          <w:lang w:val="fr-CH"/>
        </w:rPr>
      </w:pPr>
    </w:p>
    <w:p w14:paraId="305CF699" w14:textId="130A54D3" w:rsidR="00E7755E" w:rsidRPr="0074234C" w:rsidRDefault="006E6D17" w:rsidP="007F0A72">
      <w:pPr>
        <w:spacing w:after="0" w:line="240" w:lineRule="auto"/>
        <w:ind w:left="426"/>
        <w:contextualSpacing/>
        <w:rPr>
          <w:rFonts w:asciiTheme="minorHAnsi" w:hAnsiTheme="minorHAnsi" w:cstheme="minorHAnsi"/>
          <w:bCs/>
          <w:lang w:val="fr-CH"/>
        </w:rPr>
      </w:pPr>
      <w:r>
        <w:rPr>
          <w:rFonts w:asciiTheme="minorHAnsi" w:hAnsiTheme="minorHAnsi" w:cstheme="minorHAnsi"/>
          <w:bCs/>
          <w:lang w:val="fr-CH"/>
        </w:rPr>
        <w:t xml:space="preserve">Le rapport de la réunion intersessions virtuelle du 23 juin </w:t>
      </w:r>
      <w:r w:rsidR="001354AD">
        <w:rPr>
          <w:rFonts w:asciiTheme="minorHAnsi" w:hAnsiTheme="minorHAnsi" w:cstheme="minorHAnsi"/>
          <w:bCs/>
          <w:lang w:val="fr-CH"/>
        </w:rPr>
        <w:t>est</w:t>
      </w:r>
      <w:r>
        <w:rPr>
          <w:rFonts w:asciiTheme="minorHAnsi" w:hAnsiTheme="minorHAnsi" w:cstheme="minorHAnsi"/>
          <w:bCs/>
          <w:lang w:val="fr-CH"/>
        </w:rPr>
        <w:t xml:space="preserve"> envoyé le 24 juin pour commentaires par les membres du Comité permanent et approbation sur la réunion </w:t>
      </w:r>
      <w:r w:rsidR="001354AD">
        <w:rPr>
          <w:rFonts w:asciiTheme="minorHAnsi" w:hAnsiTheme="minorHAnsi" w:cstheme="minorHAnsi"/>
          <w:bCs/>
          <w:lang w:val="fr-CH"/>
        </w:rPr>
        <w:t>le</w:t>
      </w:r>
      <w:r>
        <w:rPr>
          <w:rFonts w:asciiTheme="minorHAnsi" w:hAnsiTheme="minorHAnsi" w:cstheme="minorHAnsi"/>
          <w:bCs/>
          <w:lang w:val="fr-CH"/>
        </w:rPr>
        <w:t xml:space="preserve"> 25 juin. Au cas où la réunion du 25 juin serait annulée, le Comté permanent peut décider que le rapport est approuvé par le Président du Comité permanent ou demander qu’il soit envoyé par courriel pour approbation par le Comité permanent. </w:t>
      </w:r>
      <w:r w:rsidR="0016370F">
        <w:rPr>
          <w:rFonts w:asciiTheme="minorHAnsi" w:hAnsiTheme="minorHAnsi" w:cstheme="minorHAnsi"/>
          <w:bCs/>
          <w:lang w:val="fr-CH"/>
        </w:rPr>
        <w:t xml:space="preserve">Si la réunion du Comité permanent a lieu le 25 juin, le rapport de la réunion </w:t>
      </w:r>
      <w:r w:rsidR="001354AD">
        <w:rPr>
          <w:rFonts w:asciiTheme="minorHAnsi" w:hAnsiTheme="minorHAnsi" w:cstheme="minorHAnsi"/>
          <w:bCs/>
          <w:lang w:val="fr-CH"/>
        </w:rPr>
        <w:t>est</w:t>
      </w:r>
      <w:r w:rsidR="0016370F">
        <w:rPr>
          <w:rFonts w:asciiTheme="minorHAnsi" w:hAnsiTheme="minorHAnsi" w:cstheme="minorHAnsi"/>
          <w:bCs/>
          <w:lang w:val="fr-CH"/>
        </w:rPr>
        <w:t xml:space="preserve"> envoyé le 29 juin</w:t>
      </w:r>
      <w:r w:rsidR="001354AD">
        <w:rPr>
          <w:rFonts w:asciiTheme="minorHAnsi" w:hAnsiTheme="minorHAnsi" w:cstheme="minorHAnsi"/>
          <w:bCs/>
          <w:lang w:val="fr-CH"/>
        </w:rPr>
        <w:t>,</w:t>
      </w:r>
      <w:r w:rsidR="0016370F">
        <w:rPr>
          <w:rFonts w:asciiTheme="minorHAnsi" w:hAnsiTheme="minorHAnsi" w:cstheme="minorHAnsi"/>
          <w:bCs/>
          <w:lang w:val="fr-CH"/>
        </w:rPr>
        <w:t xml:space="preserve"> pour approbation du Comité permanent avant le 2 juillet. Le Comité permanent peut aussi décider que le rapport du 25 juin est approuvé par le Président ou demander qu’il soit envoyé par courriel</w:t>
      </w:r>
      <w:r w:rsidR="001354AD">
        <w:rPr>
          <w:rFonts w:asciiTheme="minorHAnsi" w:hAnsiTheme="minorHAnsi" w:cstheme="minorHAnsi"/>
          <w:bCs/>
          <w:lang w:val="fr-CH"/>
        </w:rPr>
        <w:t>,</w:t>
      </w:r>
      <w:r w:rsidR="0016370F">
        <w:rPr>
          <w:rFonts w:asciiTheme="minorHAnsi" w:hAnsiTheme="minorHAnsi" w:cstheme="minorHAnsi"/>
          <w:bCs/>
          <w:lang w:val="fr-CH"/>
        </w:rPr>
        <w:t xml:space="preserve"> pour approbation par le Comité permanent. </w:t>
      </w:r>
    </w:p>
    <w:p w14:paraId="5A50E41B" w14:textId="77777777" w:rsidR="00EB4358" w:rsidRPr="0074234C" w:rsidRDefault="00EB4358" w:rsidP="003F356C">
      <w:pPr>
        <w:spacing w:after="0" w:line="240" w:lineRule="auto"/>
        <w:contextualSpacing/>
        <w:rPr>
          <w:rFonts w:asciiTheme="minorHAnsi" w:hAnsiTheme="minorHAnsi" w:cstheme="minorHAnsi"/>
          <w:bCs/>
          <w:lang w:val="fr-CH"/>
        </w:rPr>
      </w:pPr>
    </w:p>
    <w:p w14:paraId="5F49864D" w14:textId="0659A90C" w:rsidR="00B723C5" w:rsidRPr="00C73485" w:rsidRDefault="0016370F" w:rsidP="00C73485">
      <w:pPr>
        <w:pStyle w:val="ListParagraph"/>
        <w:numPr>
          <w:ilvl w:val="0"/>
          <w:numId w:val="27"/>
        </w:numPr>
        <w:spacing w:after="0" w:line="240" w:lineRule="auto"/>
        <w:ind w:left="426" w:hanging="426"/>
        <w:rPr>
          <w:b/>
          <w:lang w:val="fr-CH"/>
        </w:rPr>
      </w:pPr>
      <w:r w:rsidRPr="003F356C">
        <w:rPr>
          <w:b/>
          <w:lang w:val="fr-CH"/>
        </w:rPr>
        <w:t>Divers</w:t>
      </w:r>
    </w:p>
    <w:p w14:paraId="22B2164F" w14:textId="77777777" w:rsidR="00B723C5" w:rsidRPr="00C73485" w:rsidRDefault="00B723C5" w:rsidP="00C73485">
      <w:pPr>
        <w:pStyle w:val="ListParagraph"/>
        <w:spacing w:after="0" w:line="240" w:lineRule="auto"/>
        <w:ind w:left="426"/>
        <w:rPr>
          <w:b/>
          <w:lang w:val="fr-CH"/>
        </w:rPr>
      </w:pPr>
    </w:p>
    <w:p w14:paraId="250EA27A" w14:textId="4FB91C40" w:rsidR="00B723C5" w:rsidRPr="003F356C" w:rsidRDefault="0016370F" w:rsidP="00C73485">
      <w:pPr>
        <w:pStyle w:val="ListParagraph"/>
        <w:numPr>
          <w:ilvl w:val="0"/>
          <w:numId w:val="27"/>
        </w:numPr>
        <w:spacing w:after="0" w:line="240" w:lineRule="auto"/>
        <w:ind w:left="426" w:hanging="426"/>
        <w:rPr>
          <w:b/>
          <w:bCs/>
          <w:lang w:val="fr-CH"/>
        </w:rPr>
      </w:pPr>
      <w:r w:rsidRPr="00C73485">
        <w:rPr>
          <w:b/>
          <w:lang w:val="fr-CH"/>
        </w:rPr>
        <w:t>Remarques de clôture</w:t>
      </w:r>
    </w:p>
    <w:p w14:paraId="73E2126E" w14:textId="483D2917" w:rsidR="000325B1" w:rsidRPr="003F356C" w:rsidRDefault="000325B1" w:rsidP="003F356C">
      <w:pPr>
        <w:spacing w:after="0" w:line="240" w:lineRule="auto"/>
        <w:rPr>
          <w:b/>
          <w:lang w:val="fr-FR"/>
        </w:rPr>
      </w:pPr>
    </w:p>
    <w:p w14:paraId="6D5E4280" w14:textId="77777777" w:rsidR="000325B1" w:rsidRPr="00034DBE" w:rsidRDefault="000325B1" w:rsidP="003F356C">
      <w:pPr>
        <w:spacing w:after="0" w:line="240" w:lineRule="auto"/>
        <w:rPr>
          <w:lang w:val="fr-FR"/>
        </w:rPr>
      </w:pPr>
    </w:p>
    <w:p w14:paraId="4FE01FBC" w14:textId="77777777" w:rsidR="00F36407" w:rsidRPr="00034DBE" w:rsidRDefault="00F36407" w:rsidP="003F356C">
      <w:pPr>
        <w:spacing w:after="0" w:line="240" w:lineRule="auto"/>
        <w:rPr>
          <w:rFonts w:cs="Calibri"/>
          <w:b/>
          <w:bCs/>
          <w:sz w:val="21"/>
          <w:szCs w:val="21"/>
          <w:lang w:val="fr-FR"/>
        </w:rPr>
      </w:pPr>
    </w:p>
    <w:p w14:paraId="14A22FCD" w14:textId="77777777" w:rsidR="00F36407" w:rsidRPr="00034DBE" w:rsidRDefault="00F36407" w:rsidP="003F356C">
      <w:pPr>
        <w:spacing w:after="0" w:line="240" w:lineRule="auto"/>
        <w:rPr>
          <w:rFonts w:cs="Calibri"/>
          <w:b/>
          <w:bCs/>
          <w:sz w:val="21"/>
          <w:szCs w:val="21"/>
          <w:lang w:val="fr-FR"/>
        </w:rPr>
      </w:pPr>
    </w:p>
    <w:p w14:paraId="2D17C192" w14:textId="77777777" w:rsidR="007F0A72" w:rsidRDefault="007F0A72">
      <w:pPr>
        <w:rPr>
          <w:rFonts w:asciiTheme="minorHAnsi" w:hAnsiTheme="minorHAnsi" w:cstheme="minorHAnsi"/>
          <w:b/>
          <w:bCs/>
          <w:lang w:val="fr-CH"/>
        </w:rPr>
      </w:pPr>
      <w:r>
        <w:rPr>
          <w:rFonts w:asciiTheme="minorHAnsi" w:hAnsiTheme="minorHAnsi" w:cstheme="minorHAnsi"/>
          <w:b/>
          <w:bCs/>
          <w:lang w:val="fr-CH"/>
        </w:rPr>
        <w:br w:type="page"/>
      </w:r>
    </w:p>
    <w:p w14:paraId="105B89DF" w14:textId="3796BE85" w:rsidR="00F36407" w:rsidRPr="0016370F" w:rsidRDefault="002F049E" w:rsidP="007F0A72">
      <w:pPr>
        <w:spacing w:after="0" w:line="240" w:lineRule="auto"/>
        <w:rPr>
          <w:rFonts w:asciiTheme="minorHAnsi" w:hAnsiTheme="minorHAnsi" w:cstheme="minorHAnsi"/>
          <w:b/>
          <w:bCs/>
          <w:lang w:val="fr-CH"/>
        </w:rPr>
      </w:pPr>
      <w:r w:rsidRPr="0016370F">
        <w:rPr>
          <w:rFonts w:asciiTheme="minorHAnsi" w:hAnsiTheme="minorHAnsi" w:cstheme="minorHAnsi"/>
          <w:b/>
          <w:bCs/>
          <w:lang w:val="fr-CH"/>
        </w:rPr>
        <w:lastRenderedPageBreak/>
        <w:t>Annex</w:t>
      </w:r>
      <w:r w:rsidR="0016370F" w:rsidRPr="0016370F">
        <w:rPr>
          <w:rFonts w:asciiTheme="minorHAnsi" w:hAnsiTheme="minorHAnsi" w:cstheme="minorHAnsi"/>
          <w:b/>
          <w:bCs/>
          <w:lang w:val="fr-CH"/>
        </w:rPr>
        <w:t>e</w:t>
      </w:r>
      <w:r w:rsidRPr="0016370F">
        <w:rPr>
          <w:rFonts w:asciiTheme="minorHAnsi" w:hAnsiTheme="minorHAnsi" w:cstheme="minorHAnsi"/>
          <w:b/>
          <w:bCs/>
          <w:lang w:val="fr-CH"/>
        </w:rPr>
        <w:t xml:space="preserve"> 1</w:t>
      </w:r>
    </w:p>
    <w:p w14:paraId="1A457926" w14:textId="77777777" w:rsidR="007F0A72" w:rsidRDefault="007F0A72" w:rsidP="003F356C">
      <w:pPr>
        <w:spacing w:after="0" w:line="240" w:lineRule="auto"/>
        <w:rPr>
          <w:rFonts w:asciiTheme="minorHAnsi" w:hAnsiTheme="minorHAnsi" w:cstheme="minorHAnsi"/>
          <w:b/>
          <w:bCs/>
          <w:lang w:val="fr-CH"/>
        </w:rPr>
      </w:pPr>
    </w:p>
    <w:p w14:paraId="28D5C479" w14:textId="7159BA1A" w:rsidR="002F049E" w:rsidRPr="0016370F" w:rsidRDefault="0016370F" w:rsidP="003F356C">
      <w:pPr>
        <w:spacing w:after="0" w:line="240" w:lineRule="auto"/>
        <w:rPr>
          <w:rFonts w:asciiTheme="minorHAnsi" w:hAnsiTheme="minorHAnsi" w:cstheme="minorHAnsi"/>
          <w:b/>
          <w:bCs/>
          <w:lang w:val="fr-CH"/>
        </w:rPr>
      </w:pPr>
      <w:r>
        <w:rPr>
          <w:rFonts w:asciiTheme="minorHAnsi" w:hAnsiTheme="minorHAnsi" w:cstheme="minorHAnsi"/>
          <w:b/>
          <w:bCs/>
          <w:lang w:val="fr-CH"/>
        </w:rPr>
        <w:t>Membres votants du Comité permanent</w:t>
      </w:r>
    </w:p>
    <w:p w14:paraId="27DDADA1" w14:textId="77777777" w:rsidR="00C73485" w:rsidRDefault="00C73485" w:rsidP="003F356C">
      <w:pPr>
        <w:spacing w:after="0" w:line="240" w:lineRule="auto"/>
        <w:ind w:left="17"/>
        <w:rPr>
          <w:rFonts w:asciiTheme="minorHAnsi" w:eastAsia="Times New Roman" w:hAnsiTheme="minorHAnsi" w:cstheme="minorHAnsi"/>
          <w:color w:val="363A2F"/>
          <w:lang w:val="fr-CH" w:eastAsia="en-GB"/>
        </w:rPr>
      </w:pPr>
    </w:p>
    <w:p w14:paraId="72F78549" w14:textId="468999CA" w:rsidR="0016370F" w:rsidRPr="001354AD" w:rsidRDefault="0016370F" w:rsidP="003F356C">
      <w:pPr>
        <w:spacing w:after="0" w:line="240" w:lineRule="auto"/>
        <w:ind w:left="17"/>
        <w:rPr>
          <w:rFonts w:asciiTheme="minorHAnsi" w:eastAsia="Times New Roman" w:hAnsiTheme="minorHAnsi" w:cstheme="minorHAnsi"/>
          <w:color w:val="363A2F"/>
          <w:lang w:val="fr-CH" w:eastAsia="en-GB"/>
        </w:rPr>
      </w:pPr>
      <w:r w:rsidRPr="001354AD">
        <w:rPr>
          <w:rFonts w:asciiTheme="minorHAnsi" w:eastAsia="Times New Roman" w:hAnsiTheme="minorHAnsi" w:cstheme="minorHAnsi"/>
          <w:color w:val="363A2F"/>
          <w:lang w:val="fr-CH" w:eastAsia="en-GB"/>
        </w:rPr>
        <w:t xml:space="preserve">Afrique : Algérie, Ouganda, Sierra Leone, Tchad, Zambie </w:t>
      </w:r>
    </w:p>
    <w:p w14:paraId="1CC12806" w14:textId="77777777" w:rsidR="0016370F" w:rsidRPr="001354AD" w:rsidRDefault="0016370F" w:rsidP="003F356C">
      <w:pPr>
        <w:spacing w:after="0" w:line="240" w:lineRule="auto"/>
        <w:ind w:left="17"/>
        <w:rPr>
          <w:rFonts w:asciiTheme="minorHAnsi" w:eastAsia="Times New Roman" w:hAnsiTheme="minorHAnsi" w:cstheme="minorHAnsi"/>
          <w:color w:val="363A2F"/>
          <w:lang w:val="fr-CH" w:eastAsia="en-GB"/>
        </w:rPr>
      </w:pPr>
      <w:r w:rsidRPr="001354AD">
        <w:rPr>
          <w:rFonts w:asciiTheme="minorHAnsi" w:eastAsia="Times New Roman" w:hAnsiTheme="minorHAnsi" w:cstheme="minorHAnsi"/>
          <w:color w:val="363A2F"/>
          <w:lang w:val="fr-CH" w:eastAsia="en-GB"/>
        </w:rPr>
        <w:t xml:space="preserve">Amérique du Nord : Mexique </w:t>
      </w:r>
    </w:p>
    <w:p w14:paraId="3929343D" w14:textId="77777777" w:rsidR="0016370F" w:rsidRPr="001354AD" w:rsidRDefault="0016370F" w:rsidP="003F356C">
      <w:pPr>
        <w:spacing w:after="0" w:line="240" w:lineRule="auto"/>
        <w:ind w:left="17"/>
        <w:rPr>
          <w:rFonts w:asciiTheme="minorHAnsi" w:eastAsia="Times New Roman" w:hAnsiTheme="minorHAnsi" w:cstheme="minorHAnsi"/>
          <w:color w:val="363A2F"/>
          <w:lang w:val="fr-CH" w:eastAsia="en-GB"/>
        </w:rPr>
      </w:pPr>
      <w:r w:rsidRPr="001354AD">
        <w:rPr>
          <w:rFonts w:asciiTheme="minorHAnsi" w:eastAsia="Times New Roman" w:hAnsiTheme="minorHAnsi" w:cstheme="minorHAnsi"/>
          <w:color w:val="363A2F"/>
          <w:lang w:val="fr-CH" w:eastAsia="en-GB"/>
        </w:rPr>
        <w:t xml:space="preserve">Amérique latine et Caraïbes : Costa Rica, République dominicaine, Uruguay </w:t>
      </w:r>
    </w:p>
    <w:p w14:paraId="7CC5DBA0" w14:textId="77777777" w:rsidR="0016370F" w:rsidRPr="001354AD" w:rsidRDefault="0016370F" w:rsidP="003F356C">
      <w:pPr>
        <w:spacing w:after="0" w:line="240" w:lineRule="auto"/>
        <w:ind w:left="17"/>
        <w:rPr>
          <w:rFonts w:asciiTheme="minorHAnsi" w:eastAsia="Times New Roman" w:hAnsiTheme="minorHAnsi" w:cstheme="minorHAnsi"/>
          <w:color w:val="363A2F"/>
          <w:lang w:val="fr-CH" w:eastAsia="en-GB"/>
        </w:rPr>
      </w:pPr>
      <w:r w:rsidRPr="001354AD">
        <w:rPr>
          <w:rFonts w:asciiTheme="minorHAnsi" w:eastAsia="Times New Roman" w:hAnsiTheme="minorHAnsi" w:cstheme="minorHAnsi"/>
          <w:color w:val="363A2F"/>
          <w:lang w:val="fr-CH" w:eastAsia="en-GB"/>
        </w:rPr>
        <w:t xml:space="preserve">Asie : Bhoutan, Japon, Oman </w:t>
      </w:r>
    </w:p>
    <w:p w14:paraId="4D8796AA" w14:textId="77777777" w:rsidR="0016370F" w:rsidRPr="001354AD" w:rsidRDefault="0016370F" w:rsidP="003F356C">
      <w:pPr>
        <w:spacing w:after="0" w:line="240" w:lineRule="auto"/>
        <w:ind w:left="17"/>
        <w:rPr>
          <w:rFonts w:asciiTheme="minorHAnsi" w:eastAsia="Times New Roman" w:hAnsiTheme="minorHAnsi" w:cstheme="minorHAnsi"/>
          <w:color w:val="363A2F"/>
          <w:lang w:val="fr-CH" w:eastAsia="en-GB"/>
        </w:rPr>
      </w:pPr>
      <w:r w:rsidRPr="001354AD">
        <w:rPr>
          <w:rFonts w:asciiTheme="minorHAnsi" w:eastAsia="Times New Roman" w:hAnsiTheme="minorHAnsi" w:cstheme="minorHAnsi"/>
          <w:color w:val="363A2F"/>
          <w:lang w:val="fr-CH" w:eastAsia="en-GB"/>
        </w:rPr>
        <w:t xml:space="preserve">Europe : Arménie, Azerbaïdjan, Royaume-Uni de Grande-Bretagne et d’Irlande du Nord, Suède </w:t>
      </w:r>
    </w:p>
    <w:p w14:paraId="65ABD63E" w14:textId="77777777" w:rsidR="0016370F" w:rsidRPr="001354AD" w:rsidRDefault="0016370F" w:rsidP="003F356C">
      <w:pPr>
        <w:spacing w:after="0" w:line="240" w:lineRule="auto"/>
        <w:ind w:left="17"/>
        <w:rPr>
          <w:rFonts w:asciiTheme="minorHAnsi" w:eastAsia="Times New Roman" w:hAnsiTheme="minorHAnsi" w:cstheme="minorHAnsi"/>
          <w:color w:val="363A2F"/>
          <w:lang w:val="fr-CH" w:eastAsia="en-GB"/>
        </w:rPr>
      </w:pPr>
      <w:r w:rsidRPr="001354AD">
        <w:rPr>
          <w:rFonts w:asciiTheme="minorHAnsi" w:eastAsia="Times New Roman" w:hAnsiTheme="minorHAnsi" w:cstheme="minorHAnsi"/>
          <w:color w:val="363A2F"/>
          <w:lang w:val="fr-CH" w:eastAsia="en-GB"/>
        </w:rPr>
        <w:t xml:space="preserve">Océanie : Australie </w:t>
      </w:r>
    </w:p>
    <w:p w14:paraId="192C827D" w14:textId="7D47DF64" w:rsidR="002F049E" w:rsidRPr="001354AD" w:rsidRDefault="004626B2" w:rsidP="003F356C">
      <w:pPr>
        <w:spacing w:after="0" w:line="240" w:lineRule="auto"/>
        <w:ind w:left="17"/>
        <w:rPr>
          <w:rFonts w:asciiTheme="minorHAnsi" w:eastAsia="Times New Roman" w:hAnsiTheme="minorHAnsi" w:cstheme="minorHAnsi"/>
          <w:color w:val="363A2F"/>
          <w:lang w:val="fr-CH" w:eastAsia="en-GB"/>
        </w:rPr>
      </w:pPr>
      <w:r w:rsidRPr="001354AD">
        <w:rPr>
          <w:rFonts w:asciiTheme="minorHAnsi" w:eastAsia="Times New Roman" w:hAnsiTheme="minorHAnsi" w:cstheme="minorHAnsi"/>
          <w:color w:val="363A2F"/>
          <w:lang w:val="fr-CH" w:eastAsia="en-GB"/>
        </w:rPr>
        <w:t xml:space="preserve">Hôte de la </w:t>
      </w:r>
      <w:r w:rsidR="002F049E" w:rsidRPr="001354AD">
        <w:rPr>
          <w:rFonts w:asciiTheme="minorHAnsi" w:eastAsia="Times New Roman" w:hAnsiTheme="minorHAnsi" w:cstheme="minorHAnsi"/>
          <w:color w:val="363A2F"/>
          <w:lang w:val="fr-CH" w:eastAsia="en-GB"/>
        </w:rPr>
        <w:t>COP13</w:t>
      </w:r>
      <w:r w:rsidRPr="001354AD">
        <w:rPr>
          <w:rFonts w:asciiTheme="minorHAnsi" w:eastAsia="Times New Roman" w:hAnsiTheme="minorHAnsi" w:cstheme="minorHAnsi"/>
          <w:color w:val="363A2F"/>
          <w:lang w:val="fr-CH" w:eastAsia="en-GB"/>
        </w:rPr>
        <w:t> </w:t>
      </w:r>
      <w:r w:rsidR="002F049E" w:rsidRPr="001354AD">
        <w:rPr>
          <w:rFonts w:asciiTheme="minorHAnsi" w:eastAsia="Times New Roman" w:hAnsiTheme="minorHAnsi" w:cstheme="minorHAnsi"/>
          <w:color w:val="363A2F"/>
          <w:lang w:val="fr-CH" w:eastAsia="en-GB"/>
        </w:rPr>
        <w:t xml:space="preserve">: </w:t>
      </w:r>
      <w:r w:rsidRPr="001354AD">
        <w:rPr>
          <w:rFonts w:asciiTheme="minorHAnsi" w:eastAsia="Times New Roman" w:hAnsiTheme="minorHAnsi" w:cstheme="minorHAnsi"/>
          <w:color w:val="363A2F"/>
          <w:lang w:val="fr-CH" w:eastAsia="en-GB"/>
        </w:rPr>
        <w:t>Émirats arabes unis</w:t>
      </w:r>
      <w:r w:rsidR="002F049E" w:rsidRPr="001354AD">
        <w:rPr>
          <w:rFonts w:asciiTheme="minorHAnsi" w:eastAsia="Times New Roman" w:hAnsiTheme="minorHAnsi" w:cstheme="minorHAnsi"/>
          <w:color w:val="363A2F"/>
          <w:lang w:val="fr-CH" w:eastAsia="en-GB"/>
        </w:rPr>
        <w:t xml:space="preserve"> (</w:t>
      </w:r>
      <w:r w:rsidRPr="001354AD">
        <w:rPr>
          <w:rFonts w:asciiTheme="minorHAnsi" w:eastAsia="Times New Roman" w:hAnsiTheme="minorHAnsi" w:cstheme="minorHAnsi"/>
          <w:color w:val="363A2F"/>
          <w:lang w:val="fr-CH" w:eastAsia="en-GB"/>
        </w:rPr>
        <w:t>présidence</w:t>
      </w:r>
      <w:r w:rsidR="002F049E" w:rsidRPr="001354AD">
        <w:rPr>
          <w:rFonts w:asciiTheme="minorHAnsi" w:eastAsia="Times New Roman" w:hAnsiTheme="minorHAnsi" w:cstheme="minorHAnsi"/>
          <w:color w:val="363A2F"/>
          <w:lang w:val="fr-CH" w:eastAsia="en-GB"/>
        </w:rPr>
        <w:t>)</w:t>
      </w:r>
    </w:p>
    <w:p w14:paraId="2DE1E97D" w14:textId="226E815E" w:rsidR="002F049E" w:rsidRPr="0016370F" w:rsidRDefault="004626B2" w:rsidP="003F356C">
      <w:pPr>
        <w:spacing w:after="0" w:line="240" w:lineRule="auto"/>
        <w:ind w:left="17"/>
        <w:rPr>
          <w:rFonts w:asciiTheme="minorHAnsi" w:eastAsia="Times New Roman" w:hAnsiTheme="minorHAnsi" w:cstheme="minorHAnsi"/>
          <w:color w:val="363A2F"/>
          <w:lang w:val="fr-CH" w:eastAsia="en-GB"/>
        </w:rPr>
      </w:pPr>
      <w:r w:rsidRPr="001354AD">
        <w:rPr>
          <w:rFonts w:asciiTheme="minorHAnsi" w:eastAsia="Times New Roman" w:hAnsiTheme="minorHAnsi" w:cstheme="minorHAnsi"/>
          <w:color w:val="363A2F"/>
          <w:lang w:val="fr-CH" w:eastAsia="en-GB"/>
        </w:rPr>
        <w:t xml:space="preserve">Hôte de la </w:t>
      </w:r>
      <w:r w:rsidR="002F049E" w:rsidRPr="001354AD">
        <w:rPr>
          <w:rFonts w:asciiTheme="minorHAnsi" w:eastAsia="Times New Roman" w:hAnsiTheme="minorHAnsi" w:cstheme="minorHAnsi"/>
          <w:color w:val="363A2F"/>
          <w:lang w:val="fr-CH" w:eastAsia="en-GB"/>
        </w:rPr>
        <w:t>COP14</w:t>
      </w:r>
      <w:r w:rsidRPr="001354AD">
        <w:rPr>
          <w:rFonts w:asciiTheme="minorHAnsi" w:eastAsia="Times New Roman" w:hAnsiTheme="minorHAnsi" w:cstheme="minorHAnsi"/>
          <w:color w:val="363A2F"/>
          <w:lang w:val="fr-CH" w:eastAsia="en-GB"/>
        </w:rPr>
        <w:t> </w:t>
      </w:r>
      <w:r w:rsidR="002F049E" w:rsidRPr="001354AD">
        <w:rPr>
          <w:rFonts w:asciiTheme="minorHAnsi" w:eastAsia="Times New Roman" w:hAnsiTheme="minorHAnsi" w:cstheme="minorHAnsi"/>
          <w:color w:val="363A2F"/>
          <w:lang w:val="fr-CH" w:eastAsia="en-GB"/>
        </w:rPr>
        <w:t xml:space="preserve">: </w:t>
      </w:r>
      <w:r w:rsidRPr="001354AD">
        <w:rPr>
          <w:rFonts w:asciiTheme="minorHAnsi" w:eastAsia="Times New Roman" w:hAnsiTheme="minorHAnsi" w:cstheme="minorHAnsi"/>
          <w:color w:val="363A2F"/>
          <w:lang w:val="fr-CH" w:eastAsia="en-GB"/>
        </w:rPr>
        <w:t>République populaire de Chine</w:t>
      </w:r>
    </w:p>
    <w:p w14:paraId="1289B046" w14:textId="77777777" w:rsidR="00CD6976" w:rsidRPr="0016370F" w:rsidRDefault="00CD6976" w:rsidP="003F356C">
      <w:pPr>
        <w:spacing w:after="0" w:line="240" w:lineRule="auto"/>
        <w:ind w:left="-142"/>
        <w:rPr>
          <w:rFonts w:asciiTheme="minorHAnsi" w:hAnsiTheme="minorHAnsi" w:cstheme="minorHAnsi"/>
          <w:lang w:val="fr-CH"/>
        </w:rPr>
      </w:pPr>
    </w:p>
    <w:p w14:paraId="2B88680F" w14:textId="4AFB16B1" w:rsidR="002F049E" w:rsidRPr="00C73485" w:rsidRDefault="004626B2" w:rsidP="003F356C">
      <w:pPr>
        <w:spacing w:after="0" w:line="240" w:lineRule="auto"/>
        <w:ind w:left="142" w:hanging="142"/>
        <w:rPr>
          <w:rFonts w:asciiTheme="minorHAnsi" w:hAnsiTheme="minorHAnsi" w:cstheme="minorHAnsi"/>
          <w:b/>
          <w:lang w:val="fr-CH"/>
        </w:rPr>
      </w:pPr>
      <w:r w:rsidRPr="00C73485">
        <w:rPr>
          <w:rFonts w:asciiTheme="minorHAnsi" w:hAnsiTheme="minorHAnsi" w:cstheme="minorHAnsi"/>
          <w:b/>
          <w:lang w:val="fr-CH"/>
        </w:rPr>
        <w:t xml:space="preserve">Parties contractantes inscrites comme observateurs à la réunion virtuelle </w:t>
      </w:r>
    </w:p>
    <w:p w14:paraId="596645D5" w14:textId="77777777" w:rsidR="00C73485" w:rsidRDefault="00C73485" w:rsidP="003F356C">
      <w:pPr>
        <w:spacing w:after="0" w:line="240" w:lineRule="auto"/>
        <w:ind w:left="-142" w:firstLine="142"/>
        <w:rPr>
          <w:rFonts w:asciiTheme="minorHAnsi" w:hAnsiTheme="minorHAnsi" w:cstheme="minorHAnsi"/>
          <w:lang w:val="fr-CH"/>
        </w:rPr>
      </w:pPr>
    </w:p>
    <w:p w14:paraId="58C89BBD" w14:textId="2B899D5A" w:rsidR="004626B2" w:rsidRPr="0016370F" w:rsidRDefault="004626B2" w:rsidP="003F356C">
      <w:pPr>
        <w:spacing w:after="0" w:line="240" w:lineRule="auto"/>
        <w:ind w:left="-142" w:firstLine="142"/>
        <w:rPr>
          <w:rFonts w:asciiTheme="minorHAnsi" w:hAnsiTheme="minorHAnsi" w:cstheme="minorHAnsi"/>
          <w:lang w:val="fr-CH"/>
        </w:rPr>
      </w:pPr>
      <w:r w:rsidRPr="0016370F">
        <w:rPr>
          <w:rFonts w:asciiTheme="minorHAnsi" w:hAnsiTheme="minorHAnsi" w:cstheme="minorHAnsi"/>
          <w:lang w:val="fr-CH"/>
        </w:rPr>
        <w:t>Br</w:t>
      </w:r>
      <w:r>
        <w:rPr>
          <w:rFonts w:asciiTheme="minorHAnsi" w:hAnsiTheme="minorHAnsi" w:cstheme="minorHAnsi"/>
          <w:lang w:val="fr-CH"/>
        </w:rPr>
        <w:t>és</w:t>
      </w:r>
      <w:r w:rsidRPr="0016370F">
        <w:rPr>
          <w:rFonts w:asciiTheme="minorHAnsi" w:hAnsiTheme="minorHAnsi" w:cstheme="minorHAnsi"/>
          <w:lang w:val="fr-CH"/>
        </w:rPr>
        <w:t>il</w:t>
      </w:r>
    </w:p>
    <w:p w14:paraId="230B8A56" w14:textId="77777777" w:rsidR="004626B2" w:rsidRPr="0016370F" w:rsidRDefault="004626B2" w:rsidP="003F356C">
      <w:pPr>
        <w:spacing w:after="0" w:line="240" w:lineRule="auto"/>
        <w:ind w:left="-142" w:firstLine="142"/>
        <w:rPr>
          <w:rFonts w:asciiTheme="minorHAnsi" w:hAnsiTheme="minorHAnsi" w:cstheme="minorHAnsi"/>
          <w:lang w:val="fr-CH"/>
        </w:rPr>
      </w:pPr>
      <w:r w:rsidRPr="0016370F">
        <w:rPr>
          <w:rFonts w:asciiTheme="minorHAnsi" w:hAnsiTheme="minorHAnsi" w:cstheme="minorHAnsi"/>
          <w:lang w:val="fr-CH"/>
        </w:rPr>
        <w:t>Colombi</w:t>
      </w:r>
      <w:r>
        <w:rPr>
          <w:rFonts w:asciiTheme="minorHAnsi" w:hAnsiTheme="minorHAnsi" w:cstheme="minorHAnsi"/>
          <w:lang w:val="fr-CH"/>
        </w:rPr>
        <w:t>e</w:t>
      </w:r>
    </w:p>
    <w:p w14:paraId="0CC6D592" w14:textId="77777777" w:rsidR="004626B2" w:rsidRPr="0016370F" w:rsidRDefault="004626B2" w:rsidP="003F356C">
      <w:pPr>
        <w:spacing w:after="0" w:line="240" w:lineRule="auto"/>
        <w:ind w:left="-142" w:firstLine="142"/>
        <w:rPr>
          <w:rFonts w:asciiTheme="minorHAnsi" w:hAnsiTheme="minorHAnsi" w:cstheme="minorHAnsi"/>
          <w:lang w:val="fr-CH"/>
        </w:rPr>
      </w:pPr>
      <w:r w:rsidRPr="0016370F">
        <w:rPr>
          <w:rFonts w:asciiTheme="minorHAnsi" w:hAnsiTheme="minorHAnsi" w:cstheme="minorHAnsi"/>
          <w:lang w:val="fr-CH"/>
        </w:rPr>
        <w:t>Congo</w:t>
      </w:r>
    </w:p>
    <w:p w14:paraId="42FBEABA" w14:textId="77777777" w:rsidR="004626B2" w:rsidRPr="0016370F" w:rsidRDefault="004626B2" w:rsidP="003F356C">
      <w:pPr>
        <w:spacing w:after="0" w:line="240" w:lineRule="auto"/>
        <w:ind w:left="-142" w:firstLine="142"/>
        <w:rPr>
          <w:rFonts w:asciiTheme="minorHAnsi" w:hAnsiTheme="minorHAnsi" w:cstheme="minorHAnsi"/>
          <w:lang w:val="fr-CH"/>
        </w:rPr>
      </w:pPr>
      <w:r>
        <w:rPr>
          <w:rFonts w:asciiTheme="minorHAnsi" w:hAnsiTheme="minorHAnsi" w:cstheme="minorHAnsi"/>
          <w:lang w:val="fr-CH"/>
        </w:rPr>
        <w:t>États-Unis d’Amérique</w:t>
      </w:r>
    </w:p>
    <w:p w14:paraId="5568AD3F" w14:textId="77777777" w:rsidR="004626B2" w:rsidRPr="0016370F" w:rsidRDefault="004626B2" w:rsidP="003F356C">
      <w:pPr>
        <w:spacing w:after="0" w:line="240" w:lineRule="auto"/>
        <w:ind w:left="-142" w:firstLine="142"/>
        <w:rPr>
          <w:rFonts w:asciiTheme="minorHAnsi" w:hAnsiTheme="minorHAnsi" w:cstheme="minorHAnsi"/>
          <w:lang w:val="fr-CH"/>
        </w:rPr>
      </w:pPr>
      <w:r>
        <w:rPr>
          <w:rFonts w:asciiTheme="minorHAnsi" w:hAnsiTheme="minorHAnsi" w:cstheme="minorHAnsi"/>
          <w:lang w:val="fr-CH"/>
        </w:rPr>
        <w:t>Fédération de Russie</w:t>
      </w:r>
      <w:bookmarkStart w:id="0" w:name="_GoBack"/>
      <w:bookmarkEnd w:id="0"/>
    </w:p>
    <w:p w14:paraId="2BCB3543" w14:textId="77777777" w:rsidR="004626B2" w:rsidRPr="0016370F" w:rsidRDefault="004626B2" w:rsidP="003F356C">
      <w:pPr>
        <w:spacing w:after="0" w:line="240" w:lineRule="auto"/>
        <w:ind w:left="-142" w:firstLine="142"/>
        <w:rPr>
          <w:rFonts w:asciiTheme="minorHAnsi" w:hAnsiTheme="minorHAnsi" w:cstheme="minorHAnsi"/>
          <w:lang w:val="fr-CH"/>
        </w:rPr>
      </w:pPr>
      <w:r w:rsidRPr="0016370F">
        <w:rPr>
          <w:rFonts w:asciiTheme="minorHAnsi" w:hAnsiTheme="minorHAnsi" w:cstheme="minorHAnsi"/>
          <w:lang w:val="fr-CH"/>
        </w:rPr>
        <w:t>Fi</w:t>
      </w:r>
      <w:r>
        <w:rPr>
          <w:rFonts w:asciiTheme="minorHAnsi" w:hAnsiTheme="minorHAnsi" w:cstheme="minorHAnsi"/>
          <w:lang w:val="fr-CH"/>
        </w:rPr>
        <w:t>d</w:t>
      </w:r>
      <w:r w:rsidRPr="0016370F">
        <w:rPr>
          <w:rFonts w:asciiTheme="minorHAnsi" w:hAnsiTheme="minorHAnsi" w:cstheme="minorHAnsi"/>
          <w:lang w:val="fr-CH"/>
        </w:rPr>
        <w:t>ji</w:t>
      </w:r>
    </w:p>
    <w:p w14:paraId="2DC709FB" w14:textId="77777777" w:rsidR="004626B2" w:rsidRPr="0016370F" w:rsidRDefault="004626B2" w:rsidP="003F356C">
      <w:pPr>
        <w:spacing w:after="0" w:line="240" w:lineRule="auto"/>
        <w:ind w:left="-142" w:firstLine="142"/>
        <w:rPr>
          <w:rFonts w:asciiTheme="minorHAnsi" w:hAnsiTheme="minorHAnsi" w:cstheme="minorHAnsi"/>
          <w:lang w:val="fr-CH"/>
        </w:rPr>
      </w:pPr>
      <w:r w:rsidRPr="0016370F">
        <w:rPr>
          <w:rFonts w:asciiTheme="minorHAnsi" w:hAnsiTheme="minorHAnsi" w:cstheme="minorHAnsi"/>
          <w:lang w:val="fr-CH"/>
        </w:rPr>
        <w:t>France</w:t>
      </w:r>
    </w:p>
    <w:p w14:paraId="47D6B654" w14:textId="77777777" w:rsidR="004626B2" w:rsidRPr="0016370F" w:rsidRDefault="004626B2" w:rsidP="003F356C">
      <w:pPr>
        <w:spacing w:after="0" w:line="240" w:lineRule="auto"/>
        <w:ind w:left="-142" w:firstLine="142"/>
        <w:rPr>
          <w:rFonts w:asciiTheme="minorHAnsi" w:hAnsiTheme="minorHAnsi" w:cstheme="minorHAnsi"/>
          <w:lang w:val="fr-CH"/>
        </w:rPr>
      </w:pPr>
      <w:r w:rsidRPr="0016370F">
        <w:rPr>
          <w:rFonts w:asciiTheme="minorHAnsi" w:hAnsiTheme="minorHAnsi" w:cstheme="minorHAnsi"/>
          <w:lang w:val="fr-CH"/>
        </w:rPr>
        <w:t>Guatemala</w:t>
      </w:r>
    </w:p>
    <w:p w14:paraId="131D8DAF" w14:textId="77777777" w:rsidR="004626B2" w:rsidRPr="0016370F" w:rsidRDefault="004626B2" w:rsidP="003F356C">
      <w:pPr>
        <w:spacing w:after="0" w:line="240" w:lineRule="auto"/>
        <w:ind w:left="-142" w:firstLine="142"/>
        <w:rPr>
          <w:rFonts w:asciiTheme="minorHAnsi" w:hAnsiTheme="minorHAnsi" w:cstheme="minorHAnsi"/>
          <w:lang w:val="fr-CH"/>
        </w:rPr>
      </w:pPr>
      <w:r w:rsidRPr="0016370F">
        <w:rPr>
          <w:rFonts w:asciiTheme="minorHAnsi" w:hAnsiTheme="minorHAnsi" w:cstheme="minorHAnsi"/>
          <w:lang w:val="fr-CH"/>
        </w:rPr>
        <w:t>Iran</w:t>
      </w:r>
    </w:p>
    <w:p w14:paraId="6FD12BE4" w14:textId="77777777" w:rsidR="004626B2" w:rsidRPr="0016370F" w:rsidRDefault="004626B2" w:rsidP="003F356C">
      <w:pPr>
        <w:spacing w:after="0" w:line="240" w:lineRule="auto"/>
        <w:ind w:left="-142" w:firstLine="142"/>
        <w:rPr>
          <w:rFonts w:asciiTheme="minorHAnsi" w:hAnsiTheme="minorHAnsi" w:cstheme="minorHAnsi"/>
          <w:lang w:val="fr-CH"/>
        </w:rPr>
      </w:pPr>
      <w:r>
        <w:rPr>
          <w:rFonts w:asciiTheme="minorHAnsi" w:hAnsiTheme="minorHAnsi" w:cstheme="minorHAnsi"/>
          <w:lang w:val="fr-CH"/>
        </w:rPr>
        <w:t>Macédoine du Nord</w:t>
      </w:r>
    </w:p>
    <w:p w14:paraId="468DC84F" w14:textId="77777777" w:rsidR="004626B2" w:rsidRPr="0016370F" w:rsidRDefault="004626B2" w:rsidP="003F356C">
      <w:pPr>
        <w:spacing w:after="0" w:line="240" w:lineRule="auto"/>
        <w:ind w:left="-142" w:firstLine="142"/>
        <w:rPr>
          <w:rFonts w:asciiTheme="minorHAnsi" w:hAnsiTheme="minorHAnsi" w:cstheme="minorHAnsi"/>
          <w:lang w:val="fr-CH"/>
        </w:rPr>
      </w:pPr>
      <w:r w:rsidRPr="0016370F">
        <w:rPr>
          <w:rFonts w:asciiTheme="minorHAnsi" w:hAnsiTheme="minorHAnsi" w:cstheme="minorHAnsi"/>
          <w:lang w:val="fr-CH"/>
        </w:rPr>
        <w:t>Madagascar</w:t>
      </w:r>
    </w:p>
    <w:p w14:paraId="484A498D" w14:textId="77777777" w:rsidR="004626B2" w:rsidRPr="0016370F" w:rsidRDefault="004626B2" w:rsidP="003F356C">
      <w:pPr>
        <w:spacing w:after="0" w:line="240" w:lineRule="auto"/>
        <w:ind w:left="-142" w:firstLine="142"/>
        <w:rPr>
          <w:rFonts w:asciiTheme="minorHAnsi" w:hAnsiTheme="minorHAnsi" w:cstheme="minorHAnsi"/>
          <w:lang w:val="fr-CH"/>
        </w:rPr>
      </w:pPr>
      <w:r w:rsidRPr="0016370F">
        <w:rPr>
          <w:rFonts w:asciiTheme="minorHAnsi" w:hAnsiTheme="minorHAnsi" w:cstheme="minorHAnsi"/>
          <w:lang w:val="fr-CH"/>
        </w:rPr>
        <w:t>Mauritani</w:t>
      </w:r>
      <w:r>
        <w:rPr>
          <w:rFonts w:asciiTheme="minorHAnsi" w:hAnsiTheme="minorHAnsi" w:cstheme="minorHAnsi"/>
          <w:lang w:val="fr-CH"/>
        </w:rPr>
        <w:t>e</w:t>
      </w:r>
    </w:p>
    <w:p w14:paraId="64F491AB" w14:textId="77777777" w:rsidR="004626B2" w:rsidRPr="0016370F" w:rsidRDefault="004626B2" w:rsidP="003F356C">
      <w:pPr>
        <w:spacing w:after="0" w:line="240" w:lineRule="auto"/>
        <w:ind w:left="-142" w:firstLine="142"/>
        <w:rPr>
          <w:rFonts w:asciiTheme="minorHAnsi" w:hAnsiTheme="minorHAnsi" w:cstheme="minorHAnsi"/>
          <w:lang w:val="fr-CH"/>
        </w:rPr>
      </w:pPr>
      <w:r w:rsidRPr="0016370F">
        <w:rPr>
          <w:rFonts w:asciiTheme="minorHAnsi" w:hAnsiTheme="minorHAnsi" w:cstheme="minorHAnsi"/>
          <w:lang w:val="fr-CH"/>
        </w:rPr>
        <w:t>Myanmar</w:t>
      </w:r>
    </w:p>
    <w:p w14:paraId="15853918" w14:textId="77777777" w:rsidR="004626B2" w:rsidRPr="0016370F" w:rsidRDefault="004626B2" w:rsidP="003F356C">
      <w:pPr>
        <w:spacing w:after="0" w:line="240" w:lineRule="auto"/>
        <w:ind w:left="-142" w:firstLine="142"/>
        <w:rPr>
          <w:rFonts w:asciiTheme="minorHAnsi" w:hAnsiTheme="minorHAnsi" w:cstheme="minorHAnsi"/>
          <w:lang w:val="fr-CH"/>
        </w:rPr>
      </w:pPr>
      <w:r>
        <w:rPr>
          <w:rFonts w:asciiTheme="minorHAnsi" w:hAnsiTheme="minorHAnsi" w:cstheme="minorHAnsi"/>
          <w:lang w:val="fr-CH"/>
        </w:rPr>
        <w:t>Norvège</w:t>
      </w:r>
    </w:p>
    <w:p w14:paraId="32EC1DBE" w14:textId="77777777" w:rsidR="004626B2" w:rsidRPr="0016370F" w:rsidRDefault="004626B2" w:rsidP="003F356C">
      <w:pPr>
        <w:spacing w:after="0" w:line="240" w:lineRule="auto"/>
        <w:ind w:left="-142" w:firstLine="142"/>
        <w:rPr>
          <w:rFonts w:asciiTheme="minorHAnsi" w:hAnsiTheme="minorHAnsi" w:cstheme="minorHAnsi"/>
          <w:lang w:val="fr-CH"/>
        </w:rPr>
      </w:pPr>
      <w:r w:rsidRPr="0016370F">
        <w:rPr>
          <w:rFonts w:asciiTheme="minorHAnsi" w:hAnsiTheme="minorHAnsi" w:cstheme="minorHAnsi"/>
          <w:lang w:val="fr-CH"/>
        </w:rPr>
        <w:t>Ouzbékistan</w:t>
      </w:r>
    </w:p>
    <w:p w14:paraId="273DDB91" w14:textId="77777777" w:rsidR="004626B2" w:rsidRPr="0016370F" w:rsidRDefault="004626B2" w:rsidP="003F356C">
      <w:pPr>
        <w:spacing w:after="0" w:line="240" w:lineRule="auto"/>
        <w:ind w:left="-142" w:firstLine="142"/>
        <w:rPr>
          <w:rFonts w:asciiTheme="minorHAnsi" w:hAnsiTheme="minorHAnsi" w:cstheme="minorHAnsi"/>
          <w:lang w:val="fr-CH"/>
        </w:rPr>
      </w:pPr>
      <w:r w:rsidRPr="0016370F">
        <w:rPr>
          <w:rFonts w:asciiTheme="minorHAnsi" w:hAnsiTheme="minorHAnsi" w:cstheme="minorHAnsi"/>
          <w:lang w:val="fr-CH"/>
        </w:rPr>
        <w:t>Panama</w:t>
      </w:r>
    </w:p>
    <w:p w14:paraId="0B1CFF7A" w14:textId="77777777" w:rsidR="004626B2" w:rsidRPr="0016370F" w:rsidRDefault="004626B2" w:rsidP="003F356C">
      <w:pPr>
        <w:spacing w:after="0" w:line="240" w:lineRule="auto"/>
        <w:ind w:left="-142" w:firstLine="142"/>
        <w:rPr>
          <w:rFonts w:asciiTheme="minorHAnsi" w:hAnsiTheme="minorHAnsi" w:cstheme="minorHAnsi"/>
          <w:lang w:val="fr-CH"/>
        </w:rPr>
      </w:pPr>
      <w:r>
        <w:rPr>
          <w:rFonts w:asciiTheme="minorHAnsi" w:hAnsiTheme="minorHAnsi" w:cstheme="minorHAnsi"/>
          <w:lang w:val="fr-CH"/>
        </w:rPr>
        <w:t>Pérou</w:t>
      </w:r>
    </w:p>
    <w:p w14:paraId="7281AED4" w14:textId="77777777" w:rsidR="004626B2" w:rsidRPr="0016370F" w:rsidRDefault="004626B2" w:rsidP="003F356C">
      <w:pPr>
        <w:spacing w:after="0" w:line="240" w:lineRule="auto"/>
        <w:ind w:left="-142" w:firstLine="142"/>
        <w:rPr>
          <w:rFonts w:asciiTheme="minorHAnsi" w:hAnsiTheme="minorHAnsi" w:cstheme="minorHAnsi"/>
          <w:lang w:val="fr-CH"/>
        </w:rPr>
      </w:pPr>
      <w:r>
        <w:rPr>
          <w:rFonts w:asciiTheme="minorHAnsi" w:hAnsiTheme="minorHAnsi" w:cstheme="minorHAnsi"/>
          <w:lang w:val="fr-CH"/>
        </w:rPr>
        <w:t>Roumanie</w:t>
      </w:r>
    </w:p>
    <w:p w14:paraId="741CEE1A" w14:textId="77777777" w:rsidR="004626B2" w:rsidRPr="0016370F" w:rsidRDefault="004626B2" w:rsidP="003F356C">
      <w:pPr>
        <w:spacing w:after="0" w:line="240" w:lineRule="auto"/>
        <w:ind w:left="-142" w:firstLine="142"/>
        <w:rPr>
          <w:rFonts w:asciiTheme="minorHAnsi" w:hAnsiTheme="minorHAnsi" w:cstheme="minorHAnsi"/>
          <w:lang w:val="fr-CH"/>
        </w:rPr>
      </w:pPr>
      <w:r w:rsidRPr="0016370F">
        <w:rPr>
          <w:rFonts w:asciiTheme="minorHAnsi" w:hAnsiTheme="minorHAnsi" w:cstheme="minorHAnsi"/>
          <w:lang w:val="fr-CH"/>
        </w:rPr>
        <w:t xml:space="preserve">Sénégal </w:t>
      </w:r>
    </w:p>
    <w:p w14:paraId="14E75BA7" w14:textId="77777777" w:rsidR="004626B2" w:rsidRPr="0016370F" w:rsidRDefault="004626B2" w:rsidP="003F356C">
      <w:pPr>
        <w:spacing w:after="0" w:line="240" w:lineRule="auto"/>
        <w:ind w:left="-142" w:firstLine="142"/>
        <w:rPr>
          <w:rFonts w:asciiTheme="minorHAnsi" w:hAnsiTheme="minorHAnsi" w:cstheme="minorHAnsi"/>
          <w:lang w:val="fr-CH"/>
        </w:rPr>
      </w:pPr>
      <w:r>
        <w:rPr>
          <w:rFonts w:asciiTheme="minorHAnsi" w:hAnsiTheme="minorHAnsi" w:cstheme="minorHAnsi"/>
          <w:lang w:val="fr-CH"/>
        </w:rPr>
        <w:t>Suisse : Observateur permanent</w:t>
      </w:r>
    </w:p>
    <w:p w14:paraId="0AB3C10E" w14:textId="77777777" w:rsidR="004626B2" w:rsidRPr="0016370F" w:rsidRDefault="004626B2" w:rsidP="003F356C">
      <w:pPr>
        <w:spacing w:after="0" w:line="240" w:lineRule="auto"/>
        <w:ind w:left="-142" w:firstLine="142"/>
        <w:rPr>
          <w:rFonts w:asciiTheme="minorHAnsi" w:hAnsiTheme="minorHAnsi" w:cstheme="minorHAnsi"/>
          <w:lang w:val="fr-CH"/>
        </w:rPr>
      </w:pPr>
      <w:r w:rsidRPr="0016370F">
        <w:rPr>
          <w:rFonts w:asciiTheme="minorHAnsi" w:hAnsiTheme="minorHAnsi" w:cstheme="minorHAnsi"/>
          <w:lang w:val="fr-CH"/>
        </w:rPr>
        <w:t>Thaïlande</w:t>
      </w:r>
    </w:p>
    <w:p w14:paraId="2D01F015" w14:textId="77777777" w:rsidR="004626B2" w:rsidRPr="0016370F" w:rsidRDefault="004626B2" w:rsidP="003F356C">
      <w:pPr>
        <w:spacing w:after="0" w:line="240" w:lineRule="auto"/>
        <w:ind w:left="-142" w:firstLine="142"/>
        <w:rPr>
          <w:rFonts w:asciiTheme="minorHAnsi" w:hAnsiTheme="minorHAnsi" w:cstheme="minorHAnsi"/>
          <w:lang w:val="fr-CH"/>
        </w:rPr>
      </w:pPr>
      <w:r w:rsidRPr="0016370F">
        <w:rPr>
          <w:rFonts w:asciiTheme="minorHAnsi" w:hAnsiTheme="minorHAnsi" w:cstheme="minorHAnsi"/>
          <w:lang w:val="fr-CH"/>
        </w:rPr>
        <w:t xml:space="preserve">Venezuela </w:t>
      </w:r>
    </w:p>
    <w:p w14:paraId="7FF9445C" w14:textId="77777777" w:rsidR="00F36407" w:rsidRPr="00034DBE" w:rsidRDefault="00F36407" w:rsidP="003F356C">
      <w:pPr>
        <w:spacing w:after="0" w:line="240" w:lineRule="auto"/>
        <w:rPr>
          <w:rFonts w:cs="Calibri"/>
          <w:b/>
          <w:bCs/>
          <w:sz w:val="21"/>
          <w:szCs w:val="21"/>
          <w:lang w:val="fr-FR"/>
        </w:rPr>
      </w:pPr>
    </w:p>
    <w:sectPr w:rsidR="00F36407" w:rsidRPr="00034DBE" w:rsidSect="006E4671">
      <w:headerReference w:type="default" r:id="rId8"/>
      <w:footerReference w:type="default" r:id="rId9"/>
      <w:pgSz w:w="11906" w:h="16838"/>
      <w:pgMar w:top="1440" w:right="1440"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61F69" w14:textId="77777777" w:rsidR="001A2093" w:rsidRDefault="001A2093" w:rsidP="00DF2386">
      <w:pPr>
        <w:spacing w:after="0" w:line="240" w:lineRule="auto"/>
      </w:pPr>
      <w:r>
        <w:separator/>
      </w:r>
    </w:p>
  </w:endnote>
  <w:endnote w:type="continuationSeparator" w:id="0">
    <w:p w14:paraId="0A29FCE0" w14:textId="77777777" w:rsidR="001A2093" w:rsidRDefault="001A2093" w:rsidP="00DF2386">
      <w:pPr>
        <w:spacing w:after="0" w:line="240" w:lineRule="auto"/>
      </w:pPr>
      <w:r>
        <w:continuationSeparator/>
      </w:r>
    </w:p>
  </w:endnote>
  <w:endnote w:type="continuationNotice" w:id="1">
    <w:p w14:paraId="577BA857" w14:textId="77777777" w:rsidR="001A2093" w:rsidRDefault="001A20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33B6" w14:textId="5A554B9E" w:rsidR="000160BA" w:rsidRPr="002F38B2" w:rsidRDefault="000160BA" w:rsidP="002F38B2">
    <w:pPr>
      <w:pStyle w:val="Footer"/>
      <w:rPr>
        <w:sz w:val="20"/>
        <w:szCs w:val="20"/>
      </w:rPr>
    </w:pPr>
    <w:r w:rsidRPr="00BC6F24">
      <w:rPr>
        <w:sz w:val="20"/>
        <w:szCs w:val="20"/>
      </w:rPr>
      <w:tab/>
    </w:r>
    <w:r w:rsidRPr="00BC6F24">
      <w:rPr>
        <w:sz w:val="20"/>
        <w:szCs w:val="20"/>
      </w:rPr>
      <w:tab/>
    </w:r>
    <w:r w:rsidRPr="00763869">
      <w:rPr>
        <w:sz w:val="20"/>
        <w:szCs w:val="20"/>
      </w:rPr>
      <w:fldChar w:fldCharType="begin"/>
    </w:r>
    <w:r w:rsidRPr="00763869">
      <w:rPr>
        <w:sz w:val="20"/>
        <w:szCs w:val="20"/>
      </w:rPr>
      <w:instrText xml:space="preserve"> PAGE   \* MERGEFORMAT </w:instrText>
    </w:r>
    <w:r w:rsidRPr="00763869">
      <w:rPr>
        <w:sz w:val="20"/>
        <w:szCs w:val="20"/>
      </w:rPr>
      <w:fldChar w:fldCharType="separate"/>
    </w:r>
    <w:r w:rsidR="00C73485">
      <w:rPr>
        <w:noProof/>
        <w:sz w:val="20"/>
        <w:szCs w:val="20"/>
      </w:rPr>
      <w:t>4</w:t>
    </w:r>
    <w:r w:rsidRPr="00763869">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A43D1" w14:textId="77777777" w:rsidR="001A2093" w:rsidRDefault="001A2093" w:rsidP="00DF2386">
      <w:pPr>
        <w:spacing w:after="0" w:line="240" w:lineRule="auto"/>
      </w:pPr>
      <w:r>
        <w:separator/>
      </w:r>
    </w:p>
  </w:footnote>
  <w:footnote w:type="continuationSeparator" w:id="0">
    <w:p w14:paraId="546029A3" w14:textId="77777777" w:rsidR="001A2093" w:rsidRDefault="001A2093" w:rsidP="00DF2386">
      <w:pPr>
        <w:spacing w:after="0" w:line="240" w:lineRule="auto"/>
      </w:pPr>
      <w:r>
        <w:continuationSeparator/>
      </w:r>
    </w:p>
  </w:footnote>
  <w:footnote w:type="continuationNotice" w:id="1">
    <w:p w14:paraId="57196D8A" w14:textId="77777777" w:rsidR="001A2093" w:rsidRDefault="001A20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9FCF9" w14:textId="77777777" w:rsidR="000160BA" w:rsidRPr="00BC6F24" w:rsidRDefault="000160BA">
    <w:pPr>
      <w:pStyle w:val="Header"/>
      <w:rPr>
        <w:sz w:val="20"/>
        <w:szCs w:val="20"/>
      </w:rPr>
    </w:pPr>
  </w:p>
  <w:p w14:paraId="0E2AA9B6" w14:textId="77777777" w:rsidR="000160BA" w:rsidRDefault="000160BA">
    <w:pPr>
      <w:pStyle w:val="Header"/>
    </w:pPr>
  </w:p>
  <w:p w14:paraId="064653D3" w14:textId="77777777" w:rsidR="000160BA" w:rsidRDefault="000160B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9A"/>
    <w:multiLevelType w:val="hybridMultilevel"/>
    <w:tmpl w:val="3BEC55D2"/>
    <w:lvl w:ilvl="0" w:tplc="AC769F3A">
      <w:start w:val="1"/>
      <w:numFmt w:val="lowerRoman"/>
      <w:lvlText w:val="%1."/>
      <w:lvlJc w:val="left"/>
      <w:pPr>
        <w:ind w:left="909"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01BE04E2"/>
    <w:multiLevelType w:val="hybridMultilevel"/>
    <w:tmpl w:val="44F84E7A"/>
    <w:lvl w:ilvl="0" w:tplc="ED30EF76">
      <w:start w:val="1"/>
      <w:numFmt w:val="lowerRoman"/>
      <w:lvlText w:val="%1."/>
      <w:lvlJc w:val="left"/>
      <w:pPr>
        <w:ind w:left="765" w:hanging="360"/>
      </w:pPr>
      <w:rPr>
        <w:rFonts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C013E0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B829DB"/>
    <w:multiLevelType w:val="hybridMultilevel"/>
    <w:tmpl w:val="539871BC"/>
    <w:lvl w:ilvl="0" w:tplc="08090017">
      <w:start w:val="1"/>
      <w:numFmt w:val="lowerLetter"/>
      <w:lvlText w:val="%1)"/>
      <w:lvlJc w:val="left"/>
      <w:pPr>
        <w:ind w:left="720" w:hanging="360"/>
      </w:pPr>
    </w:lvl>
    <w:lvl w:ilvl="1" w:tplc="D20A568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474BDE"/>
    <w:multiLevelType w:val="hybridMultilevel"/>
    <w:tmpl w:val="8D7C420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22FEC"/>
    <w:multiLevelType w:val="hybridMultilevel"/>
    <w:tmpl w:val="7E609042"/>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82D62"/>
    <w:multiLevelType w:val="multilevel"/>
    <w:tmpl w:val="A82C3028"/>
    <w:lvl w:ilvl="0">
      <w:start w:val="1"/>
      <w:numFmt w:val="bullet"/>
      <w:lvlText w:val=""/>
      <w:lvlJc w:val="left"/>
      <w:pPr>
        <w:tabs>
          <w:tab w:val="num" w:pos="2204"/>
        </w:tabs>
        <w:ind w:left="220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AE2933"/>
    <w:multiLevelType w:val="hybridMultilevel"/>
    <w:tmpl w:val="434E9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7B6D40"/>
    <w:multiLevelType w:val="hybridMultilevel"/>
    <w:tmpl w:val="3CD2A576"/>
    <w:lvl w:ilvl="0" w:tplc="1676FFB8">
      <w:start w:val="1"/>
      <w:numFmt w:val="decimal"/>
      <w:lvlText w:val="%1."/>
      <w:lvlJc w:val="left"/>
      <w:pPr>
        <w:ind w:left="814" w:hanging="360"/>
      </w:pPr>
      <w:rPr>
        <w:b w:val="0"/>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9" w15:restartNumberingAfterBreak="0">
    <w:nsid w:val="35472FC5"/>
    <w:multiLevelType w:val="hybridMultilevel"/>
    <w:tmpl w:val="12EC4346"/>
    <w:lvl w:ilvl="0" w:tplc="08090017">
      <w:start w:val="1"/>
      <w:numFmt w:val="lowerLetter"/>
      <w:lvlText w:val="%1)"/>
      <w:lvlJc w:val="left"/>
      <w:pPr>
        <w:ind w:left="720" w:hanging="360"/>
      </w:pPr>
    </w:lvl>
    <w:lvl w:ilvl="1" w:tplc="2FA4244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3A651E"/>
    <w:multiLevelType w:val="hybridMultilevel"/>
    <w:tmpl w:val="2C60AB2E"/>
    <w:lvl w:ilvl="0" w:tplc="4286943A">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234026D"/>
    <w:multiLevelType w:val="hybridMultilevel"/>
    <w:tmpl w:val="A66E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26ECA"/>
    <w:multiLevelType w:val="hybridMultilevel"/>
    <w:tmpl w:val="9A38EE0C"/>
    <w:lvl w:ilvl="0" w:tplc="C1C4F3D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F451DE"/>
    <w:multiLevelType w:val="hybridMultilevel"/>
    <w:tmpl w:val="F6BE94B4"/>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4" w15:restartNumberingAfterBreak="0">
    <w:nsid w:val="51C836AF"/>
    <w:multiLevelType w:val="hybridMultilevel"/>
    <w:tmpl w:val="4C6AE3B2"/>
    <w:lvl w:ilvl="0" w:tplc="08090003">
      <w:start w:val="1"/>
      <w:numFmt w:val="bullet"/>
      <w:lvlText w:val="o"/>
      <w:lvlJc w:val="left"/>
      <w:pPr>
        <w:ind w:left="1600" w:hanging="360"/>
      </w:pPr>
      <w:rPr>
        <w:rFonts w:ascii="Courier New" w:hAnsi="Courier New" w:cs="Courier New"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15" w15:restartNumberingAfterBreak="0">
    <w:nsid w:val="520667C0"/>
    <w:multiLevelType w:val="hybridMultilevel"/>
    <w:tmpl w:val="DF1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BE4B7B"/>
    <w:multiLevelType w:val="hybridMultilevel"/>
    <w:tmpl w:val="F7225AAA"/>
    <w:lvl w:ilvl="0" w:tplc="8F0AD8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DD7B56"/>
    <w:multiLevelType w:val="multilevel"/>
    <w:tmpl w:val="5C4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3D6CED"/>
    <w:multiLevelType w:val="hybridMultilevel"/>
    <w:tmpl w:val="43CEC38C"/>
    <w:lvl w:ilvl="0" w:tplc="A75C135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59564C9"/>
    <w:multiLevelType w:val="hybridMultilevel"/>
    <w:tmpl w:val="C5DAE6F6"/>
    <w:lvl w:ilvl="0" w:tplc="4286943A">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AEE6C39"/>
    <w:multiLevelType w:val="hybridMultilevel"/>
    <w:tmpl w:val="67FA695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1" w15:restartNumberingAfterBreak="0">
    <w:nsid w:val="6C5E1FBD"/>
    <w:multiLevelType w:val="multilevel"/>
    <w:tmpl w:val="9F8AED52"/>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F777161"/>
    <w:multiLevelType w:val="hybridMultilevel"/>
    <w:tmpl w:val="C630A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0827170"/>
    <w:multiLevelType w:val="hybridMultilevel"/>
    <w:tmpl w:val="090EB11C"/>
    <w:lvl w:ilvl="0" w:tplc="23E09A7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C03ADF"/>
    <w:multiLevelType w:val="multilevel"/>
    <w:tmpl w:val="8140D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C67D66"/>
    <w:multiLevelType w:val="multilevel"/>
    <w:tmpl w:val="08EA7CB6"/>
    <w:lvl w:ilvl="0">
      <w:start w:val="1"/>
      <w:numFmt w:val="bullet"/>
      <w:lvlText w:val=""/>
      <w:lvlJc w:val="left"/>
      <w:pPr>
        <w:tabs>
          <w:tab w:val="num" w:pos="2204"/>
        </w:tabs>
        <w:ind w:left="2204" w:hanging="360"/>
      </w:pPr>
      <w:rPr>
        <w:rFonts w:ascii="Symbol" w:hAnsi="Symbol" w:hint="default"/>
        <w:sz w:val="20"/>
      </w:rPr>
    </w:lvl>
    <w:lvl w:ilvl="1">
      <w:start w:val="1"/>
      <w:numFmt w:val="bullet"/>
      <w:lvlText w:val="-"/>
      <w:lvlJc w:val="left"/>
      <w:pPr>
        <w:tabs>
          <w:tab w:val="num" w:pos="1440"/>
        </w:tabs>
        <w:ind w:left="1440" w:hanging="360"/>
      </w:pPr>
      <w:rPr>
        <w:rFonts w:ascii="Yu Gothic" w:eastAsia="Yu Gothic" w:hAnsi="Yu Gothic" w:hint="eastAsia"/>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791C17"/>
    <w:multiLevelType w:val="hybridMultilevel"/>
    <w:tmpl w:val="14EC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BB15A4"/>
    <w:multiLevelType w:val="hybridMultilevel"/>
    <w:tmpl w:val="CF20BAD6"/>
    <w:lvl w:ilvl="0" w:tplc="ED30EF76">
      <w:start w:val="1"/>
      <w:numFmt w:val="lowerRoman"/>
      <w:lvlText w:val="%1."/>
      <w:lvlJc w:val="left"/>
      <w:pPr>
        <w:ind w:left="765" w:hanging="360"/>
      </w:pPr>
      <w:rPr>
        <w:rFonts w:hint="default"/>
      </w:rPr>
    </w:lvl>
    <w:lvl w:ilvl="1" w:tplc="08090001">
      <w:start w:val="1"/>
      <w:numFmt w:val="bullet"/>
      <w:lvlText w:val=""/>
      <w:lvlJc w:val="left"/>
      <w:pPr>
        <w:ind w:left="1485" w:hanging="360"/>
      </w:pPr>
      <w:rPr>
        <w:rFonts w:ascii="Symbol" w:hAnsi="Symbol"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6"/>
  </w:num>
  <w:num w:numId="2">
    <w:abstractNumId w:val="20"/>
  </w:num>
  <w:num w:numId="3">
    <w:abstractNumId w:val="4"/>
  </w:num>
  <w:num w:numId="4">
    <w:abstractNumId w:val="5"/>
  </w:num>
  <w:num w:numId="5">
    <w:abstractNumId w:val="18"/>
  </w:num>
  <w:num w:numId="6">
    <w:abstractNumId w:val="0"/>
  </w:num>
  <w:num w:numId="7">
    <w:abstractNumId w:val="1"/>
  </w:num>
  <w:num w:numId="8">
    <w:abstractNumId w:val="27"/>
  </w:num>
  <w:num w:numId="9">
    <w:abstractNumId w:val="10"/>
  </w:num>
  <w:num w:numId="10">
    <w:abstractNumId w:val="19"/>
  </w:num>
  <w:num w:numId="11">
    <w:abstractNumId w:val="23"/>
  </w:num>
  <w:num w:numId="12">
    <w:abstractNumId w:val="16"/>
  </w:num>
  <w:num w:numId="13">
    <w:abstractNumId w:val="3"/>
  </w:num>
  <w:num w:numId="14">
    <w:abstractNumId w:val="8"/>
  </w:num>
  <w:num w:numId="15">
    <w:abstractNumId w:val="9"/>
  </w:num>
  <w:num w:numId="16">
    <w:abstractNumId w:val="7"/>
  </w:num>
  <w:num w:numId="17">
    <w:abstractNumId w:val="22"/>
  </w:num>
  <w:num w:numId="18">
    <w:abstractNumId w:val="12"/>
  </w:num>
  <w:num w:numId="19">
    <w:abstractNumId w:val="6"/>
  </w:num>
  <w:num w:numId="20">
    <w:abstractNumId w:val="11"/>
  </w:num>
  <w:num w:numId="21">
    <w:abstractNumId w:val="15"/>
  </w:num>
  <w:num w:numId="22">
    <w:abstractNumId w:val="14"/>
  </w:num>
  <w:num w:numId="23">
    <w:abstractNumId w:val="17"/>
  </w:num>
  <w:num w:numId="24">
    <w:abstractNumId w:val="24"/>
  </w:num>
  <w:num w:numId="25">
    <w:abstractNumId w:val="21"/>
  </w:num>
  <w:num w:numId="26">
    <w:abstractNumId w:val="13"/>
  </w:num>
  <w:num w:numId="27">
    <w:abstractNumId w:val="2"/>
  </w:num>
  <w:num w:numId="28">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425"/>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4515"/>
    <w:rsid w:val="00007D7E"/>
    <w:rsid w:val="00011FE9"/>
    <w:rsid w:val="0001280D"/>
    <w:rsid w:val="000160BA"/>
    <w:rsid w:val="00017A16"/>
    <w:rsid w:val="00030B1D"/>
    <w:rsid w:val="000325B1"/>
    <w:rsid w:val="000331D5"/>
    <w:rsid w:val="00033E40"/>
    <w:rsid w:val="00034C1E"/>
    <w:rsid w:val="00034DBE"/>
    <w:rsid w:val="00036670"/>
    <w:rsid w:val="00037CE0"/>
    <w:rsid w:val="0004527F"/>
    <w:rsid w:val="00050008"/>
    <w:rsid w:val="000524CC"/>
    <w:rsid w:val="000525E0"/>
    <w:rsid w:val="00052EC3"/>
    <w:rsid w:val="00053929"/>
    <w:rsid w:val="000547AB"/>
    <w:rsid w:val="00057C7B"/>
    <w:rsid w:val="000602D4"/>
    <w:rsid w:val="000662FE"/>
    <w:rsid w:val="00070486"/>
    <w:rsid w:val="00072571"/>
    <w:rsid w:val="00074DE8"/>
    <w:rsid w:val="0008208F"/>
    <w:rsid w:val="00082A48"/>
    <w:rsid w:val="00085666"/>
    <w:rsid w:val="00087E71"/>
    <w:rsid w:val="00090F51"/>
    <w:rsid w:val="00096665"/>
    <w:rsid w:val="000A3656"/>
    <w:rsid w:val="000A3E3E"/>
    <w:rsid w:val="000B03AB"/>
    <w:rsid w:val="000B0A7B"/>
    <w:rsid w:val="000B1148"/>
    <w:rsid w:val="000B2E45"/>
    <w:rsid w:val="000B4A65"/>
    <w:rsid w:val="000C227D"/>
    <w:rsid w:val="000C66CA"/>
    <w:rsid w:val="000D0D3E"/>
    <w:rsid w:val="000D54DD"/>
    <w:rsid w:val="000D5C76"/>
    <w:rsid w:val="000D6871"/>
    <w:rsid w:val="000D795A"/>
    <w:rsid w:val="000D7F4E"/>
    <w:rsid w:val="000E2FA0"/>
    <w:rsid w:val="000E47E9"/>
    <w:rsid w:val="000E64B4"/>
    <w:rsid w:val="000F0443"/>
    <w:rsid w:val="000F0D7C"/>
    <w:rsid w:val="000F30D7"/>
    <w:rsid w:val="000F4BF0"/>
    <w:rsid w:val="000F73E5"/>
    <w:rsid w:val="001005BA"/>
    <w:rsid w:val="00100B62"/>
    <w:rsid w:val="00110148"/>
    <w:rsid w:val="00111C1D"/>
    <w:rsid w:val="00112287"/>
    <w:rsid w:val="00115322"/>
    <w:rsid w:val="001200B2"/>
    <w:rsid w:val="001208BC"/>
    <w:rsid w:val="0012096C"/>
    <w:rsid w:val="00121597"/>
    <w:rsid w:val="0012693D"/>
    <w:rsid w:val="0012777A"/>
    <w:rsid w:val="00127828"/>
    <w:rsid w:val="001308F5"/>
    <w:rsid w:val="0013283B"/>
    <w:rsid w:val="0013509E"/>
    <w:rsid w:val="001354AD"/>
    <w:rsid w:val="001365A6"/>
    <w:rsid w:val="00140528"/>
    <w:rsid w:val="00145080"/>
    <w:rsid w:val="00145C6A"/>
    <w:rsid w:val="00150004"/>
    <w:rsid w:val="001500B9"/>
    <w:rsid w:val="00160371"/>
    <w:rsid w:val="00161BDA"/>
    <w:rsid w:val="0016280B"/>
    <w:rsid w:val="00163246"/>
    <w:rsid w:val="0016370F"/>
    <w:rsid w:val="00164D68"/>
    <w:rsid w:val="00165720"/>
    <w:rsid w:val="00170956"/>
    <w:rsid w:val="0017099E"/>
    <w:rsid w:val="00171618"/>
    <w:rsid w:val="00172886"/>
    <w:rsid w:val="001762BF"/>
    <w:rsid w:val="001819B1"/>
    <w:rsid w:val="00181CF0"/>
    <w:rsid w:val="00182658"/>
    <w:rsid w:val="00182BB7"/>
    <w:rsid w:val="001868D6"/>
    <w:rsid w:val="00187BFC"/>
    <w:rsid w:val="00190197"/>
    <w:rsid w:val="0019169D"/>
    <w:rsid w:val="00192951"/>
    <w:rsid w:val="00192DDE"/>
    <w:rsid w:val="00193FE5"/>
    <w:rsid w:val="001A1CDC"/>
    <w:rsid w:val="001A2093"/>
    <w:rsid w:val="001A46C7"/>
    <w:rsid w:val="001A48C7"/>
    <w:rsid w:val="001A7044"/>
    <w:rsid w:val="001B0870"/>
    <w:rsid w:val="001B1821"/>
    <w:rsid w:val="001C291A"/>
    <w:rsid w:val="001C4484"/>
    <w:rsid w:val="001C5E41"/>
    <w:rsid w:val="001C77BC"/>
    <w:rsid w:val="001D1697"/>
    <w:rsid w:val="001D2720"/>
    <w:rsid w:val="001D3320"/>
    <w:rsid w:val="001D42C7"/>
    <w:rsid w:val="001D44B5"/>
    <w:rsid w:val="001D48BB"/>
    <w:rsid w:val="001D640A"/>
    <w:rsid w:val="001E00E3"/>
    <w:rsid w:val="001E013F"/>
    <w:rsid w:val="001E2204"/>
    <w:rsid w:val="001E773D"/>
    <w:rsid w:val="001E7909"/>
    <w:rsid w:val="001F2349"/>
    <w:rsid w:val="001F4E9C"/>
    <w:rsid w:val="001F6F26"/>
    <w:rsid w:val="001F715E"/>
    <w:rsid w:val="001F773C"/>
    <w:rsid w:val="002005D2"/>
    <w:rsid w:val="00201663"/>
    <w:rsid w:val="0020298B"/>
    <w:rsid w:val="002053F4"/>
    <w:rsid w:val="00206111"/>
    <w:rsid w:val="002137E0"/>
    <w:rsid w:val="00217F8A"/>
    <w:rsid w:val="00223214"/>
    <w:rsid w:val="00224F8D"/>
    <w:rsid w:val="00225FB7"/>
    <w:rsid w:val="00227310"/>
    <w:rsid w:val="00230891"/>
    <w:rsid w:val="0023247B"/>
    <w:rsid w:val="00235440"/>
    <w:rsid w:val="00235E86"/>
    <w:rsid w:val="00236A9E"/>
    <w:rsid w:val="00243A5C"/>
    <w:rsid w:val="00246E5E"/>
    <w:rsid w:val="00254E49"/>
    <w:rsid w:val="00255544"/>
    <w:rsid w:val="00261880"/>
    <w:rsid w:val="0026231C"/>
    <w:rsid w:val="00262DF0"/>
    <w:rsid w:val="00263B44"/>
    <w:rsid w:val="002655B4"/>
    <w:rsid w:val="00266F2F"/>
    <w:rsid w:val="00270DEF"/>
    <w:rsid w:val="00272269"/>
    <w:rsid w:val="00273463"/>
    <w:rsid w:val="002741AC"/>
    <w:rsid w:val="002743AC"/>
    <w:rsid w:val="002759BB"/>
    <w:rsid w:val="00276814"/>
    <w:rsid w:val="00276E63"/>
    <w:rsid w:val="00280BF1"/>
    <w:rsid w:val="002819C0"/>
    <w:rsid w:val="00282418"/>
    <w:rsid w:val="00282B18"/>
    <w:rsid w:val="0028719B"/>
    <w:rsid w:val="00295556"/>
    <w:rsid w:val="00295BB5"/>
    <w:rsid w:val="002A47CA"/>
    <w:rsid w:val="002A5A4D"/>
    <w:rsid w:val="002A5ED2"/>
    <w:rsid w:val="002B3BEF"/>
    <w:rsid w:val="002B4262"/>
    <w:rsid w:val="002B60AB"/>
    <w:rsid w:val="002B64A4"/>
    <w:rsid w:val="002B6B2B"/>
    <w:rsid w:val="002B77B9"/>
    <w:rsid w:val="002C0750"/>
    <w:rsid w:val="002C728A"/>
    <w:rsid w:val="002C7F04"/>
    <w:rsid w:val="002D388F"/>
    <w:rsid w:val="002D5A4D"/>
    <w:rsid w:val="002E002E"/>
    <w:rsid w:val="002E2226"/>
    <w:rsid w:val="002E22AF"/>
    <w:rsid w:val="002E398D"/>
    <w:rsid w:val="002E3F59"/>
    <w:rsid w:val="002E4240"/>
    <w:rsid w:val="002E5902"/>
    <w:rsid w:val="002E653F"/>
    <w:rsid w:val="002F049E"/>
    <w:rsid w:val="002F38B2"/>
    <w:rsid w:val="002F4041"/>
    <w:rsid w:val="002F4302"/>
    <w:rsid w:val="002F47A9"/>
    <w:rsid w:val="002F6887"/>
    <w:rsid w:val="002F6D8C"/>
    <w:rsid w:val="003022E1"/>
    <w:rsid w:val="0030261B"/>
    <w:rsid w:val="003067A9"/>
    <w:rsid w:val="00313649"/>
    <w:rsid w:val="00322441"/>
    <w:rsid w:val="00324398"/>
    <w:rsid w:val="00326D9C"/>
    <w:rsid w:val="00326E14"/>
    <w:rsid w:val="003309B5"/>
    <w:rsid w:val="00341A03"/>
    <w:rsid w:val="00345F66"/>
    <w:rsid w:val="003466CC"/>
    <w:rsid w:val="00351CCA"/>
    <w:rsid w:val="00351DB5"/>
    <w:rsid w:val="00356062"/>
    <w:rsid w:val="003576F6"/>
    <w:rsid w:val="00357C52"/>
    <w:rsid w:val="00370164"/>
    <w:rsid w:val="00374815"/>
    <w:rsid w:val="003767CF"/>
    <w:rsid w:val="0038070B"/>
    <w:rsid w:val="00384FC3"/>
    <w:rsid w:val="003864C3"/>
    <w:rsid w:val="003865BB"/>
    <w:rsid w:val="003872C7"/>
    <w:rsid w:val="00390AD7"/>
    <w:rsid w:val="00391429"/>
    <w:rsid w:val="00391FEF"/>
    <w:rsid w:val="00392538"/>
    <w:rsid w:val="0039424B"/>
    <w:rsid w:val="0039481A"/>
    <w:rsid w:val="00394FD7"/>
    <w:rsid w:val="00396359"/>
    <w:rsid w:val="003A3804"/>
    <w:rsid w:val="003A4C88"/>
    <w:rsid w:val="003A52BE"/>
    <w:rsid w:val="003A5866"/>
    <w:rsid w:val="003A6E9F"/>
    <w:rsid w:val="003B7FB2"/>
    <w:rsid w:val="003C1504"/>
    <w:rsid w:val="003C3E13"/>
    <w:rsid w:val="003C55AB"/>
    <w:rsid w:val="003C6998"/>
    <w:rsid w:val="003D1784"/>
    <w:rsid w:val="003D4853"/>
    <w:rsid w:val="003D4CD6"/>
    <w:rsid w:val="003D6306"/>
    <w:rsid w:val="003D72BC"/>
    <w:rsid w:val="003E2F84"/>
    <w:rsid w:val="003E7A36"/>
    <w:rsid w:val="003F242D"/>
    <w:rsid w:val="003F356C"/>
    <w:rsid w:val="004020D4"/>
    <w:rsid w:val="0040316C"/>
    <w:rsid w:val="00404B63"/>
    <w:rsid w:val="00406861"/>
    <w:rsid w:val="004108B3"/>
    <w:rsid w:val="00410920"/>
    <w:rsid w:val="004109FA"/>
    <w:rsid w:val="00415642"/>
    <w:rsid w:val="004200D3"/>
    <w:rsid w:val="004228C7"/>
    <w:rsid w:val="00427063"/>
    <w:rsid w:val="00427605"/>
    <w:rsid w:val="0042798B"/>
    <w:rsid w:val="0043135C"/>
    <w:rsid w:val="00434913"/>
    <w:rsid w:val="004351EF"/>
    <w:rsid w:val="00436009"/>
    <w:rsid w:val="004371D1"/>
    <w:rsid w:val="004418D3"/>
    <w:rsid w:val="00442E26"/>
    <w:rsid w:val="00444B5A"/>
    <w:rsid w:val="00444D5F"/>
    <w:rsid w:val="004474F8"/>
    <w:rsid w:val="00450623"/>
    <w:rsid w:val="0045707E"/>
    <w:rsid w:val="00457CF8"/>
    <w:rsid w:val="004626B2"/>
    <w:rsid w:val="00462A06"/>
    <w:rsid w:val="004655F6"/>
    <w:rsid w:val="004672F1"/>
    <w:rsid w:val="0047230A"/>
    <w:rsid w:val="004723BD"/>
    <w:rsid w:val="004751FC"/>
    <w:rsid w:val="00477550"/>
    <w:rsid w:val="00477ED6"/>
    <w:rsid w:val="004804F5"/>
    <w:rsid w:val="00480C8A"/>
    <w:rsid w:val="004825EE"/>
    <w:rsid w:val="004844A8"/>
    <w:rsid w:val="00484A82"/>
    <w:rsid w:val="00496803"/>
    <w:rsid w:val="00496CC4"/>
    <w:rsid w:val="00497E7C"/>
    <w:rsid w:val="004A0E17"/>
    <w:rsid w:val="004A2733"/>
    <w:rsid w:val="004A2742"/>
    <w:rsid w:val="004A44AD"/>
    <w:rsid w:val="004B4597"/>
    <w:rsid w:val="004B6688"/>
    <w:rsid w:val="004B752E"/>
    <w:rsid w:val="004C0D5B"/>
    <w:rsid w:val="004C1B3E"/>
    <w:rsid w:val="004C34EB"/>
    <w:rsid w:val="004C3CEC"/>
    <w:rsid w:val="004C70CA"/>
    <w:rsid w:val="004D2304"/>
    <w:rsid w:val="004E4CC8"/>
    <w:rsid w:val="004F497B"/>
    <w:rsid w:val="004F538A"/>
    <w:rsid w:val="004F5D62"/>
    <w:rsid w:val="004F61E4"/>
    <w:rsid w:val="004F63CB"/>
    <w:rsid w:val="004F669E"/>
    <w:rsid w:val="00504F63"/>
    <w:rsid w:val="00505585"/>
    <w:rsid w:val="00506DF9"/>
    <w:rsid w:val="00506F27"/>
    <w:rsid w:val="00510660"/>
    <w:rsid w:val="00513084"/>
    <w:rsid w:val="00522C1E"/>
    <w:rsid w:val="00523786"/>
    <w:rsid w:val="005244A4"/>
    <w:rsid w:val="00525BEB"/>
    <w:rsid w:val="00526526"/>
    <w:rsid w:val="00527783"/>
    <w:rsid w:val="00531347"/>
    <w:rsid w:val="005407D6"/>
    <w:rsid w:val="00541DBC"/>
    <w:rsid w:val="00543329"/>
    <w:rsid w:val="00546DFC"/>
    <w:rsid w:val="0054729F"/>
    <w:rsid w:val="00554488"/>
    <w:rsid w:val="0056179C"/>
    <w:rsid w:val="005622E3"/>
    <w:rsid w:val="005636AE"/>
    <w:rsid w:val="00563763"/>
    <w:rsid w:val="00566B2F"/>
    <w:rsid w:val="00567CD0"/>
    <w:rsid w:val="00571A2F"/>
    <w:rsid w:val="005721E9"/>
    <w:rsid w:val="00575A03"/>
    <w:rsid w:val="005765FF"/>
    <w:rsid w:val="005814B5"/>
    <w:rsid w:val="00583F39"/>
    <w:rsid w:val="00584E91"/>
    <w:rsid w:val="00585C7B"/>
    <w:rsid w:val="00597AA6"/>
    <w:rsid w:val="005A2ACC"/>
    <w:rsid w:val="005A5AE7"/>
    <w:rsid w:val="005B23A9"/>
    <w:rsid w:val="005B517C"/>
    <w:rsid w:val="005C2E4A"/>
    <w:rsid w:val="005D046D"/>
    <w:rsid w:val="005D18F7"/>
    <w:rsid w:val="005D2741"/>
    <w:rsid w:val="005D2BDB"/>
    <w:rsid w:val="005D3316"/>
    <w:rsid w:val="005D377E"/>
    <w:rsid w:val="005D3E9D"/>
    <w:rsid w:val="005E2568"/>
    <w:rsid w:val="005E4D72"/>
    <w:rsid w:val="005E51E7"/>
    <w:rsid w:val="005E55B3"/>
    <w:rsid w:val="005E5ACB"/>
    <w:rsid w:val="005E61D7"/>
    <w:rsid w:val="005F4504"/>
    <w:rsid w:val="005F4A9F"/>
    <w:rsid w:val="005F6382"/>
    <w:rsid w:val="005F77B6"/>
    <w:rsid w:val="006049EE"/>
    <w:rsid w:val="0060532F"/>
    <w:rsid w:val="00612DE0"/>
    <w:rsid w:val="0062381A"/>
    <w:rsid w:val="006242FA"/>
    <w:rsid w:val="006256D3"/>
    <w:rsid w:val="006261C9"/>
    <w:rsid w:val="00626978"/>
    <w:rsid w:val="00626FCC"/>
    <w:rsid w:val="00627BB7"/>
    <w:rsid w:val="00632020"/>
    <w:rsid w:val="006320CF"/>
    <w:rsid w:val="006359A5"/>
    <w:rsid w:val="00641902"/>
    <w:rsid w:val="00641CE9"/>
    <w:rsid w:val="00643EA7"/>
    <w:rsid w:val="00645426"/>
    <w:rsid w:val="00647C77"/>
    <w:rsid w:val="0065136E"/>
    <w:rsid w:val="00655DF8"/>
    <w:rsid w:val="00656BD8"/>
    <w:rsid w:val="006576F0"/>
    <w:rsid w:val="0066029D"/>
    <w:rsid w:val="006615CF"/>
    <w:rsid w:val="006616FE"/>
    <w:rsid w:val="00670D71"/>
    <w:rsid w:val="006718CE"/>
    <w:rsid w:val="0067376E"/>
    <w:rsid w:val="006739A1"/>
    <w:rsid w:val="0067421B"/>
    <w:rsid w:val="006805BB"/>
    <w:rsid w:val="00681DA4"/>
    <w:rsid w:val="0068218A"/>
    <w:rsid w:val="00682251"/>
    <w:rsid w:val="00682EF5"/>
    <w:rsid w:val="006837FF"/>
    <w:rsid w:val="00685A65"/>
    <w:rsid w:val="006877E3"/>
    <w:rsid w:val="0069009E"/>
    <w:rsid w:val="00690B38"/>
    <w:rsid w:val="006929A6"/>
    <w:rsid w:val="00693544"/>
    <w:rsid w:val="00693F16"/>
    <w:rsid w:val="00695291"/>
    <w:rsid w:val="006A3FDB"/>
    <w:rsid w:val="006A76F8"/>
    <w:rsid w:val="006B3539"/>
    <w:rsid w:val="006B3D9D"/>
    <w:rsid w:val="006B7D8E"/>
    <w:rsid w:val="006C2602"/>
    <w:rsid w:val="006C3F76"/>
    <w:rsid w:val="006C5775"/>
    <w:rsid w:val="006C65C5"/>
    <w:rsid w:val="006C7095"/>
    <w:rsid w:val="006D4B1D"/>
    <w:rsid w:val="006D4F6A"/>
    <w:rsid w:val="006E0E0F"/>
    <w:rsid w:val="006E4671"/>
    <w:rsid w:val="006E6D17"/>
    <w:rsid w:val="006E7DCE"/>
    <w:rsid w:val="006E7E35"/>
    <w:rsid w:val="006F2942"/>
    <w:rsid w:val="006F3528"/>
    <w:rsid w:val="006F3781"/>
    <w:rsid w:val="006F54F5"/>
    <w:rsid w:val="00703336"/>
    <w:rsid w:val="00704E5B"/>
    <w:rsid w:val="007050FF"/>
    <w:rsid w:val="00705210"/>
    <w:rsid w:val="00706150"/>
    <w:rsid w:val="00714741"/>
    <w:rsid w:val="00715518"/>
    <w:rsid w:val="00722B7F"/>
    <w:rsid w:val="007240C5"/>
    <w:rsid w:val="00727145"/>
    <w:rsid w:val="00731C1A"/>
    <w:rsid w:val="00731CDC"/>
    <w:rsid w:val="007355E2"/>
    <w:rsid w:val="00737148"/>
    <w:rsid w:val="007377A5"/>
    <w:rsid w:val="00737D84"/>
    <w:rsid w:val="0074234C"/>
    <w:rsid w:val="00743CE3"/>
    <w:rsid w:val="007442EC"/>
    <w:rsid w:val="00750A38"/>
    <w:rsid w:val="00763869"/>
    <w:rsid w:val="00766962"/>
    <w:rsid w:val="00767FDA"/>
    <w:rsid w:val="00770916"/>
    <w:rsid w:val="00771C39"/>
    <w:rsid w:val="00773812"/>
    <w:rsid w:val="00775287"/>
    <w:rsid w:val="00777988"/>
    <w:rsid w:val="00777E05"/>
    <w:rsid w:val="00781FFA"/>
    <w:rsid w:val="00782F8D"/>
    <w:rsid w:val="007A151B"/>
    <w:rsid w:val="007A23F3"/>
    <w:rsid w:val="007B11A1"/>
    <w:rsid w:val="007B29A8"/>
    <w:rsid w:val="007B31D8"/>
    <w:rsid w:val="007B53B2"/>
    <w:rsid w:val="007B7E70"/>
    <w:rsid w:val="007B7F5A"/>
    <w:rsid w:val="007C53B8"/>
    <w:rsid w:val="007C743A"/>
    <w:rsid w:val="007D0F77"/>
    <w:rsid w:val="007D2A89"/>
    <w:rsid w:val="007D33F4"/>
    <w:rsid w:val="007D773F"/>
    <w:rsid w:val="007D7FB2"/>
    <w:rsid w:val="007E4419"/>
    <w:rsid w:val="007F03EE"/>
    <w:rsid w:val="007F0A72"/>
    <w:rsid w:val="007F1BE1"/>
    <w:rsid w:val="007F2437"/>
    <w:rsid w:val="007F314D"/>
    <w:rsid w:val="007F3ABE"/>
    <w:rsid w:val="007F579B"/>
    <w:rsid w:val="007F6C18"/>
    <w:rsid w:val="00802A92"/>
    <w:rsid w:val="00811949"/>
    <w:rsid w:val="00813D71"/>
    <w:rsid w:val="008162BD"/>
    <w:rsid w:val="00816335"/>
    <w:rsid w:val="00817559"/>
    <w:rsid w:val="0082248C"/>
    <w:rsid w:val="0082665F"/>
    <w:rsid w:val="00830BE8"/>
    <w:rsid w:val="00830E76"/>
    <w:rsid w:val="008328E9"/>
    <w:rsid w:val="00832EF9"/>
    <w:rsid w:val="00833F00"/>
    <w:rsid w:val="00835BCB"/>
    <w:rsid w:val="00835CDC"/>
    <w:rsid w:val="00840094"/>
    <w:rsid w:val="008424E2"/>
    <w:rsid w:val="0084581A"/>
    <w:rsid w:val="008507BA"/>
    <w:rsid w:val="00850B09"/>
    <w:rsid w:val="00853BF7"/>
    <w:rsid w:val="00854F30"/>
    <w:rsid w:val="00855B14"/>
    <w:rsid w:val="00857013"/>
    <w:rsid w:val="00857B3C"/>
    <w:rsid w:val="0086200D"/>
    <w:rsid w:val="00863B9D"/>
    <w:rsid w:val="00863BE6"/>
    <w:rsid w:val="008751EB"/>
    <w:rsid w:val="008775BC"/>
    <w:rsid w:val="00882F1B"/>
    <w:rsid w:val="00884310"/>
    <w:rsid w:val="00887231"/>
    <w:rsid w:val="00887520"/>
    <w:rsid w:val="00897D34"/>
    <w:rsid w:val="008A25B7"/>
    <w:rsid w:val="008A2776"/>
    <w:rsid w:val="008A67CA"/>
    <w:rsid w:val="008A70CE"/>
    <w:rsid w:val="008A7AFB"/>
    <w:rsid w:val="008B1FD6"/>
    <w:rsid w:val="008B3FED"/>
    <w:rsid w:val="008B5BA6"/>
    <w:rsid w:val="008C25E4"/>
    <w:rsid w:val="008C2DAE"/>
    <w:rsid w:val="008C603F"/>
    <w:rsid w:val="008C6BFA"/>
    <w:rsid w:val="008D4620"/>
    <w:rsid w:val="008D4652"/>
    <w:rsid w:val="008D4D9C"/>
    <w:rsid w:val="008D6247"/>
    <w:rsid w:val="008E06C2"/>
    <w:rsid w:val="008E4F48"/>
    <w:rsid w:val="008F1736"/>
    <w:rsid w:val="008F1DB9"/>
    <w:rsid w:val="008F1E6B"/>
    <w:rsid w:val="008F2881"/>
    <w:rsid w:val="008F29B0"/>
    <w:rsid w:val="00901601"/>
    <w:rsid w:val="00902769"/>
    <w:rsid w:val="009059A9"/>
    <w:rsid w:val="00906806"/>
    <w:rsid w:val="00907158"/>
    <w:rsid w:val="009117F1"/>
    <w:rsid w:val="009118E5"/>
    <w:rsid w:val="00923724"/>
    <w:rsid w:val="00923A74"/>
    <w:rsid w:val="0092515E"/>
    <w:rsid w:val="009461E9"/>
    <w:rsid w:val="009469EE"/>
    <w:rsid w:val="009469FD"/>
    <w:rsid w:val="00946AEE"/>
    <w:rsid w:val="0094770B"/>
    <w:rsid w:val="0095183A"/>
    <w:rsid w:val="00952123"/>
    <w:rsid w:val="00952A63"/>
    <w:rsid w:val="0095419E"/>
    <w:rsid w:val="0095501C"/>
    <w:rsid w:val="00956292"/>
    <w:rsid w:val="00956589"/>
    <w:rsid w:val="00957766"/>
    <w:rsid w:val="009665D9"/>
    <w:rsid w:val="00966FED"/>
    <w:rsid w:val="00972828"/>
    <w:rsid w:val="0097565A"/>
    <w:rsid w:val="00977C51"/>
    <w:rsid w:val="0099214A"/>
    <w:rsid w:val="0099250D"/>
    <w:rsid w:val="00993129"/>
    <w:rsid w:val="00996E40"/>
    <w:rsid w:val="00997CDA"/>
    <w:rsid w:val="009A26BD"/>
    <w:rsid w:val="009A3ABF"/>
    <w:rsid w:val="009B2267"/>
    <w:rsid w:val="009B243F"/>
    <w:rsid w:val="009B4FFB"/>
    <w:rsid w:val="009C0925"/>
    <w:rsid w:val="009C2D7E"/>
    <w:rsid w:val="009C4D14"/>
    <w:rsid w:val="009C5CBA"/>
    <w:rsid w:val="009C7E2F"/>
    <w:rsid w:val="009D1C2C"/>
    <w:rsid w:val="009D5133"/>
    <w:rsid w:val="009D57A1"/>
    <w:rsid w:val="009D78E0"/>
    <w:rsid w:val="009E3705"/>
    <w:rsid w:val="009E3B69"/>
    <w:rsid w:val="009E5374"/>
    <w:rsid w:val="009F120C"/>
    <w:rsid w:val="009F345D"/>
    <w:rsid w:val="00A00069"/>
    <w:rsid w:val="00A05A34"/>
    <w:rsid w:val="00A06BE4"/>
    <w:rsid w:val="00A11A0A"/>
    <w:rsid w:val="00A12CC5"/>
    <w:rsid w:val="00A13218"/>
    <w:rsid w:val="00A17071"/>
    <w:rsid w:val="00A17B7B"/>
    <w:rsid w:val="00A227A3"/>
    <w:rsid w:val="00A22B21"/>
    <w:rsid w:val="00A23BE1"/>
    <w:rsid w:val="00A26418"/>
    <w:rsid w:val="00A367E2"/>
    <w:rsid w:val="00A36B95"/>
    <w:rsid w:val="00A41648"/>
    <w:rsid w:val="00A41CA7"/>
    <w:rsid w:val="00A42C70"/>
    <w:rsid w:val="00A42D73"/>
    <w:rsid w:val="00A42F3F"/>
    <w:rsid w:val="00A4397F"/>
    <w:rsid w:val="00A43C37"/>
    <w:rsid w:val="00A45BA9"/>
    <w:rsid w:val="00A47D22"/>
    <w:rsid w:val="00A5199D"/>
    <w:rsid w:val="00A521AE"/>
    <w:rsid w:val="00A60B73"/>
    <w:rsid w:val="00A63BF6"/>
    <w:rsid w:val="00A67EDF"/>
    <w:rsid w:val="00A70C4F"/>
    <w:rsid w:val="00A71A2E"/>
    <w:rsid w:val="00A80080"/>
    <w:rsid w:val="00A80241"/>
    <w:rsid w:val="00A84ECC"/>
    <w:rsid w:val="00A85181"/>
    <w:rsid w:val="00A94E0B"/>
    <w:rsid w:val="00A95DB6"/>
    <w:rsid w:val="00AA3331"/>
    <w:rsid w:val="00AA3DB1"/>
    <w:rsid w:val="00AA3E55"/>
    <w:rsid w:val="00AB0615"/>
    <w:rsid w:val="00AB1CFD"/>
    <w:rsid w:val="00AB2579"/>
    <w:rsid w:val="00AB4639"/>
    <w:rsid w:val="00AB4951"/>
    <w:rsid w:val="00AB4D8C"/>
    <w:rsid w:val="00AC0482"/>
    <w:rsid w:val="00AC233F"/>
    <w:rsid w:val="00AC2532"/>
    <w:rsid w:val="00AC4FAD"/>
    <w:rsid w:val="00AC54FF"/>
    <w:rsid w:val="00AC5535"/>
    <w:rsid w:val="00AD280B"/>
    <w:rsid w:val="00AD3359"/>
    <w:rsid w:val="00AD501D"/>
    <w:rsid w:val="00AE0A27"/>
    <w:rsid w:val="00AE162E"/>
    <w:rsid w:val="00AE38CD"/>
    <w:rsid w:val="00AE5993"/>
    <w:rsid w:val="00AF56EC"/>
    <w:rsid w:val="00AF5C85"/>
    <w:rsid w:val="00B02469"/>
    <w:rsid w:val="00B057FC"/>
    <w:rsid w:val="00B11369"/>
    <w:rsid w:val="00B127DE"/>
    <w:rsid w:val="00B13656"/>
    <w:rsid w:val="00B20D7F"/>
    <w:rsid w:val="00B23099"/>
    <w:rsid w:val="00B23288"/>
    <w:rsid w:val="00B315A0"/>
    <w:rsid w:val="00B34A18"/>
    <w:rsid w:val="00B37B82"/>
    <w:rsid w:val="00B40119"/>
    <w:rsid w:val="00B40295"/>
    <w:rsid w:val="00B41637"/>
    <w:rsid w:val="00B41E17"/>
    <w:rsid w:val="00B468CE"/>
    <w:rsid w:val="00B46D18"/>
    <w:rsid w:val="00B5073A"/>
    <w:rsid w:val="00B52EC9"/>
    <w:rsid w:val="00B56202"/>
    <w:rsid w:val="00B56E79"/>
    <w:rsid w:val="00B579CB"/>
    <w:rsid w:val="00B62367"/>
    <w:rsid w:val="00B626CD"/>
    <w:rsid w:val="00B6355F"/>
    <w:rsid w:val="00B63903"/>
    <w:rsid w:val="00B70083"/>
    <w:rsid w:val="00B705A0"/>
    <w:rsid w:val="00B723C5"/>
    <w:rsid w:val="00B75BAE"/>
    <w:rsid w:val="00B76D15"/>
    <w:rsid w:val="00B76F1E"/>
    <w:rsid w:val="00B83A94"/>
    <w:rsid w:val="00B856EA"/>
    <w:rsid w:val="00B86558"/>
    <w:rsid w:val="00B924B2"/>
    <w:rsid w:val="00B943DB"/>
    <w:rsid w:val="00B94CD6"/>
    <w:rsid w:val="00B97D4E"/>
    <w:rsid w:val="00BA0C5A"/>
    <w:rsid w:val="00BA0F8B"/>
    <w:rsid w:val="00BA13C6"/>
    <w:rsid w:val="00BA1E7E"/>
    <w:rsid w:val="00BA3504"/>
    <w:rsid w:val="00BA5241"/>
    <w:rsid w:val="00BA603F"/>
    <w:rsid w:val="00BB1268"/>
    <w:rsid w:val="00BB28F6"/>
    <w:rsid w:val="00BB3C93"/>
    <w:rsid w:val="00BB47C9"/>
    <w:rsid w:val="00BB4D2F"/>
    <w:rsid w:val="00BB67CF"/>
    <w:rsid w:val="00BB6DD4"/>
    <w:rsid w:val="00BC09B1"/>
    <w:rsid w:val="00BC2609"/>
    <w:rsid w:val="00BC4100"/>
    <w:rsid w:val="00BC449C"/>
    <w:rsid w:val="00BC5866"/>
    <w:rsid w:val="00BC64E2"/>
    <w:rsid w:val="00BC6F24"/>
    <w:rsid w:val="00BD0DBB"/>
    <w:rsid w:val="00BE5150"/>
    <w:rsid w:val="00BE7AF7"/>
    <w:rsid w:val="00BF20AA"/>
    <w:rsid w:val="00BF3277"/>
    <w:rsid w:val="00BF3EA6"/>
    <w:rsid w:val="00C04170"/>
    <w:rsid w:val="00C06686"/>
    <w:rsid w:val="00C06CC1"/>
    <w:rsid w:val="00C10AD0"/>
    <w:rsid w:val="00C11D5A"/>
    <w:rsid w:val="00C13145"/>
    <w:rsid w:val="00C151DD"/>
    <w:rsid w:val="00C17EFC"/>
    <w:rsid w:val="00C23F1C"/>
    <w:rsid w:val="00C27C07"/>
    <w:rsid w:val="00C32D70"/>
    <w:rsid w:val="00C45D3F"/>
    <w:rsid w:val="00C47320"/>
    <w:rsid w:val="00C57E8C"/>
    <w:rsid w:val="00C63897"/>
    <w:rsid w:val="00C64192"/>
    <w:rsid w:val="00C70684"/>
    <w:rsid w:val="00C73262"/>
    <w:rsid w:val="00C73485"/>
    <w:rsid w:val="00C807EA"/>
    <w:rsid w:val="00C8140F"/>
    <w:rsid w:val="00C82A4A"/>
    <w:rsid w:val="00C82EB2"/>
    <w:rsid w:val="00C90E4F"/>
    <w:rsid w:val="00C91725"/>
    <w:rsid w:val="00C956BD"/>
    <w:rsid w:val="00C9647C"/>
    <w:rsid w:val="00C972A3"/>
    <w:rsid w:val="00C97D83"/>
    <w:rsid w:val="00CA3F5F"/>
    <w:rsid w:val="00CB65B7"/>
    <w:rsid w:val="00CB764F"/>
    <w:rsid w:val="00CC441F"/>
    <w:rsid w:val="00CC6092"/>
    <w:rsid w:val="00CD191D"/>
    <w:rsid w:val="00CD2666"/>
    <w:rsid w:val="00CD4233"/>
    <w:rsid w:val="00CD6976"/>
    <w:rsid w:val="00CE525B"/>
    <w:rsid w:val="00CE5B1D"/>
    <w:rsid w:val="00CE7031"/>
    <w:rsid w:val="00CE744F"/>
    <w:rsid w:val="00CE750F"/>
    <w:rsid w:val="00CF75A1"/>
    <w:rsid w:val="00D015D6"/>
    <w:rsid w:val="00D01E26"/>
    <w:rsid w:val="00D02112"/>
    <w:rsid w:val="00D0406D"/>
    <w:rsid w:val="00D0530C"/>
    <w:rsid w:val="00D05F99"/>
    <w:rsid w:val="00D10C38"/>
    <w:rsid w:val="00D11142"/>
    <w:rsid w:val="00D131BA"/>
    <w:rsid w:val="00D144D0"/>
    <w:rsid w:val="00D160CB"/>
    <w:rsid w:val="00D16861"/>
    <w:rsid w:val="00D17600"/>
    <w:rsid w:val="00D20917"/>
    <w:rsid w:val="00D23042"/>
    <w:rsid w:val="00D23A96"/>
    <w:rsid w:val="00D24445"/>
    <w:rsid w:val="00D245A1"/>
    <w:rsid w:val="00D2703D"/>
    <w:rsid w:val="00D3216C"/>
    <w:rsid w:val="00D362E4"/>
    <w:rsid w:val="00D37914"/>
    <w:rsid w:val="00D407D6"/>
    <w:rsid w:val="00D415E2"/>
    <w:rsid w:val="00D42055"/>
    <w:rsid w:val="00D4308B"/>
    <w:rsid w:val="00D43390"/>
    <w:rsid w:val="00D445F3"/>
    <w:rsid w:val="00D46F74"/>
    <w:rsid w:val="00D50F55"/>
    <w:rsid w:val="00D51009"/>
    <w:rsid w:val="00D51D22"/>
    <w:rsid w:val="00D53920"/>
    <w:rsid w:val="00D56C81"/>
    <w:rsid w:val="00D60E59"/>
    <w:rsid w:val="00D647C3"/>
    <w:rsid w:val="00D664EC"/>
    <w:rsid w:val="00D721D9"/>
    <w:rsid w:val="00D72E9F"/>
    <w:rsid w:val="00D7591F"/>
    <w:rsid w:val="00D8077D"/>
    <w:rsid w:val="00D84916"/>
    <w:rsid w:val="00D84F7B"/>
    <w:rsid w:val="00D8673D"/>
    <w:rsid w:val="00D86F2D"/>
    <w:rsid w:val="00D923FF"/>
    <w:rsid w:val="00D9322A"/>
    <w:rsid w:val="00D94203"/>
    <w:rsid w:val="00D9633A"/>
    <w:rsid w:val="00D97F28"/>
    <w:rsid w:val="00DA057C"/>
    <w:rsid w:val="00DA2823"/>
    <w:rsid w:val="00DA3A73"/>
    <w:rsid w:val="00DA7DCE"/>
    <w:rsid w:val="00DB7F8F"/>
    <w:rsid w:val="00DC23CC"/>
    <w:rsid w:val="00DC3F2C"/>
    <w:rsid w:val="00DC43B6"/>
    <w:rsid w:val="00DC4A40"/>
    <w:rsid w:val="00DC69F3"/>
    <w:rsid w:val="00DD3DE0"/>
    <w:rsid w:val="00DD52E1"/>
    <w:rsid w:val="00DD6367"/>
    <w:rsid w:val="00DE1215"/>
    <w:rsid w:val="00DE284D"/>
    <w:rsid w:val="00DE2B38"/>
    <w:rsid w:val="00DF119A"/>
    <w:rsid w:val="00DF2386"/>
    <w:rsid w:val="00DF33AC"/>
    <w:rsid w:val="00DF33C6"/>
    <w:rsid w:val="00DF7383"/>
    <w:rsid w:val="00DF7FE7"/>
    <w:rsid w:val="00E02540"/>
    <w:rsid w:val="00E03293"/>
    <w:rsid w:val="00E036AD"/>
    <w:rsid w:val="00E05E89"/>
    <w:rsid w:val="00E06077"/>
    <w:rsid w:val="00E07ED8"/>
    <w:rsid w:val="00E210E8"/>
    <w:rsid w:val="00E246E8"/>
    <w:rsid w:val="00E26578"/>
    <w:rsid w:val="00E2765A"/>
    <w:rsid w:val="00E32F19"/>
    <w:rsid w:val="00E3409F"/>
    <w:rsid w:val="00E3420D"/>
    <w:rsid w:val="00E34BC5"/>
    <w:rsid w:val="00E414F5"/>
    <w:rsid w:val="00E43553"/>
    <w:rsid w:val="00E444C7"/>
    <w:rsid w:val="00E4515E"/>
    <w:rsid w:val="00E46367"/>
    <w:rsid w:val="00E51CE5"/>
    <w:rsid w:val="00E529C2"/>
    <w:rsid w:val="00E60A6D"/>
    <w:rsid w:val="00E611A7"/>
    <w:rsid w:val="00E62208"/>
    <w:rsid w:val="00E6295E"/>
    <w:rsid w:val="00E63F0B"/>
    <w:rsid w:val="00E64258"/>
    <w:rsid w:val="00E6570B"/>
    <w:rsid w:val="00E67F42"/>
    <w:rsid w:val="00E725B9"/>
    <w:rsid w:val="00E7386C"/>
    <w:rsid w:val="00E7421D"/>
    <w:rsid w:val="00E75002"/>
    <w:rsid w:val="00E752CF"/>
    <w:rsid w:val="00E75B3E"/>
    <w:rsid w:val="00E7755E"/>
    <w:rsid w:val="00E77F3D"/>
    <w:rsid w:val="00E8283D"/>
    <w:rsid w:val="00E8513C"/>
    <w:rsid w:val="00E875CD"/>
    <w:rsid w:val="00E91B09"/>
    <w:rsid w:val="00E9307A"/>
    <w:rsid w:val="00E9647F"/>
    <w:rsid w:val="00E964E0"/>
    <w:rsid w:val="00E96D5D"/>
    <w:rsid w:val="00EA3A7F"/>
    <w:rsid w:val="00EA4AE6"/>
    <w:rsid w:val="00EA6BF6"/>
    <w:rsid w:val="00EB0A13"/>
    <w:rsid w:val="00EB2424"/>
    <w:rsid w:val="00EB2D3E"/>
    <w:rsid w:val="00EB4358"/>
    <w:rsid w:val="00EC0E5E"/>
    <w:rsid w:val="00EC598F"/>
    <w:rsid w:val="00ED102A"/>
    <w:rsid w:val="00ED3F9B"/>
    <w:rsid w:val="00ED49CA"/>
    <w:rsid w:val="00ED6811"/>
    <w:rsid w:val="00ED6C09"/>
    <w:rsid w:val="00ED7350"/>
    <w:rsid w:val="00EE1976"/>
    <w:rsid w:val="00EE1CA1"/>
    <w:rsid w:val="00EE1DA8"/>
    <w:rsid w:val="00EE3F96"/>
    <w:rsid w:val="00EE6168"/>
    <w:rsid w:val="00EE7DC6"/>
    <w:rsid w:val="00EF00A4"/>
    <w:rsid w:val="00EF1096"/>
    <w:rsid w:val="00F026BB"/>
    <w:rsid w:val="00F054AB"/>
    <w:rsid w:val="00F078F1"/>
    <w:rsid w:val="00F11B8E"/>
    <w:rsid w:val="00F141F1"/>
    <w:rsid w:val="00F15BDC"/>
    <w:rsid w:val="00F15FD8"/>
    <w:rsid w:val="00F21868"/>
    <w:rsid w:val="00F21922"/>
    <w:rsid w:val="00F2241D"/>
    <w:rsid w:val="00F3186F"/>
    <w:rsid w:val="00F34F71"/>
    <w:rsid w:val="00F35921"/>
    <w:rsid w:val="00F36407"/>
    <w:rsid w:val="00F40029"/>
    <w:rsid w:val="00F41E45"/>
    <w:rsid w:val="00F42558"/>
    <w:rsid w:val="00F44134"/>
    <w:rsid w:val="00F47D74"/>
    <w:rsid w:val="00F518B1"/>
    <w:rsid w:val="00F55A36"/>
    <w:rsid w:val="00F564E7"/>
    <w:rsid w:val="00F636EA"/>
    <w:rsid w:val="00F669DD"/>
    <w:rsid w:val="00F6732B"/>
    <w:rsid w:val="00F7222A"/>
    <w:rsid w:val="00F73E71"/>
    <w:rsid w:val="00F76630"/>
    <w:rsid w:val="00F807D4"/>
    <w:rsid w:val="00F83DF9"/>
    <w:rsid w:val="00F86070"/>
    <w:rsid w:val="00F90892"/>
    <w:rsid w:val="00F96B3D"/>
    <w:rsid w:val="00FA573B"/>
    <w:rsid w:val="00FA74E5"/>
    <w:rsid w:val="00FB06A8"/>
    <w:rsid w:val="00FB4BD8"/>
    <w:rsid w:val="00FB66D7"/>
    <w:rsid w:val="00FC57AB"/>
    <w:rsid w:val="00FC5E60"/>
    <w:rsid w:val="00FC6104"/>
    <w:rsid w:val="00FD5C27"/>
    <w:rsid w:val="00FD74D4"/>
    <w:rsid w:val="00FD76D0"/>
    <w:rsid w:val="00FE209D"/>
    <w:rsid w:val="00FE25C2"/>
    <w:rsid w:val="00FE30AE"/>
    <w:rsid w:val="00FF4914"/>
    <w:rsid w:val="00FF6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783A17"/>
  <w15:docId w15:val="{7CFBD3F6-70BF-4B99-AAFC-9449D089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aliases w:val="Rec para"/>
    <w:basedOn w:val="Normal"/>
    <w:link w:val="ListParagraphChar"/>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664EC"/>
    <w:rPr>
      <w:color w:val="0000FF" w:themeColor="hyperlink"/>
      <w:u w:val="single"/>
    </w:rPr>
  </w:style>
  <w:style w:type="paragraph" w:customStyle="1" w:styleId="ColorfulList-Accent11">
    <w:name w:val="Colorful List - Accent 11"/>
    <w:basedOn w:val="Normal"/>
    <w:uiPriority w:val="34"/>
    <w:qFormat/>
    <w:rsid w:val="00D664EC"/>
    <w:pPr>
      <w:ind w:left="720"/>
      <w:contextualSpacing/>
    </w:pPr>
  </w:style>
  <w:style w:type="character" w:styleId="FollowedHyperlink">
    <w:name w:val="FollowedHyperlink"/>
    <w:basedOn w:val="DefaultParagraphFont"/>
    <w:uiPriority w:val="99"/>
    <w:semiHidden/>
    <w:unhideWhenUsed/>
    <w:rsid w:val="005E61D7"/>
    <w:rPr>
      <w:color w:val="800080" w:themeColor="followedHyperlink"/>
      <w:u w:val="single"/>
    </w:rPr>
  </w:style>
  <w:style w:type="paragraph" w:styleId="BodyText">
    <w:name w:val="Body Text"/>
    <w:basedOn w:val="Normal"/>
    <w:link w:val="BodyTextChar"/>
    <w:uiPriority w:val="1"/>
    <w:qFormat/>
    <w:rsid w:val="00DD52E1"/>
    <w:pPr>
      <w:widowControl w:val="0"/>
      <w:spacing w:after="0" w:line="240" w:lineRule="auto"/>
      <w:ind w:left="102"/>
    </w:pPr>
    <w:rPr>
      <w:rFonts w:cstheme="minorBidi"/>
      <w:lang w:val="en-US"/>
    </w:rPr>
  </w:style>
  <w:style w:type="character" w:customStyle="1" w:styleId="BodyTextChar">
    <w:name w:val="Body Text Char"/>
    <w:basedOn w:val="DefaultParagraphFont"/>
    <w:link w:val="BodyText"/>
    <w:uiPriority w:val="1"/>
    <w:rsid w:val="00DD52E1"/>
    <w:rPr>
      <w:rFonts w:ascii="Calibri" w:eastAsia="Calibri" w:hAnsi="Calibri"/>
      <w:lang w:val="en-US"/>
    </w:rPr>
  </w:style>
  <w:style w:type="character" w:customStyle="1" w:styleId="EnlacedeInternet">
    <w:name w:val="Enlace de Internet"/>
    <w:basedOn w:val="DefaultParagraphFont"/>
    <w:rsid w:val="005F6382"/>
    <w:rPr>
      <w:color w:val="0000FF"/>
      <w:u w:val="single"/>
    </w:rPr>
  </w:style>
  <w:style w:type="character" w:customStyle="1" w:styleId="ListParagraphChar">
    <w:name w:val="List Paragraph Char"/>
    <w:aliases w:val="Rec para Char"/>
    <w:link w:val="ListParagraph"/>
    <w:uiPriority w:val="34"/>
    <w:locked/>
    <w:rsid w:val="00AB1CFD"/>
    <w:rPr>
      <w:rFonts w:ascii="Calibri" w:eastAsia="Calibri" w:hAnsi="Calibri" w:cs="Times New Roman"/>
    </w:rPr>
  </w:style>
  <w:style w:type="character" w:customStyle="1" w:styleId="tlid-translation">
    <w:name w:val="tlid-translation"/>
    <w:basedOn w:val="DefaultParagraphFont"/>
    <w:rsid w:val="00AB1CFD"/>
  </w:style>
  <w:style w:type="paragraph" w:styleId="NormalWeb">
    <w:name w:val="Normal (Web)"/>
    <w:basedOn w:val="Normal"/>
    <w:uiPriority w:val="99"/>
    <w:semiHidden/>
    <w:unhideWhenUsed/>
    <w:rsid w:val="00952A63"/>
    <w:pPr>
      <w:spacing w:after="15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9116">
      <w:bodyDiv w:val="1"/>
      <w:marLeft w:val="0"/>
      <w:marRight w:val="0"/>
      <w:marTop w:val="0"/>
      <w:marBottom w:val="0"/>
      <w:divBdr>
        <w:top w:val="none" w:sz="0" w:space="0" w:color="auto"/>
        <w:left w:val="none" w:sz="0" w:space="0" w:color="auto"/>
        <w:bottom w:val="none" w:sz="0" w:space="0" w:color="auto"/>
        <w:right w:val="none" w:sz="0" w:space="0" w:color="auto"/>
      </w:divBdr>
    </w:div>
    <w:div w:id="238683783">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2508477">
      <w:bodyDiv w:val="1"/>
      <w:marLeft w:val="0"/>
      <w:marRight w:val="0"/>
      <w:marTop w:val="0"/>
      <w:marBottom w:val="0"/>
      <w:divBdr>
        <w:top w:val="none" w:sz="0" w:space="0" w:color="auto"/>
        <w:left w:val="none" w:sz="0" w:space="0" w:color="auto"/>
        <w:bottom w:val="none" w:sz="0" w:space="0" w:color="auto"/>
        <w:right w:val="none" w:sz="0" w:space="0" w:color="auto"/>
      </w:divBdr>
    </w:div>
    <w:div w:id="524440105">
      <w:bodyDiv w:val="1"/>
      <w:marLeft w:val="0"/>
      <w:marRight w:val="0"/>
      <w:marTop w:val="0"/>
      <w:marBottom w:val="0"/>
      <w:divBdr>
        <w:top w:val="none" w:sz="0" w:space="0" w:color="auto"/>
        <w:left w:val="none" w:sz="0" w:space="0" w:color="auto"/>
        <w:bottom w:val="none" w:sz="0" w:space="0" w:color="auto"/>
        <w:right w:val="none" w:sz="0" w:space="0" w:color="auto"/>
      </w:divBdr>
    </w:div>
    <w:div w:id="530187346">
      <w:bodyDiv w:val="1"/>
      <w:marLeft w:val="0"/>
      <w:marRight w:val="0"/>
      <w:marTop w:val="0"/>
      <w:marBottom w:val="0"/>
      <w:divBdr>
        <w:top w:val="none" w:sz="0" w:space="0" w:color="auto"/>
        <w:left w:val="none" w:sz="0" w:space="0" w:color="auto"/>
        <w:bottom w:val="none" w:sz="0" w:space="0" w:color="auto"/>
        <w:right w:val="none" w:sz="0" w:space="0" w:color="auto"/>
      </w:divBdr>
    </w:div>
    <w:div w:id="552930700">
      <w:bodyDiv w:val="1"/>
      <w:marLeft w:val="0"/>
      <w:marRight w:val="0"/>
      <w:marTop w:val="0"/>
      <w:marBottom w:val="0"/>
      <w:divBdr>
        <w:top w:val="none" w:sz="0" w:space="0" w:color="auto"/>
        <w:left w:val="none" w:sz="0" w:space="0" w:color="auto"/>
        <w:bottom w:val="none" w:sz="0" w:space="0" w:color="auto"/>
        <w:right w:val="none" w:sz="0" w:space="0" w:color="auto"/>
      </w:divBdr>
    </w:div>
    <w:div w:id="590092860">
      <w:bodyDiv w:val="1"/>
      <w:marLeft w:val="0"/>
      <w:marRight w:val="0"/>
      <w:marTop w:val="0"/>
      <w:marBottom w:val="0"/>
      <w:divBdr>
        <w:top w:val="none" w:sz="0" w:space="0" w:color="auto"/>
        <w:left w:val="none" w:sz="0" w:space="0" w:color="auto"/>
        <w:bottom w:val="none" w:sz="0" w:space="0" w:color="auto"/>
        <w:right w:val="none" w:sz="0" w:space="0" w:color="auto"/>
      </w:divBdr>
      <w:divsChild>
        <w:div w:id="50813262">
          <w:marLeft w:val="0"/>
          <w:marRight w:val="0"/>
          <w:marTop w:val="0"/>
          <w:marBottom w:val="225"/>
          <w:divBdr>
            <w:top w:val="none" w:sz="0" w:space="0" w:color="auto"/>
            <w:left w:val="none" w:sz="0" w:space="0" w:color="auto"/>
            <w:bottom w:val="none" w:sz="0" w:space="0" w:color="auto"/>
            <w:right w:val="none" w:sz="0" w:space="0" w:color="auto"/>
          </w:divBdr>
          <w:divsChild>
            <w:div w:id="1874150021">
              <w:marLeft w:val="0"/>
              <w:marRight w:val="0"/>
              <w:marTop w:val="300"/>
              <w:marBottom w:val="0"/>
              <w:divBdr>
                <w:top w:val="none" w:sz="0" w:space="0" w:color="auto"/>
                <w:left w:val="none" w:sz="0" w:space="0" w:color="auto"/>
                <w:bottom w:val="none" w:sz="0" w:space="0" w:color="auto"/>
                <w:right w:val="none" w:sz="0" w:space="0" w:color="auto"/>
              </w:divBdr>
              <w:divsChild>
                <w:div w:id="1654676146">
                  <w:marLeft w:val="0"/>
                  <w:marRight w:val="0"/>
                  <w:marTop w:val="0"/>
                  <w:marBottom w:val="0"/>
                  <w:divBdr>
                    <w:top w:val="none" w:sz="0" w:space="0" w:color="auto"/>
                    <w:left w:val="none" w:sz="0" w:space="0" w:color="auto"/>
                    <w:bottom w:val="none" w:sz="0" w:space="0" w:color="auto"/>
                    <w:right w:val="none" w:sz="0" w:space="0" w:color="auto"/>
                  </w:divBdr>
                  <w:divsChild>
                    <w:div w:id="2001542355">
                      <w:marLeft w:val="0"/>
                      <w:marRight w:val="0"/>
                      <w:marTop w:val="0"/>
                      <w:marBottom w:val="0"/>
                      <w:divBdr>
                        <w:top w:val="none" w:sz="0" w:space="0" w:color="auto"/>
                        <w:left w:val="none" w:sz="0" w:space="0" w:color="auto"/>
                        <w:bottom w:val="none" w:sz="0" w:space="0" w:color="auto"/>
                        <w:right w:val="none" w:sz="0" w:space="0" w:color="auto"/>
                      </w:divBdr>
                      <w:divsChild>
                        <w:div w:id="1885170859">
                          <w:marLeft w:val="0"/>
                          <w:marRight w:val="0"/>
                          <w:marTop w:val="0"/>
                          <w:marBottom w:val="0"/>
                          <w:divBdr>
                            <w:top w:val="none" w:sz="0" w:space="0" w:color="auto"/>
                            <w:left w:val="none" w:sz="0" w:space="0" w:color="auto"/>
                            <w:bottom w:val="none" w:sz="0" w:space="0" w:color="auto"/>
                            <w:right w:val="none" w:sz="0" w:space="0" w:color="auto"/>
                          </w:divBdr>
                          <w:divsChild>
                            <w:div w:id="1398243193">
                              <w:marLeft w:val="0"/>
                              <w:marRight w:val="0"/>
                              <w:marTop w:val="0"/>
                              <w:marBottom w:val="0"/>
                              <w:divBdr>
                                <w:top w:val="none" w:sz="0" w:space="0" w:color="auto"/>
                                <w:left w:val="none" w:sz="0" w:space="0" w:color="auto"/>
                                <w:bottom w:val="none" w:sz="0" w:space="0" w:color="auto"/>
                                <w:right w:val="none" w:sz="0" w:space="0" w:color="auto"/>
                              </w:divBdr>
                              <w:divsChild>
                                <w:div w:id="1504664254">
                                  <w:marLeft w:val="0"/>
                                  <w:marRight w:val="0"/>
                                  <w:marTop w:val="0"/>
                                  <w:marBottom w:val="0"/>
                                  <w:divBdr>
                                    <w:top w:val="none" w:sz="0" w:space="0" w:color="auto"/>
                                    <w:left w:val="none" w:sz="0" w:space="0" w:color="auto"/>
                                    <w:bottom w:val="none" w:sz="0" w:space="0" w:color="auto"/>
                                    <w:right w:val="none" w:sz="0" w:space="0" w:color="auto"/>
                                  </w:divBdr>
                                  <w:divsChild>
                                    <w:div w:id="32274539">
                                      <w:marLeft w:val="0"/>
                                      <w:marRight w:val="0"/>
                                      <w:marTop w:val="0"/>
                                      <w:marBottom w:val="0"/>
                                      <w:divBdr>
                                        <w:top w:val="none" w:sz="0" w:space="0" w:color="auto"/>
                                        <w:left w:val="none" w:sz="0" w:space="0" w:color="auto"/>
                                        <w:bottom w:val="none" w:sz="0" w:space="0" w:color="auto"/>
                                        <w:right w:val="none" w:sz="0" w:space="0" w:color="auto"/>
                                      </w:divBdr>
                                      <w:divsChild>
                                        <w:div w:id="1520697437">
                                          <w:marLeft w:val="0"/>
                                          <w:marRight w:val="0"/>
                                          <w:marTop w:val="0"/>
                                          <w:marBottom w:val="0"/>
                                          <w:divBdr>
                                            <w:top w:val="none" w:sz="0" w:space="0" w:color="auto"/>
                                            <w:left w:val="none" w:sz="0" w:space="0" w:color="auto"/>
                                            <w:bottom w:val="none" w:sz="0" w:space="0" w:color="auto"/>
                                            <w:right w:val="none" w:sz="0" w:space="0" w:color="auto"/>
                                          </w:divBdr>
                                          <w:divsChild>
                                            <w:div w:id="75636540">
                                              <w:marLeft w:val="0"/>
                                              <w:marRight w:val="0"/>
                                              <w:marTop w:val="0"/>
                                              <w:marBottom w:val="0"/>
                                              <w:divBdr>
                                                <w:top w:val="none" w:sz="0" w:space="0" w:color="auto"/>
                                                <w:left w:val="none" w:sz="0" w:space="0" w:color="auto"/>
                                                <w:bottom w:val="none" w:sz="0" w:space="0" w:color="auto"/>
                                                <w:right w:val="none" w:sz="0" w:space="0" w:color="auto"/>
                                              </w:divBdr>
                                              <w:divsChild>
                                                <w:div w:id="2100253038">
                                                  <w:marLeft w:val="0"/>
                                                  <w:marRight w:val="0"/>
                                                  <w:marTop w:val="0"/>
                                                  <w:marBottom w:val="0"/>
                                                  <w:divBdr>
                                                    <w:top w:val="none" w:sz="0" w:space="0" w:color="auto"/>
                                                    <w:left w:val="none" w:sz="0" w:space="0" w:color="auto"/>
                                                    <w:bottom w:val="none" w:sz="0" w:space="0" w:color="auto"/>
                                                    <w:right w:val="none" w:sz="0" w:space="0" w:color="auto"/>
                                                  </w:divBdr>
                                                  <w:divsChild>
                                                    <w:div w:id="1522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35940">
      <w:bodyDiv w:val="1"/>
      <w:marLeft w:val="0"/>
      <w:marRight w:val="0"/>
      <w:marTop w:val="0"/>
      <w:marBottom w:val="0"/>
      <w:divBdr>
        <w:top w:val="none" w:sz="0" w:space="0" w:color="auto"/>
        <w:left w:val="none" w:sz="0" w:space="0" w:color="auto"/>
        <w:bottom w:val="none" w:sz="0" w:space="0" w:color="auto"/>
        <w:right w:val="none" w:sz="0" w:space="0" w:color="auto"/>
      </w:divBdr>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1752237166">
      <w:bodyDiv w:val="1"/>
      <w:marLeft w:val="0"/>
      <w:marRight w:val="0"/>
      <w:marTop w:val="0"/>
      <w:marBottom w:val="0"/>
      <w:divBdr>
        <w:top w:val="none" w:sz="0" w:space="0" w:color="auto"/>
        <w:left w:val="none" w:sz="0" w:space="0" w:color="auto"/>
        <w:bottom w:val="none" w:sz="0" w:space="0" w:color="auto"/>
        <w:right w:val="none" w:sz="0" w:space="0" w:color="auto"/>
      </w:divBdr>
      <w:divsChild>
        <w:div w:id="257369307">
          <w:marLeft w:val="0"/>
          <w:marRight w:val="0"/>
          <w:marTop w:val="0"/>
          <w:marBottom w:val="225"/>
          <w:divBdr>
            <w:top w:val="none" w:sz="0" w:space="0" w:color="auto"/>
            <w:left w:val="none" w:sz="0" w:space="0" w:color="auto"/>
            <w:bottom w:val="none" w:sz="0" w:space="0" w:color="auto"/>
            <w:right w:val="none" w:sz="0" w:space="0" w:color="auto"/>
          </w:divBdr>
          <w:divsChild>
            <w:div w:id="877015484">
              <w:marLeft w:val="0"/>
              <w:marRight w:val="0"/>
              <w:marTop w:val="300"/>
              <w:marBottom w:val="0"/>
              <w:divBdr>
                <w:top w:val="none" w:sz="0" w:space="0" w:color="auto"/>
                <w:left w:val="none" w:sz="0" w:space="0" w:color="auto"/>
                <w:bottom w:val="none" w:sz="0" w:space="0" w:color="auto"/>
                <w:right w:val="none" w:sz="0" w:space="0" w:color="auto"/>
              </w:divBdr>
              <w:divsChild>
                <w:div w:id="1434937576">
                  <w:marLeft w:val="0"/>
                  <w:marRight w:val="0"/>
                  <w:marTop w:val="0"/>
                  <w:marBottom w:val="0"/>
                  <w:divBdr>
                    <w:top w:val="none" w:sz="0" w:space="0" w:color="auto"/>
                    <w:left w:val="none" w:sz="0" w:space="0" w:color="auto"/>
                    <w:bottom w:val="none" w:sz="0" w:space="0" w:color="auto"/>
                    <w:right w:val="none" w:sz="0" w:space="0" w:color="auto"/>
                  </w:divBdr>
                  <w:divsChild>
                    <w:div w:id="347491546">
                      <w:marLeft w:val="0"/>
                      <w:marRight w:val="0"/>
                      <w:marTop w:val="0"/>
                      <w:marBottom w:val="0"/>
                      <w:divBdr>
                        <w:top w:val="none" w:sz="0" w:space="0" w:color="auto"/>
                        <w:left w:val="none" w:sz="0" w:space="0" w:color="auto"/>
                        <w:bottom w:val="none" w:sz="0" w:space="0" w:color="auto"/>
                        <w:right w:val="none" w:sz="0" w:space="0" w:color="auto"/>
                      </w:divBdr>
                      <w:divsChild>
                        <w:div w:id="909077068">
                          <w:marLeft w:val="0"/>
                          <w:marRight w:val="0"/>
                          <w:marTop w:val="0"/>
                          <w:marBottom w:val="0"/>
                          <w:divBdr>
                            <w:top w:val="none" w:sz="0" w:space="0" w:color="auto"/>
                            <w:left w:val="none" w:sz="0" w:space="0" w:color="auto"/>
                            <w:bottom w:val="none" w:sz="0" w:space="0" w:color="auto"/>
                            <w:right w:val="none" w:sz="0" w:space="0" w:color="auto"/>
                          </w:divBdr>
                          <w:divsChild>
                            <w:div w:id="205338819">
                              <w:marLeft w:val="0"/>
                              <w:marRight w:val="0"/>
                              <w:marTop w:val="0"/>
                              <w:marBottom w:val="0"/>
                              <w:divBdr>
                                <w:top w:val="none" w:sz="0" w:space="0" w:color="auto"/>
                                <w:left w:val="none" w:sz="0" w:space="0" w:color="auto"/>
                                <w:bottom w:val="none" w:sz="0" w:space="0" w:color="auto"/>
                                <w:right w:val="none" w:sz="0" w:space="0" w:color="auto"/>
                              </w:divBdr>
                              <w:divsChild>
                                <w:div w:id="238945374">
                                  <w:marLeft w:val="0"/>
                                  <w:marRight w:val="0"/>
                                  <w:marTop w:val="0"/>
                                  <w:marBottom w:val="0"/>
                                  <w:divBdr>
                                    <w:top w:val="none" w:sz="0" w:space="0" w:color="auto"/>
                                    <w:left w:val="none" w:sz="0" w:space="0" w:color="auto"/>
                                    <w:bottom w:val="none" w:sz="0" w:space="0" w:color="auto"/>
                                    <w:right w:val="none" w:sz="0" w:space="0" w:color="auto"/>
                                  </w:divBdr>
                                  <w:divsChild>
                                    <w:div w:id="401873308">
                                      <w:marLeft w:val="0"/>
                                      <w:marRight w:val="0"/>
                                      <w:marTop w:val="0"/>
                                      <w:marBottom w:val="0"/>
                                      <w:divBdr>
                                        <w:top w:val="none" w:sz="0" w:space="0" w:color="auto"/>
                                        <w:left w:val="none" w:sz="0" w:space="0" w:color="auto"/>
                                        <w:bottom w:val="none" w:sz="0" w:space="0" w:color="auto"/>
                                        <w:right w:val="none" w:sz="0" w:space="0" w:color="auto"/>
                                      </w:divBdr>
                                      <w:divsChild>
                                        <w:div w:id="1320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237474">
      <w:bodyDiv w:val="1"/>
      <w:marLeft w:val="0"/>
      <w:marRight w:val="0"/>
      <w:marTop w:val="0"/>
      <w:marBottom w:val="0"/>
      <w:divBdr>
        <w:top w:val="none" w:sz="0" w:space="0" w:color="auto"/>
        <w:left w:val="none" w:sz="0" w:space="0" w:color="auto"/>
        <w:bottom w:val="none" w:sz="0" w:space="0" w:color="auto"/>
        <w:right w:val="none" w:sz="0" w:space="0" w:color="auto"/>
      </w:divBdr>
    </w:div>
    <w:div w:id="20808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678ED-02DA-4DBC-A252-650CA7282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1170</Words>
  <Characters>6673</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barzdo@ramsar.org</Manager>
  <Company>Ramsar Secretariat</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Ramsar\BarzdoJ</dc:creator>
  <cp:lastModifiedBy>JENNINGS Edmund</cp:lastModifiedBy>
  <cp:revision>4</cp:revision>
  <cp:lastPrinted>2020-06-22T17:13:00Z</cp:lastPrinted>
  <dcterms:created xsi:type="dcterms:W3CDTF">2020-06-23T05:51:00Z</dcterms:created>
  <dcterms:modified xsi:type="dcterms:W3CDTF">2020-06-23T07:32:00Z</dcterms:modified>
</cp:coreProperties>
</file>