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B14" w14:textId="7D309956" w:rsidR="00275F13" w:rsidRPr="0026683A"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26683A">
        <w:rPr>
          <w:bCs/>
          <w:sz w:val="24"/>
          <w:szCs w:val="24"/>
          <w:lang w:val="fr-FR"/>
        </w:rPr>
        <w:t xml:space="preserve">CONVENTION </w:t>
      </w:r>
      <w:r w:rsidR="0026683A" w:rsidRPr="0026683A">
        <w:rPr>
          <w:bCs/>
          <w:sz w:val="24"/>
          <w:szCs w:val="24"/>
          <w:lang w:val="fr-FR"/>
        </w:rPr>
        <w:t>SUR LES ZONES HUMIDE</w:t>
      </w:r>
      <w:r w:rsidRPr="0026683A">
        <w:rPr>
          <w:bCs/>
          <w:sz w:val="24"/>
          <w:szCs w:val="24"/>
          <w:lang w:val="fr-FR"/>
        </w:rPr>
        <w:t xml:space="preserve">S </w:t>
      </w:r>
    </w:p>
    <w:p w14:paraId="080DE56B" w14:textId="5947E8DC" w:rsidR="00DF2386" w:rsidRPr="0026683A"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26683A">
        <w:rPr>
          <w:bCs/>
          <w:sz w:val="24"/>
          <w:szCs w:val="24"/>
          <w:lang w:val="fr-FR"/>
        </w:rPr>
        <w:t>5</w:t>
      </w:r>
      <w:r w:rsidR="003D352B" w:rsidRPr="0026683A">
        <w:rPr>
          <w:bCs/>
          <w:sz w:val="24"/>
          <w:szCs w:val="24"/>
          <w:lang w:val="fr-FR"/>
        </w:rPr>
        <w:t>9</w:t>
      </w:r>
      <w:r w:rsidR="0026683A" w:rsidRPr="001C2C76">
        <w:rPr>
          <w:bCs/>
          <w:sz w:val="24"/>
          <w:szCs w:val="24"/>
          <w:vertAlign w:val="superscript"/>
          <w:lang w:val="fr-FR"/>
        </w:rPr>
        <w:t>e</w:t>
      </w:r>
      <w:r w:rsidRPr="0026683A">
        <w:rPr>
          <w:bCs/>
          <w:sz w:val="24"/>
          <w:szCs w:val="24"/>
          <w:lang w:val="fr-FR"/>
        </w:rPr>
        <w:t xml:space="preserve"> </w:t>
      </w:r>
      <w:r w:rsidR="0026683A" w:rsidRPr="0026683A">
        <w:rPr>
          <w:bCs/>
          <w:sz w:val="24"/>
          <w:szCs w:val="24"/>
          <w:lang w:val="fr-FR"/>
        </w:rPr>
        <w:t>Réunion du</w:t>
      </w:r>
      <w:r w:rsidRPr="0026683A">
        <w:rPr>
          <w:bCs/>
          <w:sz w:val="24"/>
          <w:szCs w:val="24"/>
          <w:lang w:val="fr-FR"/>
        </w:rPr>
        <w:t xml:space="preserve"> Comit</w:t>
      </w:r>
      <w:r w:rsidR="0026683A" w:rsidRPr="0026683A">
        <w:rPr>
          <w:bCs/>
          <w:sz w:val="24"/>
          <w:szCs w:val="24"/>
          <w:lang w:val="fr-FR"/>
        </w:rPr>
        <w:t>é p</w:t>
      </w:r>
      <w:r w:rsidR="0026683A">
        <w:rPr>
          <w:bCs/>
          <w:sz w:val="24"/>
          <w:szCs w:val="24"/>
          <w:lang w:val="fr-FR"/>
        </w:rPr>
        <w:t>ermanent</w:t>
      </w:r>
    </w:p>
    <w:p w14:paraId="1826E15C" w14:textId="377E7B29" w:rsidR="00DF2386" w:rsidRPr="00310796"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310796">
        <w:rPr>
          <w:bCs/>
          <w:sz w:val="24"/>
          <w:szCs w:val="24"/>
          <w:lang w:val="de-CH"/>
        </w:rPr>
        <w:t>Gland, S</w:t>
      </w:r>
      <w:r w:rsidR="0026683A">
        <w:rPr>
          <w:bCs/>
          <w:sz w:val="24"/>
          <w:szCs w:val="24"/>
          <w:lang w:val="de-CH"/>
        </w:rPr>
        <w:t>uisse</w:t>
      </w:r>
      <w:r w:rsidRPr="00310796">
        <w:rPr>
          <w:bCs/>
          <w:sz w:val="24"/>
          <w:szCs w:val="24"/>
          <w:lang w:val="de-CH"/>
        </w:rPr>
        <w:t xml:space="preserve">, </w:t>
      </w:r>
      <w:r w:rsidR="003D352B" w:rsidRPr="00BA6C7E">
        <w:rPr>
          <w:bCs/>
          <w:sz w:val="24"/>
          <w:szCs w:val="24"/>
          <w:lang w:val="fr-FR"/>
        </w:rPr>
        <w:t xml:space="preserve">21 </w:t>
      </w:r>
      <w:r w:rsidR="0026683A" w:rsidRPr="00BA6C7E">
        <w:rPr>
          <w:bCs/>
          <w:sz w:val="24"/>
          <w:szCs w:val="24"/>
          <w:lang w:val="fr-FR"/>
        </w:rPr>
        <w:t>au</w:t>
      </w:r>
      <w:r w:rsidR="003D352B" w:rsidRPr="00BA6C7E">
        <w:rPr>
          <w:bCs/>
          <w:sz w:val="24"/>
          <w:szCs w:val="24"/>
          <w:lang w:val="fr-FR"/>
        </w:rPr>
        <w:t xml:space="preserve"> 25 </w:t>
      </w:r>
      <w:r w:rsidR="0026683A" w:rsidRPr="00BA6C7E">
        <w:rPr>
          <w:bCs/>
          <w:sz w:val="24"/>
          <w:szCs w:val="24"/>
          <w:lang w:val="fr-FR"/>
        </w:rPr>
        <w:t>juin</w:t>
      </w:r>
      <w:r w:rsidR="00F17256" w:rsidRPr="00310796">
        <w:rPr>
          <w:bCs/>
          <w:sz w:val="24"/>
          <w:szCs w:val="24"/>
          <w:lang w:val="de-CH"/>
        </w:rPr>
        <w:t xml:space="preserve"> </w:t>
      </w:r>
      <w:r w:rsidR="003D6921" w:rsidRPr="00310796">
        <w:rPr>
          <w:bCs/>
          <w:sz w:val="24"/>
          <w:szCs w:val="24"/>
          <w:lang w:val="de-CH"/>
        </w:rPr>
        <w:t>202</w:t>
      </w:r>
      <w:r w:rsidR="00B3215B">
        <w:rPr>
          <w:bCs/>
          <w:sz w:val="24"/>
          <w:szCs w:val="24"/>
          <w:lang w:val="de-CH"/>
        </w:rPr>
        <w:t>1</w:t>
      </w:r>
    </w:p>
    <w:p w14:paraId="26A055B3" w14:textId="77777777" w:rsidR="00DF2386" w:rsidRPr="00310796" w:rsidRDefault="00DF2386" w:rsidP="001B1F9E">
      <w:pPr>
        <w:outlineLvl w:val="0"/>
        <w:rPr>
          <w:b/>
          <w:lang w:val="de-CH"/>
        </w:rPr>
      </w:pPr>
    </w:p>
    <w:p w14:paraId="70046E3E" w14:textId="2727A126" w:rsidR="00DF2386" w:rsidRPr="00310796" w:rsidRDefault="00DF2386" w:rsidP="001B1F9E">
      <w:pPr>
        <w:jc w:val="right"/>
        <w:rPr>
          <w:rFonts w:cs="Arial"/>
          <w:sz w:val="28"/>
          <w:szCs w:val="28"/>
          <w:lang w:val="de-CH"/>
        </w:rPr>
      </w:pPr>
      <w:bookmarkStart w:id="0" w:name="_GoBack"/>
      <w:r w:rsidRPr="00310796">
        <w:rPr>
          <w:rFonts w:cs="Arial"/>
          <w:b/>
          <w:sz w:val="28"/>
          <w:szCs w:val="28"/>
          <w:lang w:val="de-CH"/>
        </w:rPr>
        <w:t>SC5</w:t>
      </w:r>
      <w:r w:rsidR="003D352B" w:rsidRPr="00310796">
        <w:rPr>
          <w:rFonts w:cs="Arial"/>
          <w:b/>
          <w:sz w:val="28"/>
          <w:szCs w:val="28"/>
          <w:lang w:val="de-CH"/>
        </w:rPr>
        <w:t>9</w:t>
      </w:r>
      <w:r w:rsidR="006B19ED" w:rsidRPr="00310796">
        <w:rPr>
          <w:rFonts w:cs="Arial"/>
          <w:b/>
          <w:sz w:val="28"/>
          <w:szCs w:val="28"/>
          <w:lang w:val="de-CH"/>
        </w:rPr>
        <w:t xml:space="preserve"> Doc.</w:t>
      </w:r>
      <w:r w:rsidR="009C7F10" w:rsidRPr="00310796">
        <w:rPr>
          <w:rFonts w:cs="Arial"/>
          <w:b/>
          <w:sz w:val="28"/>
          <w:szCs w:val="28"/>
          <w:lang w:val="de-CH"/>
        </w:rPr>
        <w:t>1</w:t>
      </w:r>
      <w:r w:rsidR="00080BE6" w:rsidRPr="00310796">
        <w:rPr>
          <w:rFonts w:cs="Arial"/>
          <w:b/>
          <w:sz w:val="28"/>
          <w:szCs w:val="28"/>
          <w:lang w:val="de-CH"/>
        </w:rPr>
        <w:t>3</w:t>
      </w:r>
    </w:p>
    <w:p w14:paraId="750645E5" w14:textId="77777777" w:rsidR="00DF2386" w:rsidRPr="00310796" w:rsidRDefault="00DF2386" w:rsidP="001B1F9E">
      <w:pPr>
        <w:rPr>
          <w:rFonts w:cs="Arial"/>
          <w:b/>
          <w:sz w:val="28"/>
          <w:szCs w:val="28"/>
          <w:lang w:val="de-CH"/>
        </w:rPr>
      </w:pPr>
    </w:p>
    <w:p w14:paraId="0CB44852" w14:textId="1BD26E6D" w:rsidR="00DF2386" w:rsidRPr="0026683A" w:rsidRDefault="0026683A" w:rsidP="001B1F9E">
      <w:pPr>
        <w:jc w:val="center"/>
        <w:rPr>
          <w:rFonts w:cs="Arial"/>
          <w:b/>
          <w:sz w:val="28"/>
          <w:szCs w:val="28"/>
          <w:lang w:val="fr-FR"/>
        </w:rPr>
      </w:pPr>
      <w:r w:rsidRPr="0026683A">
        <w:rPr>
          <w:rFonts w:cs="Arial"/>
          <w:b/>
          <w:sz w:val="28"/>
          <w:szCs w:val="28"/>
          <w:lang w:val="fr-FR"/>
        </w:rPr>
        <w:t>Examen de toutes les ré</w:t>
      </w:r>
      <w:r w:rsidR="009C7F10" w:rsidRPr="0026683A">
        <w:rPr>
          <w:rFonts w:cs="Arial"/>
          <w:b/>
          <w:sz w:val="28"/>
          <w:szCs w:val="28"/>
          <w:lang w:val="fr-FR"/>
        </w:rPr>
        <w:t xml:space="preserve">solutions </w:t>
      </w:r>
      <w:r>
        <w:rPr>
          <w:rFonts w:cs="Arial"/>
          <w:b/>
          <w:sz w:val="28"/>
          <w:szCs w:val="28"/>
          <w:lang w:val="fr-FR"/>
        </w:rPr>
        <w:t>et</w:t>
      </w:r>
      <w:r w:rsidR="009C7F10" w:rsidRPr="0026683A">
        <w:rPr>
          <w:rFonts w:cs="Arial"/>
          <w:b/>
          <w:sz w:val="28"/>
          <w:szCs w:val="28"/>
          <w:lang w:val="fr-FR"/>
        </w:rPr>
        <w:t xml:space="preserve"> </w:t>
      </w:r>
      <w:r>
        <w:rPr>
          <w:rFonts w:cs="Arial"/>
          <w:b/>
          <w:sz w:val="28"/>
          <w:szCs w:val="28"/>
          <w:lang w:val="fr-FR"/>
        </w:rPr>
        <w:t>dé</w:t>
      </w:r>
      <w:r w:rsidR="009C7F10" w:rsidRPr="0026683A">
        <w:rPr>
          <w:rFonts w:cs="Arial"/>
          <w:b/>
          <w:sz w:val="28"/>
          <w:szCs w:val="28"/>
          <w:lang w:val="fr-FR"/>
        </w:rPr>
        <w:t>cisions</w:t>
      </w:r>
      <w:r>
        <w:rPr>
          <w:rFonts w:cs="Arial"/>
          <w:b/>
          <w:sz w:val="28"/>
          <w:szCs w:val="28"/>
          <w:lang w:val="fr-FR"/>
        </w:rPr>
        <w:t xml:space="preserve"> précédentes</w:t>
      </w:r>
    </w:p>
    <w:bookmarkEnd w:id="0"/>
    <w:p w14:paraId="7B473B71" w14:textId="77777777" w:rsidR="00DF2386" w:rsidRPr="0026683A" w:rsidRDefault="00DF2386" w:rsidP="00E815B8">
      <w:pPr>
        <w:rPr>
          <w:rFonts w:ascii="Garamond" w:hAnsi="Garamond" w:cs="Arial"/>
          <w:lang w:val="fr-FR"/>
        </w:rPr>
      </w:pPr>
    </w:p>
    <w:p w14:paraId="76C04D17" w14:textId="77777777" w:rsidR="000C2489" w:rsidRPr="00425EF4" w:rsidRDefault="002B0F2D" w:rsidP="00E815B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0B6DDBB3" wp14:editId="67F4A132">
                <wp:extent cx="5731510" cy="812132"/>
                <wp:effectExtent l="0" t="0" r="889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12132"/>
                        </a:xfrm>
                        <a:prstGeom prst="rect">
                          <a:avLst/>
                        </a:prstGeom>
                        <a:solidFill>
                          <a:srgbClr val="FFFFFF"/>
                        </a:solidFill>
                        <a:ln w="9525">
                          <a:solidFill>
                            <a:srgbClr val="000000"/>
                          </a:solidFill>
                          <a:miter lim="800000"/>
                          <a:headEnd/>
                          <a:tailEnd/>
                        </a:ln>
                      </wps:spPr>
                      <wps:txbx>
                        <w:txbxContent>
                          <w:p w14:paraId="69153B08" w14:textId="755D0D61" w:rsidR="004F73D2" w:rsidRPr="00866BDD" w:rsidRDefault="0026683A" w:rsidP="006462AD">
                            <w:pPr>
                              <w:rPr>
                                <w:b/>
                                <w:bCs/>
                                <w:lang w:val="fr-FR"/>
                              </w:rPr>
                            </w:pPr>
                            <w:r w:rsidRPr="00866BDD">
                              <w:rPr>
                                <w:b/>
                                <w:bCs/>
                                <w:lang w:val="fr-FR"/>
                              </w:rPr>
                              <w:t xml:space="preserve">Mesure requise </w:t>
                            </w:r>
                            <w:r w:rsidR="004F73D2" w:rsidRPr="00866BDD">
                              <w:rPr>
                                <w:b/>
                                <w:bCs/>
                                <w:lang w:val="fr-FR"/>
                              </w:rPr>
                              <w:t>:</w:t>
                            </w:r>
                          </w:p>
                          <w:p w14:paraId="6E8683C3" w14:textId="77777777" w:rsidR="004F73D2" w:rsidRPr="001C2C76" w:rsidRDefault="004F73D2" w:rsidP="006462AD">
                            <w:pPr>
                              <w:pStyle w:val="ColorfulList-Accent11"/>
                              <w:ind w:left="0"/>
                              <w:rPr>
                                <w:lang w:val="fr-FR"/>
                              </w:rPr>
                            </w:pPr>
                          </w:p>
                          <w:p w14:paraId="36700245" w14:textId="54E52B44" w:rsidR="004F73D2" w:rsidRPr="0026683A" w:rsidRDefault="0026683A" w:rsidP="00427324">
                            <w:pPr>
                              <w:pStyle w:val="ColorfulList-Accent11"/>
                              <w:ind w:left="0" w:firstLine="0"/>
                              <w:rPr>
                                <w:lang w:val="fr-FR"/>
                              </w:rPr>
                            </w:pPr>
                            <w:r w:rsidRPr="0026683A">
                              <w:rPr>
                                <w:lang w:val="fr-FR"/>
                              </w:rPr>
                              <w:t xml:space="preserve">Le </w:t>
                            </w:r>
                            <w:r w:rsidRPr="0026683A">
                              <w:rPr>
                                <w:bCs/>
                                <w:sz w:val="24"/>
                                <w:szCs w:val="24"/>
                                <w:lang w:val="fr-FR"/>
                              </w:rPr>
                              <w:t>Comité p</w:t>
                            </w:r>
                            <w:r>
                              <w:rPr>
                                <w:bCs/>
                                <w:sz w:val="24"/>
                                <w:szCs w:val="24"/>
                                <w:lang w:val="fr-FR"/>
                              </w:rPr>
                              <w:t>ermanent</w:t>
                            </w:r>
                            <w:r w:rsidRPr="0026683A">
                              <w:rPr>
                                <w:lang w:val="fr-FR"/>
                              </w:rPr>
                              <w:t xml:space="preserve"> est</w:t>
                            </w:r>
                            <w:r w:rsidR="004F73D2" w:rsidRPr="0026683A">
                              <w:rPr>
                                <w:lang w:val="fr-FR"/>
                              </w:rPr>
                              <w:t xml:space="preserve"> </w:t>
                            </w:r>
                            <w:r w:rsidR="004F73D2" w:rsidRPr="0026683A">
                              <w:rPr>
                                <w:rFonts w:cs="Calibri"/>
                                <w:lang w:val="fr-FR"/>
                              </w:rPr>
                              <w:t>invit</w:t>
                            </w:r>
                            <w:r>
                              <w:rPr>
                                <w:rFonts w:cs="Calibri"/>
                                <w:lang w:val="fr-FR"/>
                              </w:rPr>
                              <w:t>é</w:t>
                            </w:r>
                            <w:r w:rsidR="004F73D2" w:rsidRPr="0026683A">
                              <w:rPr>
                                <w:rFonts w:cs="Calibri"/>
                                <w:lang w:val="fr-FR"/>
                              </w:rPr>
                              <w:t xml:space="preserve"> </w:t>
                            </w:r>
                            <w:r>
                              <w:rPr>
                                <w:rFonts w:cs="Calibri"/>
                                <w:lang w:val="fr-FR"/>
                              </w:rPr>
                              <w:t>à prendre note du</w:t>
                            </w:r>
                            <w:r w:rsidR="00427324" w:rsidRPr="0026683A">
                              <w:rPr>
                                <w:rFonts w:cs="Calibri"/>
                                <w:lang w:val="fr-FR"/>
                              </w:rPr>
                              <w:t xml:space="preserve"> </w:t>
                            </w:r>
                            <w:r w:rsidRPr="0026683A">
                              <w:rPr>
                                <w:rFonts w:cs="Calibri"/>
                                <w:lang w:val="fr-FR"/>
                              </w:rPr>
                              <w:t>présent</w:t>
                            </w:r>
                            <w:r w:rsidR="00427324" w:rsidRPr="0026683A">
                              <w:rPr>
                                <w:rFonts w:cs="Calibri"/>
                                <w:lang w:val="fr-FR"/>
                              </w:rPr>
                              <w:t xml:space="preserve"> document.</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6DDBB3" id="_x0000_t202" coordsize="21600,21600" o:spt="202" path="m,l,21600r21600,l21600,xe">
                <v:stroke joinstyle="miter"/>
                <v:path gradientshapeok="t" o:connecttype="rect"/>
              </v:shapetype>
              <v:shape id="Text Box 1" o:spid="_x0000_s1026" type="#_x0000_t202" style="width:451.3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">
                <v:textbox>
                  <w:txbxContent>
                    <w:p w14:paraId="69153B08" w14:textId="755D0D61" w:rsidR="004F73D2" w:rsidRPr="00866BDD" w:rsidRDefault="0026683A" w:rsidP="006462AD">
                      <w:pPr>
                        <w:rPr>
                          <w:b/>
                          <w:bCs/>
                          <w:lang w:val="fr-FR"/>
                        </w:rPr>
                      </w:pPr>
                      <w:r w:rsidRPr="00866BDD">
                        <w:rPr>
                          <w:b/>
                          <w:bCs/>
                          <w:lang w:val="fr-FR"/>
                        </w:rPr>
                        <w:t xml:space="preserve">Mesure requise </w:t>
                      </w:r>
                      <w:r w:rsidR="004F73D2" w:rsidRPr="00866BDD">
                        <w:rPr>
                          <w:b/>
                          <w:bCs/>
                          <w:lang w:val="fr-FR"/>
                        </w:rPr>
                        <w:t>:</w:t>
                      </w:r>
                    </w:p>
                    <w:p w14:paraId="6E8683C3" w14:textId="77777777" w:rsidR="004F73D2" w:rsidRPr="001C2C76" w:rsidRDefault="004F73D2" w:rsidP="006462AD">
                      <w:pPr>
                        <w:pStyle w:val="ColorfulList-Accent11"/>
                        <w:ind w:left="0"/>
                        <w:rPr>
                          <w:lang w:val="fr-FR"/>
                        </w:rPr>
                      </w:pPr>
                    </w:p>
                    <w:p w14:paraId="36700245" w14:textId="54E52B44" w:rsidR="004F73D2" w:rsidRPr="0026683A" w:rsidRDefault="0026683A" w:rsidP="00427324">
                      <w:pPr>
                        <w:pStyle w:val="ColorfulList-Accent11"/>
                        <w:ind w:left="0" w:firstLine="0"/>
                        <w:rPr>
                          <w:lang w:val="fr-FR"/>
                        </w:rPr>
                      </w:pPr>
                      <w:r w:rsidRPr="0026683A">
                        <w:rPr>
                          <w:lang w:val="fr-FR"/>
                        </w:rPr>
                        <w:t xml:space="preserve">Le </w:t>
                      </w:r>
                      <w:r w:rsidRPr="0026683A">
                        <w:rPr>
                          <w:bCs/>
                          <w:sz w:val="24"/>
                          <w:szCs w:val="24"/>
                          <w:lang w:val="fr-FR"/>
                        </w:rPr>
                        <w:t>Comité p</w:t>
                      </w:r>
                      <w:r>
                        <w:rPr>
                          <w:bCs/>
                          <w:sz w:val="24"/>
                          <w:szCs w:val="24"/>
                          <w:lang w:val="fr-FR"/>
                        </w:rPr>
                        <w:t>ermanent</w:t>
                      </w:r>
                      <w:r w:rsidRPr="0026683A">
                        <w:rPr>
                          <w:lang w:val="fr-FR"/>
                        </w:rPr>
                        <w:t xml:space="preserve"> est</w:t>
                      </w:r>
                      <w:r w:rsidR="004F73D2" w:rsidRPr="0026683A">
                        <w:rPr>
                          <w:lang w:val="fr-FR"/>
                        </w:rPr>
                        <w:t xml:space="preserve"> </w:t>
                      </w:r>
                      <w:r w:rsidR="004F73D2" w:rsidRPr="0026683A">
                        <w:rPr>
                          <w:rFonts w:cs="Calibri"/>
                          <w:lang w:val="fr-FR"/>
                        </w:rPr>
                        <w:t>invit</w:t>
                      </w:r>
                      <w:r>
                        <w:rPr>
                          <w:rFonts w:cs="Calibri"/>
                          <w:lang w:val="fr-FR"/>
                        </w:rPr>
                        <w:t>é</w:t>
                      </w:r>
                      <w:r w:rsidR="004F73D2" w:rsidRPr="0026683A">
                        <w:rPr>
                          <w:rFonts w:cs="Calibri"/>
                          <w:lang w:val="fr-FR"/>
                        </w:rPr>
                        <w:t xml:space="preserve"> </w:t>
                      </w:r>
                      <w:r>
                        <w:rPr>
                          <w:rFonts w:cs="Calibri"/>
                          <w:lang w:val="fr-FR"/>
                        </w:rPr>
                        <w:t>à prendre note du</w:t>
                      </w:r>
                      <w:r w:rsidR="00427324" w:rsidRPr="0026683A">
                        <w:rPr>
                          <w:rFonts w:cs="Calibri"/>
                          <w:lang w:val="fr-FR"/>
                        </w:rPr>
                        <w:t xml:space="preserve"> </w:t>
                      </w:r>
                      <w:r w:rsidRPr="0026683A">
                        <w:rPr>
                          <w:rFonts w:cs="Calibri"/>
                          <w:lang w:val="fr-FR"/>
                        </w:rPr>
                        <w:t>présent</w:t>
                      </w:r>
                      <w:r w:rsidR="00427324" w:rsidRPr="0026683A">
                        <w:rPr>
                          <w:rFonts w:cs="Calibri"/>
                          <w:lang w:val="fr-FR"/>
                        </w:rPr>
                        <w:t xml:space="preserve"> document.</w:t>
                      </w:r>
                    </w:p>
                  </w:txbxContent>
                </v:textbox>
                <w10:anchorlock/>
              </v:shape>
            </w:pict>
          </mc:Fallback>
        </mc:AlternateContent>
      </w:r>
    </w:p>
    <w:p w14:paraId="4A5A730D" w14:textId="77777777" w:rsidR="000C2489" w:rsidRPr="00425EF4" w:rsidRDefault="000C2489" w:rsidP="00E815B8">
      <w:pPr>
        <w:ind w:left="0" w:firstLine="0"/>
        <w:rPr>
          <w:rFonts w:cs="Arial"/>
          <w:b/>
        </w:rPr>
      </w:pPr>
    </w:p>
    <w:p w14:paraId="0AFC91C4" w14:textId="77777777" w:rsidR="007D3ED8" w:rsidRDefault="007D3ED8" w:rsidP="00E815B8">
      <w:pPr>
        <w:rPr>
          <w:rFonts w:cs="Arial"/>
          <w:b/>
        </w:rPr>
      </w:pPr>
    </w:p>
    <w:p w14:paraId="1670D017" w14:textId="1AC5D4D4" w:rsidR="007D3ED8" w:rsidRPr="001C2C76" w:rsidRDefault="005C36BD" w:rsidP="00E815B8">
      <w:pPr>
        <w:ind w:left="0" w:firstLine="0"/>
        <w:rPr>
          <w:rFonts w:cs="Arial"/>
          <w:b/>
          <w:lang w:val="fr-FR"/>
        </w:rPr>
      </w:pPr>
      <w:r w:rsidRPr="001C2C76">
        <w:rPr>
          <w:rFonts w:cs="Arial"/>
          <w:b/>
          <w:lang w:val="fr-FR"/>
        </w:rPr>
        <w:t>Introduction</w:t>
      </w:r>
    </w:p>
    <w:p w14:paraId="00EBCB91" w14:textId="77777777" w:rsidR="00E90337" w:rsidRPr="001C2C76" w:rsidRDefault="00E90337" w:rsidP="00E815B8">
      <w:pPr>
        <w:rPr>
          <w:rFonts w:cs="Arial"/>
          <w:b/>
          <w:lang w:val="fr-FR"/>
        </w:rPr>
      </w:pPr>
    </w:p>
    <w:p w14:paraId="70ED188B" w14:textId="02C3B1DD" w:rsidR="00394567" w:rsidRPr="0026683A" w:rsidRDefault="00E90337" w:rsidP="0021729B">
      <w:pPr>
        <w:rPr>
          <w:rFonts w:cstheme="minorHAnsi"/>
          <w:lang w:val="fr-FR"/>
        </w:rPr>
      </w:pPr>
      <w:r w:rsidRPr="0026683A">
        <w:rPr>
          <w:rFonts w:cstheme="minorHAnsi"/>
          <w:lang w:val="fr-FR"/>
        </w:rPr>
        <w:t>1.</w:t>
      </w:r>
      <w:r w:rsidRPr="0026683A">
        <w:rPr>
          <w:rFonts w:cstheme="minorHAnsi"/>
          <w:lang w:val="fr-FR"/>
        </w:rPr>
        <w:tab/>
      </w:r>
      <w:r w:rsidR="0026683A" w:rsidRPr="0026683A">
        <w:rPr>
          <w:rFonts w:cstheme="minorHAnsi"/>
          <w:lang w:val="fr-FR"/>
        </w:rPr>
        <w:t>À sa 13</w:t>
      </w:r>
      <w:r w:rsidR="0026683A" w:rsidRPr="0026683A">
        <w:rPr>
          <w:rFonts w:cstheme="minorHAnsi"/>
          <w:vertAlign w:val="superscript"/>
          <w:lang w:val="fr-FR"/>
        </w:rPr>
        <w:t>e</w:t>
      </w:r>
      <w:r w:rsidR="0026683A" w:rsidRPr="0026683A">
        <w:rPr>
          <w:rFonts w:cstheme="minorHAnsi"/>
          <w:lang w:val="fr-FR"/>
        </w:rPr>
        <w:t xml:space="preserve"> Session</w:t>
      </w:r>
      <w:r w:rsidR="00394567" w:rsidRPr="0026683A">
        <w:rPr>
          <w:rFonts w:cstheme="minorHAnsi"/>
          <w:lang w:val="fr-FR"/>
        </w:rPr>
        <w:t xml:space="preserve"> (</w:t>
      </w:r>
      <w:r w:rsidR="0030773C" w:rsidRPr="0026683A">
        <w:rPr>
          <w:rFonts w:cstheme="minorHAnsi"/>
          <w:lang w:val="fr-FR"/>
        </w:rPr>
        <w:t xml:space="preserve">COP13, </w:t>
      </w:r>
      <w:r w:rsidR="00394567" w:rsidRPr="0026683A">
        <w:rPr>
          <w:rFonts w:cstheme="minorHAnsi"/>
          <w:lang w:val="fr-FR"/>
        </w:rPr>
        <w:t>Duba</w:t>
      </w:r>
      <w:r w:rsidR="0026683A" w:rsidRPr="0026683A">
        <w:rPr>
          <w:rFonts w:cstheme="minorHAnsi"/>
          <w:lang w:val="fr-FR"/>
        </w:rPr>
        <w:t>ï</w:t>
      </w:r>
      <w:r w:rsidR="00394567" w:rsidRPr="0026683A">
        <w:rPr>
          <w:rFonts w:cstheme="minorHAnsi"/>
          <w:lang w:val="fr-FR"/>
        </w:rPr>
        <w:t xml:space="preserve">, 2018), </w:t>
      </w:r>
      <w:r w:rsidR="0026683A" w:rsidRPr="0026683A">
        <w:rPr>
          <w:rFonts w:cstheme="minorHAnsi"/>
          <w:lang w:val="fr-FR"/>
        </w:rPr>
        <w:t>la</w:t>
      </w:r>
      <w:r w:rsidR="00394567" w:rsidRPr="0026683A">
        <w:rPr>
          <w:rFonts w:cstheme="minorHAnsi"/>
          <w:lang w:val="fr-FR"/>
        </w:rPr>
        <w:t xml:space="preserve"> Conf</w:t>
      </w:r>
      <w:r w:rsidR="0026683A" w:rsidRPr="0026683A">
        <w:rPr>
          <w:rFonts w:cstheme="minorHAnsi"/>
          <w:lang w:val="fr-FR"/>
        </w:rPr>
        <w:t>é</w:t>
      </w:r>
      <w:r w:rsidR="00394567" w:rsidRPr="0026683A">
        <w:rPr>
          <w:rFonts w:cstheme="minorHAnsi"/>
          <w:lang w:val="fr-FR"/>
        </w:rPr>
        <w:t xml:space="preserve">rence </w:t>
      </w:r>
      <w:r w:rsidR="0026683A" w:rsidRPr="0026683A">
        <w:rPr>
          <w:rFonts w:cstheme="minorHAnsi"/>
          <w:lang w:val="fr-FR"/>
        </w:rPr>
        <w:t>des</w:t>
      </w:r>
      <w:r w:rsidR="007F2AD0" w:rsidRPr="0026683A">
        <w:rPr>
          <w:rFonts w:cstheme="minorHAnsi"/>
          <w:lang w:val="fr-FR"/>
        </w:rPr>
        <w:t xml:space="preserve"> </w:t>
      </w:r>
      <w:r w:rsidR="00394567" w:rsidRPr="0026683A">
        <w:rPr>
          <w:rFonts w:cstheme="minorHAnsi"/>
          <w:lang w:val="fr-FR"/>
        </w:rPr>
        <w:t xml:space="preserve">Parties </w:t>
      </w:r>
      <w:r w:rsidR="0026683A" w:rsidRPr="0026683A">
        <w:rPr>
          <w:rFonts w:cstheme="minorHAnsi"/>
          <w:lang w:val="fr-FR"/>
        </w:rPr>
        <w:t xml:space="preserve">contractantes a </w:t>
      </w:r>
      <w:r w:rsidR="00394567" w:rsidRPr="0026683A">
        <w:rPr>
          <w:rFonts w:cstheme="minorHAnsi"/>
          <w:lang w:val="fr-FR"/>
        </w:rPr>
        <w:t>adopt</w:t>
      </w:r>
      <w:r w:rsidR="0026683A" w:rsidRPr="0026683A">
        <w:rPr>
          <w:rFonts w:cstheme="minorHAnsi"/>
          <w:lang w:val="fr-FR"/>
        </w:rPr>
        <w:t>é</w:t>
      </w:r>
      <w:r w:rsidR="00394567" w:rsidRPr="0026683A">
        <w:rPr>
          <w:rFonts w:cstheme="minorHAnsi"/>
          <w:lang w:val="fr-FR"/>
        </w:rPr>
        <w:t xml:space="preserve"> </w:t>
      </w:r>
      <w:r w:rsidR="0026683A" w:rsidRPr="0026683A">
        <w:rPr>
          <w:rFonts w:cstheme="minorHAnsi"/>
          <w:lang w:val="fr-FR"/>
        </w:rPr>
        <w:t>la Ré</w:t>
      </w:r>
      <w:r w:rsidR="00394567" w:rsidRPr="0026683A">
        <w:rPr>
          <w:rFonts w:cstheme="minorHAnsi"/>
          <w:lang w:val="fr-FR"/>
        </w:rPr>
        <w:t>solution</w:t>
      </w:r>
      <w:r w:rsidR="007F2AD0" w:rsidRPr="0026683A">
        <w:rPr>
          <w:rFonts w:cstheme="minorHAnsi"/>
          <w:lang w:val="fr-FR"/>
        </w:rPr>
        <w:t> </w:t>
      </w:r>
      <w:r w:rsidR="00394567" w:rsidRPr="0026683A">
        <w:rPr>
          <w:rFonts w:cstheme="minorHAnsi"/>
          <w:lang w:val="fr-FR"/>
        </w:rPr>
        <w:t>XIII.4</w:t>
      </w:r>
      <w:r w:rsidR="0026683A" w:rsidRPr="0026683A">
        <w:rPr>
          <w:rFonts w:cstheme="minorHAnsi"/>
          <w:lang w:val="fr-FR"/>
        </w:rPr>
        <w:t>,</w:t>
      </w:r>
      <w:r w:rsidR="00394567" w:rsidRPr="0026683A">
        <w:rPr>
          <w:rFonts w:cstheme="minorHAnsi"/>
          <w:lang w:val="fr-FR"/>
        </w:rPr>
        <w:t xml:space="preserve"> </w:t>
      </w:r>
      <w:r w:rsidR="00394567" w:rsidRPr="0026683A">
        <w:rPr>
          <w:rFonts w:cstheme="minorHAnsi"/>
          <w:i/>
          <w:lang w:val="fr-FR"/>
        </w:rPr>
        <w:t>Respons</w:t>
      </w:r>
      <w:r w:rsidR="0026683A" w:rsidRPr="0026683A">
        <w:rPr>
          <w:rFonts w:cstheme="minorHAnsi"/>
          <w:i/>
          <w:lang w:val="fr-FR"/>
        </w:rPr>
        <w:t>abilités</w:t>
      </w:r>
      <w:r w:rsidR="00394567" w:rsidRPr="0026683A">
        <w:rPr>
          <w:rFonts w:cstheme="minorHAnsi"/>
          <w:i/>
          <w:lang w:val="fr-FR"/>
        </w:rPr>
        <w:t>, r</w:t>
      </w:r>
      <w:r w:rsidR="0026683A" w:rsidRPr="0026683A">
        <w:rPr>
          <w:rFonts w:cstheme="minorHAnsi"/>
          <w:i/>
          <w:lang w:val="fr-FR"/>
        </w:rPr>
        <w:t>ôles et</w:t>
      </w:r>
      <w:r w:rsidR="00394567" w:rsidRPr="0026683A">
        <w:rPr>
          <w:rFonts w:cstheme="minorHAnsi"/>
          <w:i/>
          <w:lang w:val="fr-FR"/>
        </w:rPr>
        <w:t xml:space="preserve"> composition </w:t>
      </w:r>
      <w:r w:rsidR="0026683A" w:rsidRPr="0026683A">
        <w:rPr>
          <w:rFonts w:cstheme="minorHAnsi"/>
          <w:i/>
          <w:lang w:val="fr-FR"/>
        </w:rPr>
        <w:t>du Comité permanent et</w:t>
      </w:r>
      <w:r w:rsidR="00394567" w:rsidRPr="0026683A">
        <w:rPr>
          <w:rFonts w:cstheme="minorHAnsi"/>
          <w:i/>
          <w:lang w:val="fr-FR"/>
        </w:rPr>
        <w:t xml:space="preserve"> </w:t>
      </w:r>
      <w:r w:rsidR="0021729B" w:rsidRPr="0021729B">
        <w:rPr>
          <w:rFonts w:cstheme="minorHAnsi"/>
          <w:i/>
          <w:lang w:val="fr-FR"/>
        </w:rPr>
        <w:t>répartition régionale des pays dans le cadre de la Convention de Ramsar</w:t>
      </w:r>
      <w:r w:rsidR="00394567" w:rsidRPr="0026683A">
        <w:rPr>
          <w:rFonts w:cstheme="minorHAnsi"/>
          <w:lang w:val="fr-FR"/>
        </w:rPr>
        <w:t xml:space="preserve"> </w:t>
      </w:r>
      <w:r w:rsidR="0021729B">
        <w:rPr>
          <w:rFonts w:cstheme="minorHAnsi"/>
          <w:lang w:val="fr-FR"/>
        </w:rPr>
        <w:t>qui, aux</w:t>
      </w:r>
      <w:r w:rsidR="00394567" w:rsidRPr="0026683A">
        <w:rPr>
          <w:rFonts w:cstheme="minorHAnsi"/>
          <w:lang w:val="fr-FR"/>
        </w:rPr>
        <w:t xml:space="preserve"> paragraph</w:t>
      </w:r>
      <w:r w:rsidR="0021729B">
        <w:rPr>
          <w:rFonts w:cstheme="minorHAnsi"/>
          <w:lang w:val="fr-FR"/>
        </w:rPr>
        <w:t>e</w:t>
      </w:r>
      <w:r w:rsidR="00394567" w:rsidRPr="0026683A">
        <w:rPr>
          <w:rFonts w:cstheme="minorHAnsi"/>
          <w:lang w:val="fr-FR"/>
        </w:rPr>
        <w:t xml:space="preserve">s 24 </w:t>
      </w:r>
      <w:r w:rsidR="0021729B">
        <w:rPr>
          <w:rFonts w:cstheme="minorHAnsi"/>
          <w:lang w:val="fr-FR"/>
        </w:rPr>
        <w:t>et</w:t>
      </w:r>
      <w:r w:rsidR="00394567" w:rsidRPr="0026683A">
        <w:rPr>
          <w:rFonts w:cstheme="minorHAnsi"/>
          <w:lang w:val="fr-FR"/>
        </w:rPr>
        <w:t> 25</w:t>
      </w:r>
      <w:r w:rsidR="0021729B">
        <w:rPr>
          <w:rFonts w:cstheme="minorHAnsi"/>
          <w:lang w:val="fr-FR"/>
        </w:rPr>
        <w:t xml:space="preserve"> </w:t>
      </w:r>
      <w:r w:rsidR="00394567" w:rsidRPr="0026683A">
        <w:rPr>
          <w:rFonts w:cstheme="minorHAnsi"/>
          <w:lang w:val="fr-FR"/>
        </w:rPr>
        <w:t>:</w:t>
      </w:r>
      <w:r w:rsidR="004E2714" w:rsidRPr="0026683A">
        <w:rPr>
          <w:rFonts w:cstheme="minorHAnsi"/>
          <w:lang w:val="fr-FR"/>
        </w:rPr>
        <w:t xml:space="preserve"> </w:t>
      </w:r>
    </w:p>
    <w:p w14:paraId="52D38668" w14:textId="77777777" w:rsidR="002D7731" w:rsidRPr="0026683A" w:rsidRDefault="002D7731" w:rsidP="004E2714">
      <w:pPr>
        <w:rPr>
          <w:rFonts w:cstheme="minorHAnsi"/>
          <w:lang w:val="fr-FR"/>
        </w:rPr>
      </w:pPr>
    </w:p>
    <w:p w14:paraId="17D8172E" w14:textId="71CA7B74" w:rsidR="00EE20EF" w:rsidRPr="000F2E43" w:rsidRDefault="00394567" w:rsidP="00526950">
      <w:pPr>
        <w:ind w:left="850"/>
        <w:rPr>
          <w:i/>
          <w:snapToGrid w:val="0"/>
          <w:kern w:val="22"/>
          <w:lang w:val="fr-FR"/>
        </w:rPr>
      </w:pPr>
      <w:r w:rsidRPr="000F2E43">
        <w:rPr>
          <w:i/>
          <w:snapToGrid w:val="0"/>
          <w:kern w:val="22"/>
          <w:lang w:val="fr-FR"/>
        </w:rPr>
        <w:t>24.</w:t>
      </w:r>
      <w:r w:rsidR="001C0D1A" w:rsidRPr="000F2E43">
        <w:rPr>
          <w:i/>
          <w:snapToGrid w:val="0"/>
          <w:kern w:val="22"/>
          <w:lang w:val="fr-FR"/>
        </w:rPr>
        <w:tab/>
      </w:r>
      <w:r w:rsidR="0021729B" w:rsidRPr="0021729B">
        <w:rPr>
          <w:rFonts w:asciiTheme="minorHAnsi" w:hAnsiTheme="minorHAnsi"/>
          <w:i/>
          <w:snapToGrid w:val="0"/>
          <w:kern w:val="22"/>
          <w:lang w:val="fr-FR"/>
        </w:rPr>
        <w:t>CHARGE le Secrétariat</w:t>
      </w:r>
      <w:r w:rsidR="0021729B">
        <w:rPr>
          <w:rFonts w:asciiTheme="minorHAnsi" w:hAnsiTheme="minorHAnsi"/>
          <w:i/>
          <w:snapToGrid w:val="0"/>
          <w:kern w:val="22"/>
          <w:lang w:val="fr-FR"/>
        </w:rPr>
        <w:t xml:space="preserve"> </w:t>
      </w:r>
      <w:r w:rsidRPr="000F2E43">
        <w:rPr>
          <w:i/>
          <w:snapToGrid w:val="0"/>
          <w:kern w:val="22"/>
          <w:lang w:val="fr-FR"/>
        </w:rPr>
        <w:t>:</w:t>
      </w:r>
    </w:p>
    <w:p w14:paraId="57FDF98E" w14:textId="77777777" w:rsidR="00E815B8" w:rsidRPr="000F2E43" w:rsidRDefault="00E815B8" w:rsidP="00526950">
      <w:pPr>
        <w:ind w:firstLine="0"/>
        <w:rPr>
          <w:i/>
          <w:snapToGrid w:val="0"/>
          <w:kern w:val="22"/>
          <w:lang w:val="fr-FR"/>
        </w:rPr>
      </w:pPr>
    </w:p>
    <w:p w14:paraId="77422785" w14:textId="77777777" w:rsidR="000F2E43" w:rsidRPr="00A55096" w:rsidRDefault="000F2E43" w:rsidP="000F2E43">
      <w:pPr>
        <w:ind w:left="709" w:hanging="283"/>
        <w:rPr>
          <w:rFonts w:asciiTheme="minorHAnsi" w:hAnsiTheme="minorHAnsi" w:cstheme="minorHAnsi"/>
          <w:bCs/>
          <w:i/>
          <w:iCs/>
          <w:lang w:val="fr-CA"/>
        </w:rPr>
      </w:pPr>
      <w:r w:rsidRPr="00A55096">
        <w:rPr>
          <w:rFonts w:asciiTheme="minorHAnsi" w:hAnsiTheme="minorHAnsi" w:cstheme="minorHAnsi"/>
          <w:i/>
          <w:iCs/>
          <w:lang w:val="fr-CA"/>
        </w:rPr>
        <w:t>a)</w:t>
      </w:r>
      <w:r w:rsidRPr="00A55096">
        <w:rPr>
          <w:rFonts w:asciiTheme="minorHAnsi" w:hAnsiTheme="minorHAnsi" w:cstheme="minorHAnsi"/>
          <w:i/>
          <w:iCs/>
          <w:lang w:val="fr-CA"/>
        </w:rPr>
        <w:tab/>
        <w:t>d’examiner toutes les résolutions et décisions précédentes en identifiant celles ou, le cas échéant, les parties de celles qui ne sont peut</w:t>
      </w:r>
      <w:r w:rsidRPr="00A55096">
        <w:rPr>
          <w:rFonts w:asciiTheme="minorHAnsi" w:hAnsiTheme="minorHAnsi" w:cstheme="minorHAnsi"/>
          <w:i/>
          <w:iCs/>
          <w:lang w:val="fr-CA"/>
        </w:rPr>
        <w:noBreakHyphen/>
        <w:t>être plus valables ou applicables, qui se contredisent ou sont incohérentes avec les pratiques actuelles de Ramsar et de faire rapport sur ses conclusions à la 57</w:t>
      </w:r>
      <w:r w:rsidRPr="00A55096">
        <w:rPr>
          <w:rFonts w:asciiTheme="minorHAnsi" w:hAnsiTheme="minorHAnsi" w:cstheme="minorHAnsi"/>
          <w:i/>
          <w:iCs/>
          <w:vertAlign w:val="superscript"/>
          <w:lang w:val="fr-CA"/>
        </w:rPr>
        <w:t>e</w:t>
      </w:r>
      <w:r w:rsidRPr="00A55096">
        <w:rPr>
          <w:rFonts w:asciiTheme="minorHAnsi" w:hAnsiTheme="minorHAnsi" w:cstheme="minorHAnsi"/>
          <w:i/>
          <w:iCs/>
          <w:lang w:val="fr-CA"/>
        </w:rPr>
        <w:t> Réunion du Comité permanent, avec notamment des informations sur la manière dont le Secrétariat est parvenu à ces conclusions (par exemple, entre autres, que l’activité est terminée, remplacée, contradictoire ou intégrée ailleurs); et</w:t>
      </w:r>
    </w:p>
    <w:p w14:paraId="3FF323A2" w14:textId="77777777" w:rsidR="000F2E43" w:rsidRPr="00A55096" w:rsidRDefault="000F2E43" w:rsidP="000F2E43">
      <w:pPr>
        <w:ind w:left="850"/>
        <w:rPr>
          <w:rFonts w:asciiTheme="minorHAnsi" w:hAnsiTheme="minorHAnsi" w:cstheme="minorHAnsi"/>
          <w:bCs/>
          <w:i/>
          <w:iCs/>
          <w:lang w:val="fr-CA"/>
        </w:rPr>
      </w:pPr>
    </w:p>
    <w:p w14:paraId="6DAAE3AD" w14:textId="77777777" w:rsidR="000F2E43" w:rsidRPr="00A55096" w:rsidRDefault="000F2E43" w:rsidP="000F2E43">
      <w:pPr>
        <w:ind w:left="709" w:hanging="283"/>
        <w:rPr>
          <w:rFonts w:asciiTheme="minorHAnsi" w:hAnsiTheme="minorHAnsi" w:cstheme="minorHAnsi"/>
          <w:i/>
          <w:iCs/>
          <w:lang w:val="fr-CA"/>
        </w:rPr>
      </w:pPr>
      <w:r w:rsidRPr="00A55096">
        <w:rPr>
          <w:rFonts w:asciiTheme="minorHAnsi" w:hAnsiTheme="minorHAnsi" w:cstheme="minorHAnsi"/>
          <w:bCs/>
          <w:i/>
          <w:iCs/>
          <w:lang w:val="fr-CA"/>
        </w:rPr>
        <w:t>b)</w:t>
      </w:r>
      <w:r w:rsidRPr="00A55096">
        <w:rPr>
          <w:rFonts w:asciiTheme="minorHAnsi" w:hAnsiTheme="minorHAnsi" w:cstheme="minorHAnsi"/>
          <w:bCs/>
          <w:i/>
          <w:iCs/>
          <w:lang w:val="fr-CA"/>
        </w:rPr>
        <w:tab/>
      </w:r>
      <w:r w:rsidRPr="00A55096">
        <w:rPr>
          <w:rFonts w:asciiTheme="minorHAnsi" w:hAnsiTheme="minorHAnsi" w:cstheme="minorHAnsi"/>
          <w:i/>
          <w:iCs/>
          <w:lang w:val="fr-CA"/>
        </w:rPr>
        <w:t>de préparer, d’après ses conclusions et les commentaires des Parties à son rapport à la 57</w:t>
      </w:r>
      <w:r w:rsidRPr="00A55096">
        <w:rPr>
          <w:rFonts w:asciiTheme="minorHAnsi" w:hAnsiTheme="minorHAnsi" w:cstheme="minorHAnsi"/>
          <w:i/>
          <w:iCs/>
          <w:vertAlign w:val="superscript"/>
          <w:lang w:val="fr-CA"/>
        </w:rPr>
        <w:t>e</w:t>
      </w:r>
      <w:r w:rsidRPr="00A55096">
        <w:rPr>
          <w:rFonts w:asciiTheme="minorHAnsi" w:hAnsiTheme="minorHAnsi" w:cstheme="minorHAnsi"/>
          <w:i/>
          <w:iCs/>
          <w:lang w:val="fr-CA"/>
        </w:rPr>
        <w:t> Réunion du Comité permanent, des recommandations aux Parties à la 58</w:t>
      </w:r>
      <w:r w:rsidRPr="00A55096">
        <w:rPr>
          <w:rFonts w:asciiTheme="minorHAnsi" w:hAnsiTheme="minorHAnsi" w:cstheme="minorHAnsi"/>
          <w:i/>
          <w:iCs/>
          <w:vertAlign w:val="superscript"/>
          <w:lang w:val="fr-CA"/>
        </w:rPr>
        <w:t>e</w:t>
      </w:r>
      <w:r w:rsidRPr="00A55096">
        <w:rPr>
          <w:rFonts w:asciiTheme="minorHAnsi" w:hAnsiTheme="minorHAnsi" w:cstheme="minorHAnsi"/>
          <w:i/>
          <w:iCs/>
          <w:lang w:val="fr-CA"/>
        </w:rPr>
        <w:t xml:space="preserve"> Réunion du Comité permanent en vue d’envisager un processus pour : abroger les résolutions et décisions obsolètes; établir une procédure automatique d’abrogation des résolutions et décisions obsolètes ou contradictoires lorsqu’elles sont remplacées par de nouveaux textes; et préparer une liste regroupée de résolutions et décisions à mettre à jour après chaque session de la Conférence des Parties contractantes ainsi que, selon les besoins, après les réunions du Comité permanent. </w:t>
      </w:r>
    </w:p>
    <w:p w14:paraId="54E7AB40" w14:textId="77777777" w:rsidR="00E815B8" w:rsidRPr="000F2E43" w:rsidRDefault="00E815B8" w:rsidP="00526950">
      <w:pPr>
        <w:ind w:left="1117" w:hanging="397"/>
        <w:rPr>
          <w:i/>
          <w:lang w:val="fr-CA"/>
        </w:rPr>
      </w:pPr>
    </w:p>
    <w:p w14:paraId="0F0A9511" w14:textId="072427FC" w:rsidR="00FB5740" w:rsidRDefault="00394567" w:rsidP="000F2E43">
      <w:pPr>
        <w:ind w:left="850"/>
        <w:rPr>
          <w:i/>
          <w:snapToGrid w:val="0"/>
          <w:kern w:val="22"/>
          <w:lang w:val="fr-FR"/>
        </w:rPr>
      </w:pPr>
      <w:r w:rsidRPr="00A55096">
        <w:rPr>
          <w:i/>
          <w:snapToGrid w:val="0"/>
          <w:kern w:val="22"/>
          <w:lang w:val="fr-FR"/>
        </w:rPr>
        <w:t>25</w:t>
      </w:r>
      <w:r w:rsidR="00814FEC" w:rsidRPr="00A55096">
        <w:rPr>
          <w:i/>
          <w:snapToGrid w:val="0"/>
          <w:kern w:val="22"/>
          <w:lang w:val="fr-FR"/>
        </w:rPr>
        <w:t>.</w:t>
      </w:r>
      <w:r w:rsidR="000A63C7" w:rsidRPr="00A55096">
        <w:rPr>
          <w:i/>
          <w:snapToGrid w:val="0"/>
          <w:kern w:val="22"/>
          <w:lang w:val="fr-FR"/>
        </w:rPr>
        <w:tab/>
      </w:r>
      <w:r w:rsidR="000F2E43" w:rsidRPr="00A55096">
        <w:rPr>
          <w:i/>
          <w:snapToGrid w:val="0"/>
          <w:kern w:val="22"/>
          <w:lang w:val="fr-FR"/>
        </w:rPr>
        <w:t>CHARGE le Comité permanent, à sa 57</w:t>
      </w:r>
      <w:r w:rsidR="000F2E43" w:rsidRPr="00A55096">
        <w:rPr>
          <w:i/>
          <w:snapToGrid w:val="0"/>
          <w:kern w:val="22"/>
          <w:vertAlign w:val="superscript"/>
          <w:lang w:val="fr-FR"/>
        </w:rPr>
        <w:t>e</w:t>
      </w:r>
      <w:r w:rsidR="000F2E43" w:rsidRPr="00A55096">
        <w:rPr>
          <w:i/>
          <w:snapToGrid w:val="0"/>
          <w:kern w:val="22"/>
          <w:lang w:val="fr-FR"/>
        </w:rPr>
        <w:t xml:space="preserve"> Réunion, d’examiner le rapport du Secrétariat sur la validité des résolutions et décisions et de le commenter, et d’examiner les recommandations du Secrétariat sur ce sujet à sa 58</w:t>
      </w:r>
      <w:r w:rsidR="000F2E43" w:rsidRPr="00A55096">
        <w:rPr>
          <w:i/>
          <w:snapToGrid w:val="0"/>
          <w:kern w:val="22"/>
          <w:vertAlign w:val="superscript"/>
          <w:lang w:val="fr-FR"/>
        </w:rPr>
        <w:t>e</w:t>
      </w:r>
      <w:r w:rsidR="000F2E43" w:rsidRPr="00A55096">
        <w:rPr>
          <w:i/>
          <w:snapToGrid w:val="0"/>
          <w:kern w:val="22"/>
          <w:lang w:val="fr-FR"/>
        </w:rPr>
        <w:t xml:space="preserve"> Réunion, en vue d’inclure dans une résolution pertinente, adressée à la 14</w:t>
      </w:r>
      <w:r w:rsidR="000F2E43" w:rsidRPr="00A55096">
        <w:rPr>
          <w:i/>
          <w:snapToGrid w:val="0"/>
          <w:kern w:val="22"/>
          <w:vertAlign w:val="superscript"/>
          <w:lang w:val="fr-FR"/>
        </w:rPr>
        <w:t>e</w:t>
      </w:r>
      <w:r w:rsidR="000F2E43" w:rsidRPr="00A55096">
        <w:rPr>
          <w:i/>
          <w:snapToGrid w:val="0"/>
          <w:kern w:val="22"/>
          <w:lang w:val="fr-FR"/>
        </w:rPr>
        <w:t xml:space="preserve"> Session de la Conférence des Parties contractantes (COP14), la suppression de résolutions et décisions obsolètes et la mise en place, pour la Convention, d’une procédure d’abrogation automatique des résolutions et décisions obsolètes lorsqu’elles sont remplacées par de nouveaux textes.</w:t>
      </w:r>
    </w:p>
    <w:p w14:paraId="111E9391" w14:textId="77777777" w:rsidR="000F2E43" w:rsidRPr="000F2E43" w:rsidRDefault="000F2E43" w:rsidP="000F2E43">
      <w:pPr>
        <w:ind w:left="850"/>
        <w:rPr>
          <w:rFonts w:cstheme="minorHAnsi"/>
          <w:b/>
          <w:lang w:val="fr-FR"/>
        </w:rPr>
      </w:pPr>
    </w:p>
    <w:p w14:paraId="24055ACF" w14:textId="6E9F5B0D" w:rsidR="00B144D9" w:rsidRPr="0065498F" w:rsidRDefault="00FB5740" w:rsidP="00550BD4">
      <w:pPr>
        <w:rPr>
          <w:rFonts w:cstheme="minorHAnsi"/>
          <w:lang w:val="fr-FR"/>
        </w:rPr>
      </w:pPr>
      <w:r w:rsidRPr="0065498F">
        <w:rPr>
          <w:rFonts w:cstheme="minorHAnsi"/>
          <w:lang w:val="fr-FR"/>
        </w:rPr>
        <w:t>2.</w:t>
      </w:r>
      <w:r w:rsidRPr="0065498F">
        <w:rPr>
          <w:rFonts w:cstheme="minorHAnsi"/>
          <w:lang w:val="fr-FR"/>
        </w:rPr>
        <w:tab/>
      </w:r>
      <w:r w:rsidR="0065498F" w:rsidRPr="0065498F">
        <w:rPr>
          <w:rFonts w:cstheme="minorHAnsi"/>
          <w:lang w:val="fr-FR"/>
        </w:rPr>
        <w:t>Conformément à la Ré</w:t>
      </w:r>
      <w:r w:rsidR="00E23C44" w:rsidRPr="0065498F">
        <w:rPr>
          <w:rFonts w:cstheme="minorHAnsi"/>
          <w:lang w:val="fr-FR"/>
        </w:rPr>
        <w:t xml:space="preserve">solution </w:t>
      </w:r>
      <w:r w:rsidR="00763605" w:rsidRPr="0065498F">
        <w:rPr>
          <w:rFonts w:cstheme="minorHAnsi"/>
          <w:lang w:val="fr-FR"/>
        </w:rPr>
        <w:t>X</w:t>
      </w:r>
      <w:r w:rsidR="00E23C44" w:rsidRPr="0065498F">
        <w:rPr>
          <w:rFonts w:cstheme="minorHAnsi"/>
          <w:lang w:val="fr-FR"/>
        </w:rPr>
        <w:t>III.4, paragraph</w:t>
      </w:r>
      <w:r w:rsidR="0065498F" w:rsidRPr="0065498F">
        <w:rPr>
          <w:rFonts w:cstheme="minorHAnsi"/>
          <w:lang w:val="fr-FR"/>
        </w:rPr>
        <w:t>e</w:t>
      </w:r>
      <w:r w:rsidR="00E23C44" w:rsidRPr="0065498F">
        <w:rPr>
          <w:rFonts w:cstheme="minorHAnsi"/>
          <w:lang w:val="fr-FR"/>
        </w:rPr>
        <w:t xml:space="preserve"> 24.a</w:t>
      </w:r>
      <w:r w:rsidR="0065498F" w:rsidRPr="0065498F">
        <w:rPr>
          <w:rFonts w:cstheme="minorHAnsi"/>
          <w:lang w:val="fr-FR"/>
        </w:rPr>
        <w:t>)</w:t>
      </w:r>
      <w:r w:rsidR="00E23C44" w:rsidRPr="0065498F">
        <w:rPr>
          <w:rFonts w:cstheme="minorHAnsi"/>
          <w:lang w:val="fr-FR"/>
        </w:rPr>
        <w:t xml:space="preserve">, </w:t>
      </w:r>
      <w:r w:rsidR="0065498F" w:rsidRPr="0065498F">
        <w:rPr>
          <w:rFonts w:cstheme="minorHAnsi"/>
          <w:lang w:val="fr-FR"/>
        </w:rPr>
        <w:t xml:space="preserve">à la </w:t>
      </w:r>
      <w:r w:rsidRPr="0065498F">
        <w:rPr>
          <w:rFonts w:cstheme="minorHAnsi"/>
          <w:lang w:val="fr-FR"/>
        </w:rPr>
        <w:t>57</w:t>
      </w:r>
      <w:r w:rsidR="0065498F" w:rsidRPr="0065498F">
        <w:rPr>
          <w:rFonts w:cstheme="minorHAnsi"/>
          <w:vertAlign w:val="superscript"/>
          <w:lang w:val="fr-FR"/>
        </w:rPr>
        <w:t>e</w:t>
      </w:r>
      <w:r w:rsidRPr="0065498F">
        <w:rPr>
          <w:rFonts w:cstheme="minorHAnsi"/>
          <w:lang w:val="fr-FR"/>
        </w:rPr>
        <w:t xml:space="preserve"> </w:t>
      </w:r>
      <w:r w:rsidR="0065498F" w:rsidRPr="0065498F">
        <w:rPr>
          <w:rFonts w:cstheme="minorHAnsi"/>
          <w:lang w:val="fr-FR"/>
        </w:rPr>
        <w:t>Ré</w:t>
      </w:r>
      <w:r w:rsidR="0065498F">
        <w:rPr>
          <w:rFonts w:cstheme="minorHAnsi"/>
          <w:lang w:val="fr-FR"/>
        </w:rPr>
        <w:t>union du</w:t>
      </w:r>
      <w:r w:rsidRPr="0065498F">
        <w:rPr>
          <w:rFonts w:cstheme="minorHAnsi"/>
          <w:lang w:val="fr-FR"/>
        </w:rPr>
        <w:t xml:space="preserve"> </w:t>
      </w:r>
      <w:r w:rsidR="0065498F" w:rsidRPr="0026683A">
        <w:rPr>
          <w:bCs/>
          <w:sz w:val="24"/>
          <w:szCs w:val="24"/>
          <w:lang w:val="fr-FR"/>
        </w:rPr>
        <w:t>Comité p</w:t>
      </w:r>
      <w:r w:rsidR="0065498F">
        <w:rPr>
          <w:bCs/>
          <w:sz w:val="24"/>
          <w:szCs w:val="24"/>
          <w:lang w:val="fr-FR"/>
        </w:rPr>
        <w:t>ermanent</w:t>
      </w:r>
      <w:r w:rsidR="0065498F" w:rsidRPr="0026683A">
        <w:rPr>
          <w:lang w:val="fr-FR"/>
        </w:rPr>
        <w:t xml:space="preserve"> </w:t>
      </w:r>
      <w:r w:rsidRPr="0065498F">
        <w:rPr>
          <w:rFonts w:cstheme="minorHAnsi"/>
          <w:lang w:val="fr-FR"/>
        </w:rPr>
        <w:t>(SC57, Gland, 2019)</w:t>
      </w:r>
      <w:r w:rsidR="00550BD4" w:rsidRPr="0065498F">
        <w:rPr>
          <w:rFonts w:cstheme="minorHAnsi"/>
          <w:lang w:val="fr-FR"/>
        </w:rPr>
        <w:t xml:space="preserve">, </w:t>
      </w:r>
      <w:r w:rsidR="0065498F">
        <w:rPr>
          <w:rFonts w:cstheme="minorHAnsi"/>
          <w:lang w:val="fr-FR"/>
        </w:rPr>
        <w:t>le</w:t>
      </w:r>
      <w:r w:rsidR="00550BD4" w:rsidRPr="0065498F">
        <w:rPr>
          <w:rFonts w:cstheme="minorHAnsi"/>
          <w:lang w:val="fr-FR"/>
        </w:rPr>
        <w:t xml:space="preserve"> </w:t>
      </w:r>
      <w:r w:rsidR="0065498F" w:rsidRPr="0065498F">
        <w:rPr>
          <w:rFonts w:cstheme="minorHAnsi"/>
          <w:lang w:val="fr-FR"/>
        </w:rPr>
        <w:t>Secrétariat</w:t>
      </w:r>
      <w:r w:rsidR="00550BD4" w:rsidRPr="0065498F">
        <w:rPr>
          <w:rFonts w:cstheme="minorHAnsi"/>
          <w:lang w:val="fr-FR"/>
        </w:rPr>
        <w:t xml:space="preserve"> </w:t>
      </w:r>
      <w:r w:rsidR="0065498F">
        <w:rPr>
          <w:rFonts w:cstheme="minorHAnsi"/>
          <w:lang w:val="fr-FR"/>
        </w:rPr>
        <w:t>a présenté le</w:t>
      </w:r>
      <w:r w:rsidR="00550BD4" w:rsidRPr="0065498F">
        <w:rPr>
          <w:rFonts w:cstheme="minorHAnsi"/>
          <w:lang w:val="fr-FR"/>
        </w:rPr>
        <w:t xml:space="preserve"> document SC57 Doc.14, </w:t>
      </w:r>
      <w:r w:rsidR="000F2E43" w:rsidRPr="0065498F">
        <w:rPr>
          <w:rFonts w:cstheme="minorHAnsi"/>
          <w:i/>
          <w:lang w:val="fr-FR"/>
        </w:rPr>
        <w:t xml:space="preserve">Examen de toutes les </w:t>
      </w:r>
      <w:r w:rsidR="000F2E43" w:rsidRPr="0065498F">
        <w:rPr>
          <w:rFonts w:cstheme="minorHAnsi"/>
          <w:i/>
          <w:lang w:val="fr-FR"/>
        </w:rPr>
        <w:lastRenderedPageBreak/>
        <w:t xml:space="preserve">Résolutions et décisions </w:t>
      </w:r>
      <w:r w:rsidR="00A55096" w:rsidRPr="0065498F">
        <w:rPr>
          <w:rFonts w:cstheme="minorHAnsi"/>
          <w:i/>
          <w:lang w:val="fr-FR"/>
        </w:rPr>
        <w:t xml:space="preserve">précédentes, </w:t>
      </w:r>
      <w:r w:rsidR="00A55096" w:rsidRPr="0065498F">
        <w:rPr>
          <w:rFonts w:cstheme="minorHAnsi"/>
          <w:lang w:val="fr-FR"/>
        </w:rPr>
        <w:t>recommandant</w:t>
      </w:r>
      <w:r w:rsidR="00B144D9" w:rsidRPr="0065498F">
        <w:rPr>
          <w:rFonts w:cstheme="minorHAnsi"/>
          <w:lang w:val="fr-FR"/>
        </w:rPr>
        <w:t xml:space="preserve"> </w:t>
      </w:r>
      <w:r w:rsidR="0065498F">
        <w:rPr>
          <w:rFonts w:cstheme="minorHAnsi"/>
          <w:lang w:val="fr-FR"/>
        </w:rPr>
        <w:t xml:space="preserve">une marche à suivre fondée sur trois mesures que prendrait la </w:t>
      </w:r>
      <w:r w:rsidR="0065498F" w:rsidRPr="0065498F">
        <w:rPr>
          <w:rFonts w:cstheme="minorHAnsi"/>
          <w:lang w:val="fr-FR"/>
        </w:rPr>
        <w:t>Conférence</w:t>
      </w:r>
      <w:r w:rsidR="00763605" w:rsidRPr="0065498F">
        <w:rPr>
          <w:rFonts w:cstheme="minorHAnsi"/>
          <w:lang w:val="fr-FR"/>
        </w:rPr>
        <w:t xml:space="preserve"> </w:t>
      </w:r>
      <w:r w:rsidR="0065498F">
        <w:rPr>
          <w:rFonts w:cstheme="minorHAnsi"/>
          <w:lang w:val="fr-FR"/>
        </w:rPr>
        <w:t>des</w:t>
      </w:r>
      <w:r w:rsidR="00763605" w:rsidRPr="0065498F">
        <w:rPr>
          <w:rFonts w:cstheme="minorHAnsi"/>
          <w:lang w:val="fr-FR"/>
        </w:rPr>
        <w:t xml:space="preserve"> Parties</w:t>
      </w:r>
      <w:r w:rsidR="0065498F">
        <w:rPr>
          <w:rFonts w:cstheme="minorHAnsi"/>
          <w:lang w:val="fr-FR"/>
        </w:rPr>
        <w:t xml:space="preserve"> contractantes </w:t>
      </w:r>
      <w:r w:rsidR="00763605" w:rsidRPr="0065498F">
        <w:rPr>
          <w:rFonts w:cstheme="minorHAnsi"/>
          <w:lang w:val="fr-FR"/>
        </w:rPr>
        <w:t>:</w:t>
      </w:r>
    </w:p>
    <w:p w14:paraId="18597205" w14:textId="31393167" w:rsidR="00763605" w:rsidRPr="00BA6C7E" w:rsidRDefault="00AA4729" w:rsidP="00BA6C7E">
      <w:pPr>
        <w:pStyle w:val="ListParagraph"/>
        <w:numPr>
          <w:ilvl w:val="0"/>
          <w:numId w:val="45"/>
        </w:numPr>
        <w:tabs>
          <w:tab w:val="left" w:pos="425"/>
          <w:tab w:val="left" w:pos="1276"/>
        </w:tabs>
        <w:rPr>
          <w:rFonts w:cs="Arial"/>
          <w:lang w:val="fr-FR"/>
        </w:rPr>
      </w:pPr>
      <w:r w:rsidRPr="00BA6C7E">
        <w:rPr>
          <w:rFonts w:cs="Arial"/>
          <w:lang w:val="fr-FR"/>
        </w:rPr>
        <w:t>abroger les Résolutions et les Recommandations, ou des parties de Résolutions et de Recommandations, qui sont obsolètes</w:t>
      </w:r>
      <w:r w:rsidR="0065498F" w:rsidRPr="00BA6C7E">
        <w:rPr>
          <w:rFonts w:cs="Arial"/>
          <w:lang w:val="fr-FR"/>
        </w:rPr>
        <w:t> ;</w:t>
      </w:r>
    </w:p>
    <w:p w14:paraId="1DC0A0DC" w14:textId="45F848A6" w:rsidR="00763605" w:rsidRPr="00BA6C7E" w:rsidRDefault="00AA4729" w:rsidP="00BA6C7E">
      <w:pPr>
        <w:pStyle w:val="ListParagraph"/>
        <w:numPr>
          <w:ilvl w:val="0"/>
          <w:numId w:val="45"/>
        </w:numPr>
        <w:tabs>
          <w:tab w:val="left" w:pos="425"/>
          <w:tab w:val="left" w:pos="1276"/>
        </w:tabs>
        <w:rPr>
          <w:rFonts w:cs="Arial"/>
          <w:lang w:val="fr-FR"/>
        </w:rPr>
      </w:pPr>
      <w:r w:rsidRPr="00BA6C7E">
        <w:rPr>
          <w:rFonts w:cs="Arial"/>
          <w:lang w:val="fr-FR"/>
        </w:rPr>
        <w:t>regrouper les Résolutions et les Recommandations, ou des parties de Résolutions et de Recommandations, qui traitent du même sujet</w:t>
      </w:r>
      <w:r w:rsidR="0065498F" w:rsidRPr="00BA6C7E">
        <w:rPr>
          <w:rFonts w:cs="Arial"/>
          <w:lang w:val="fr-FR"/>
        </w:rPr>
        <w:t> ; et</w:t>
      </w:r>
    </w:p>
    <w:p w14:paraId="27458197" w14:textId="46A40C48" w:rsidR="00AA4729" w:rsidRPr="0065498F" w:rsidRDefault="00AA4729" w:rsidP="00BA6C7E">
      <w:pPr>
        <w:pStyle w:val="ListParagraph"/>
        <w:numPr>
          <w:ilvl w:val="0"/>
          <w:numId w:val="45"/>
        </w:numPr>
        <w:rPr>
          <w:rFonts w:asciiTheme="minorHAnsi" w:hAnsiTheme="minorHAnsi" w:cstheme="minorHAnsi"/>
          <w:lang w:val="fr-FR"/>
        </w:rPr>
      </w:pPr>
      <w:r w:rsidRPr="0065498F">
        <w:rPr>
          <w:rFonts w:asciiTheme="minorHAnsi" w:hAnsiTheme="minorHAnsi" w:cstheme="minorHAnsi"/>
          <w:lang w:val="fr-FR"/>
        </w:rPr>
        <w:t xml:space="preserve">examiner les meilleurs moyens d’enregistrer ses décisions à l’avenir, pour veiller à ce que, après la fin de la procédure d’examen, les Résolutions ne redeviennent pas plus difficiles à comprendre et à appliquer qu’il n’est nécessaire. </w:t>
      </w:r>
    </w:p>
    <w:p w14:paraId="3EDFD410" w14:textId="5FD91D4A" w:rsidR="00763605" w:rsidRPr="00AA4729" w:rsidRDefault="00763605" w:rsidP="00FC7684">
      <w:pPr>
        <w:tabs>
          <w:tab w:val="left" w:pos="425"/>
          <w:tab w:val="left" w:pos="851"/>
          <w:tab w:val="left" w:pos="1276"/>
        </w:tabs>
        <w:ind w:left="851" w:hanging="851"/>
        <w:rPr>
          <w:rFonts w:cstheme="minorHAnsi"/>
          <w:lang w:val="fr-FR"/>
        </w:rPr>
      </w:pPr>
    </w:p>
    <w:p w14:paraId="58E0BE34" w14:textId="76D7170D" w:rsidR="00845EF9" w:rsidRPr="00AA4729" w:rsidRDefault="00845EF9" w:rsidP="00550BD4">
      <w:pPr>
        <w:rPr>
          <w:rFonts w:cstheme="minorHAnsi"/>
          <w:lang w:val="fr-FR"/>
        </w:rPr>
      </w:pPr>
    </w:p>
    <w:p w14:paraId="349C46F5" w14:textId="5AAC6658" w:rsidR="00E23C44" w:rsidRPr="0065498F" w:rsidRDefault="00E23C44" w:rsidP="00550BD4">
      <w:pPr>
        <w:rPr>
          <w:rFonts w:cstheme="minorHAnsi"/>
          <w:lang w:val="fr-FR"/>
        </w:rPr>
      </w:pPr>
      <w:r w:rsidRPr="0065498F">
        <w:rPr>
          <w:rFonts w:cstheme="minorHAnsi"/>
          <w:lang w:val="fr-FR"/>
        </w:rPr>
        <w:t>3.</w:t>
      </w:r>
      <w:r w:rsidRPr="0065498F">
        <w:rPr>
          <w:rFonts w:cstheme="minorHAnsi"/>
          <w:lang w:val="fr-FR"/>
        </w:rPr>
        <w:tab/>
      </w:r>
      <w:r w:rsidR="0065498F" w:rsidRPr="0065498F">
        <w:rPr>
          <w:rFonts w:cstheme="minorHAnsi"/>
          <w:lang w:val="fr-FR"/>
        </w:rPr>
        <w:t xml:space="preserve">Ayant discuté de ce </w:t>
      </w:r>
      <w:r w:rsidR="00763605" w:rsidRPr="0065498F">
        <w:rPr>
          <w:rFonts w:cstheme="minorHAnsi"/>
          <w:lang w:val="fr-FR"/>
        </w:rPr>
        <w:t>document</w:t>
      </w:r>
      <w:r w:rsidR="002F5271" w:rsidRPr="0065498F">
        <w:rPr>
          <w:rFonts w:cstheme="minorHAnsi"/>
          <w:lang w:val="fr-FR"/>
        </w:rPr>
        <w:t xml:space="preserve">, </w:t>
      </w:r>
      <w:r w:rsidR="0065498F" w:rsidRPr="0065498F">
        <w:rPr>
          <w:rFonts w:cstheme="minorHAnsi"/>
          <w:lang w:val="fr-FR"/>
        </w:rPr>
        <w:t>le</w:t>
      </w:r>
      <w:r w:rsidRPr="0065498F">
        <w:rPr>
          <w:rFonts w:cstheme="minorHAnsi"/>
          <w:lang w:val="fr-FR"/>
        </w:rPr>
        <w:t xml:space="preserve"> </w:t>
      </w:r>
      <w:r w:rsidR="0065498F" w:rsidRPr="0065498F">
        <w:rPr>
          <w:rFonts w:cstheme="minorHAnsi"/>
          <w:lang w:val="fr-FR"/>
        </w:rPr>
        <w:t>Comité permanent a</w:t>
      </w:r>
      <w:r w:rsidR="0065498F">
        <w:rPr>
          <w:rFonts w:cstheme="minorHAnsi"/>
          <w:lang w:val="fr-FR"/>
        </w:rPr>
        <w:t xml:space="preserve"> adopté la </w:t>
      </w:r>
      <w:r w:rsidRPr="0065498F">
        <w:rPr>
          <w:rFonts w:cstheme="minorHAnsi"/>
          <w:lang w:val="fr-FR"/>
        </w:rPr>
        <w:t>D</w:t>
      </w:r>
      <w:r w:rsidR="0065498F">
        <w:rPr>
          <w:rFonts w:cstheme="minorHAnsi"/>
          <w:lang w:val="fr-FR"/>
        </w:rPr>
        <w:t>é</w:t>
      </w:r>
      <w:r w:rsidRPr="0065498F">
        <w:rPr>
          <w:rFonts w:cstheme="minorHAnsi"/>
          <w:lang w:val="fr-FR"/>
        </w:rPr>
        <w:t>cision SC57-19</w:t>
      </w:r>
      <w:r w:rsidR="0065498F">
        <w:rPr>
          <w:rFonts w:cstheme="minorHAnsi"/>
          <w:lang w:val="fr-FR"/>
        </w:rPr>
        <w:t>, comme suit </w:t>
      </w:r>
      <w:r w:rsidRPr="0065498F">
        <w:rPr>
          <w:rFonts w:cstheme="minorHAnsi"/>
          <w:lang w:val="fr-FR"/>
        </w:rPr>
        <w:t>:</w:t>
      </w:r>
    </w:p>
    <w:p w14:paraId="7998FB1C" w14:textId="7CE64E7D" w:rsidR="00845EF9" w:rsidRPr="0065498F" w:rsidRDefault="00845EF9" w:rsidP="00550BD4">
      <w:pPr>
        <w:rPr>
          <w:rFonts w:cstheme="minorHAnsi"/>
          <w:lang w:val="fr-FR"/>
        </w:rPr>
      </w:pPr>
    </w:p>
    <w:p w14:paraId="2A5E1237" w14:textId="3E3A9894" w:rsidR="00845EF9" w:rsidRPr="00AA4729" w:rsidRDefault="00E23C44" w:rsidP="00E23C44">
      <w:pPr>
        <w:ind w:left="850"/>
        <w:rPr>
          <w:i/>
          <w:snapToGrid w:val="0"/>
          <w:kern w:val="22"/>
          <w:lang w:val="fr-FR"/>
        </w:rPr>
      </w:pPr>
      <w:r w:rsidRPr="0065498F">
        <w:rPr>
          <w:i/>
          <w:snapToGrid w:val="0"/>
          <w:kern w:val="22"/>
          <w:lang w:val="fr-FR"/>
        </w:rPr>
        <w:tab/>
      </w:r>
      <w:r w:rsidR="00AA4729" w:rsidRPr="00A55096">
        <w:rPr>
          <w:i/>
          <w:snapToGrid w:val="0"/>
          <w:kern w:val="22"/>
          <w:lang w:val="fr-FR"/>
        </w:rPr>
        <w:t xml:space="preserve">Le </w:t>
      </w:r>
      <w:bookmarkStart w:id="1" w:name="_Hlk69549804"/>
      <w:r w:rsidR="00AA4729" w:rsidRPr="00A55096">
        <w:rPr>
          <w:i/>
          <w:snapToGrid w:val="0"/>
          <w:kern w:val="22"/>
          <w:lang w:val="fr-FR"/>
        </w:rPr>
        <w:t xml:space="preserve">Comité permanent </w:t>
      </w:r>
      <w:bookmarkEnd w:id="1"/>
      <w:r w:rsidR="00AA4729" w:rsidRPr="00A55096">
        <w:rPr>
          <w:i/>
          <w:snapToGrid w:val="0"/>
          <w:kern w:val="22"/>
          <w:lang w:val="fr-FR"/>
        </w:rPr>
        <w:t>charge le Secrétariat de procéder à un regroupement préalable des résolutions existantes en grands domaines thématiques, en identifiant les domaines prioritaires pouvant faire l’objet d’une action ultérieure en fonction de l’ordre des priorités des problèmes urgents au titre du Point 8 de l’ordre du jour, à soumettre dans l’intersession, pour examen, à un groupe composé des États-Unis d’Amérique, des Pays-Bas, de la Suède et du Président du GEST, parallèlement à des conseils sur la capacité requise pour mener à bien le processus .</w:t>
      </w:r>
    </w:p>
    <w:p w14:paraId="340A7924" w14:textId="10D62755" w:rsidR="00845EF9" w:rsidRPr="00AA4729" w:rsidRDefault="00845EF9" w:rsidP="00550BD4">
      <w:pPr>
        <w:rPr>
          <w:rFonts w:cstheme="minorHAnsi"/>
          <w:lang w:val="fr-FR"/>
        </w:rPr>
      </w:pPr>
    </w:p>
    <w:p w14:paraId="72267A8B" w14:textId="1FFD1328" w:rsidR="000660C8" w:rsidRPr="00A55096" w:rsidRDefault="00B44F86" w:rsidP="00A53B2A">
      <w:pPr>
        <w:tabs>
          <w:tab w:val="left" w:pos="425"/>
          <w:tab w:val="left" w:pos="851"/>
          <w:tab w:val="left" w:pos="1276"/>
        </w:tabs>
        <w:rPr>
          <w:rFonts w:cstheme="minorHAnsi"/>
          <w:lang w:val="fr-FR"/>
        </w:rPr>
      </w:pPr>
      <w:r w:rsidRPr="0065498F">
        <w:rPr>
          <w:rFonts w:cstheme="minorHAnsi"/>
          <w:lang w:val="fr-FR"/>
        </w:rPr>
        <w:t>4</w:t>
      </w:r>
      <w:r w:rsidR="000D4E44" w:rsidRPr="0065498F">
        <w:rPr>
          <w:rFonts w:cstheme="minorHAnsi"/>
          <w:lang w:val="fr-FR"/>
        </w:rPr>
        <w:t>.</w:t>
      </w:r>
      <w:r w:rsidR="009514E6" w:rsidRPr="0065498F">
        <w:rPr>
          <w:rFonts w:cstheme="minorHAnsi"/>
          <w:lang w:val="fr-FR"/>
        </w:rPr>
        <w:tab/>
      </w:r>
      <w:r w:rsidR="0065498F" w:rsidRPr="0065498F">
        <w:rPr>
          <w:rFonts w:cstheme="minorHAnsi"/>
          <w:lang w:val="fr-FR"/>
        </w:rPr>
        <w:t>Le</w:t>
      </w:r>
      <w:r w:rsidR="0050450F" w:rsidRPr="0065498F">
        <w:rPr>
          <w:rFonts w:cstheme="minorHAnsi"/>
          <w:lang w:val="fr-FR"/>
        </w:rPr>
        <w:t xml:space="preserve"> Secr</w:t>
      </w:r>
      <w:r w:rsidR="0065498F" w:rsidRPr="0065498F">
        <w:rPr>
          <w:rFonts w:cstheme="minorHAnsi"/>
          <w:lang w:val="fr-FR"/>
        </w:rPr>
        <w:t>é</w:t>
      </w:r>
      <w:r w:rsidR="0050450F" w:rsidRPr="0065498F">
        <w:rPr>
          <w:rFonts w:cstheme="minorHAnsi"/>
          <w:lang w:val="fr-FR"/>
        </w:rPr>
        <w:t xml:space="preserve">tariat </w:t>
      </w:r>
      <w:r w:rsidR="0065498F" w:rsidRPr="0065498F">
        <w:rPr>
          <w:rFonts w:cstheme="minorHAnsi"/>
          <w:lang w:val="fr-FR"/>
        </w:rPr>
        <w:t>a sollicité l’opinion du groupe consultati</w:t>
      </w:r>
      <w:r w:rsidR="00BA6C7E">
        <w:rPr>
          <w:rFonts w:cstheme="minorHAnsi"/>
          <w:lang w:val="fr-FR"/>
        </w:rPr>
        <w:t>f</w:t>
      </w:r>
      <w:r w:rsidR="0065498F" w:rsidRPr="0065498F">
        <w:rPr>
          <w:rFonts w:cstheme="minorHAnsi"/>
          <w:lang w:val="fr-FR"/>
        </w:rPr>
        <w:t xml:space="preserve"> sur la marche à suivre pour appliquer l</w:t>
      </w:r>
      <w:r w:rsidR="0065498F">
        <w:rPr>
          <w:rFonts w:cstheme="minorHAnsi"/>
          <w:lang w:val="fr-FR"/>
        </w:rPr>
        <w:t>es instructions données au</w:t>
      </w:r>
      <w:r w:rsidR="00A13541" w:rsidRPr="0065498F">
        <w:rPr>
          <w:rFonts w:cstheme="minorHAnsi"/>
          <w:lang w:val="fr-FR"/>
        </w:rPr>
        <w:t xml:space="preserve"> </w:t>
      </w:r>
      <w:r w:rsidR="0065498F" w:rsidRPr="0065498F">
        <w:rPr>
          <w:rFonts w:cstheme="minorHAnsi"/>
          <w:lang w:val="fr-FR"/>
        </w:rPr>
        <w:t>Secrétariat</w:t>
      </w:r>
      <w:r w:rsidR="00A13541" w:rsidRPr="0065498F">
        <w:rPr>
          <w:rFonts w:cstheme="minorHAnsi"/>
          <w:lang w:val="fr-FR"/>
        </w:rPr>
        <w:t xml:space="preserve"> </w:t>
      </w:r>
      <w:r w:rsidR="0065498F">
        <w:rPr>
          <w:rFonts w:cstheme="minorHAnsi"/>
          <w:lang w:val="fr-FR"/>
        </w:rPr>
        <w:t>dans la</w:t>
      </w:r>
      <w:r w:rsidR="00A13541" w:rsidRPr="0065498F">
        <w:rPr>
          <w:rFonts w:cstheme="minorHAnsi"/>
          <w:lang w:val="fr-FR"/>
        </w:rPr>
        <w:t xml:space="preserve"> </w:t>
      </w:r>
      <w:r w:rsidR="0065498F" w:rsidRPr="0065498F">
        <w:rPr>
          <w:rFonts w:cstheme="minorHAnsi"/>
          <w:lang w:val="fr-FR"/>
        </w:rPr>
        <w:t>Résolution</w:t>
      </w:r>
      <w:r w:rsidR="00A13541" w:rsidRPr="0065498F">
        <w:rPr>
          <w:rFonts w:cstheme="minorHAnsi"/>
          <w:lang w:val="fr-FR"/>
        </w:rPr>
        <w:t xml:space="preserve"> XIII.4.</w:t>
      </w:r>
      <w:r w:rsidR="0030773C" w:rsidRPr="0065498F">
        <w:rPr>
          <w:rFonts w:cstheme="minorHAnsi"/>
          <w:lang w:val="fr-FR"/>
        </w:rPr>
        <w:t xml:space="preserve"> </w:t>
      </w:r>
      <w:r w:rsidR="0065498F" w:rsidRPr="0065498F">
        <w:rPr>
          <w:rFonts w:cstheme="minorHAnsi"/>
          <w:lang w:val="fr-FR"/>
        </w:rPr>
        <w:t>Cette opinion a été prise en compte pour la</w:t>
      </w:r>
      <w:r w:rsidR="001040F2" w:rsidRPr="0065498F">
        <w:rPr>
          <w:rFonts w:cstheme="minorHAnsi"/>
          <w:lang w:val="fr-FR"/>
        </w:rPr>
        <w:t xml:space="preserve"> pr</w:t>
      </w:r>
      <w:r w:rsidR="0065498F">
        <w:rPr>
          <w:rFonts w:cstheme="minorHAnsi"/>
          <w:lang w:val="fr-FR"/>
        </w:rPr>
        <w:t>é</w:t>
      </w:r>
      <w:r w:rsidR="001040F2" w:rsidRPr="0065498F">
        <w:rPr>
          <w:rFonts w:cstheme="minorHAnsi"/>
          <w:lang w:val="fr-FR"/>
        </w:rPr>
        <w:t xml:space="preserve">paration </w:t>
      </w:r>
      <w:r w:rsidR="0065498F">
        <w:rPr>
          <w:rFonts w:cstheme="minorHAnsi"/>
          <w:lang w:val="fr-FR"/>
        </w:rPr>
        <w:t>du</w:t>
      </w:r>
      <w:r w:rsidR="001040F2" w:rsidRPr="0065498F">
        <w:rPr>
          <w:rFonts w:cstheme="minorHAnsi"/>
          <w:lang w:val="fr-FR"/>
        </w:rPr>
        <w:t xml:space="preserve"> document</w:t>
      </w:r>
      <w:r w:rsidR="00526481" w:rsidRPr="0065498F">
        <w:rPr>
          <w:rFonts w:cstheme="minorHAnsi"/>
          <w:lang w:val="fr-FR"/>
        </w:rPr>
        <w:t xml:space="preserve"> SC58 Doc</w:t>
      </w:r>
      <w:r w:rsidR="002F5271" w:rsidRPr="0065498F">
        <w:rPr>
          <w:rFonts w:cstheme="minorHAnsi"/>
          <w:lang w:val="fr-FR"/>
        </w:rPr>
        <w:t>.</w:t>
      </w:r>
      <w:r w:rsidR="00526481" w:rsidRPr="0065498F">
        <w:rPr>
          <w:rFonts w:cstheme="minorHAnsi"/>
          <w:lang w:val="fr-FR"/>
        </w:rPr>
        <w:t>13</w:t>
      </w:r>
      <w:r w:rsidR="001040F2" w:rsidRPr="0065498F">
        <w:rPr>
          <w:rFonts w:cstheme="minorHAnsi"/>
          <w:lang w:val="fr-FR"/>
        </w:rPr>
        <w:t xml:space="preserve">, </w:t>
      </w:r>
      <w:r w:rsidR="0065498F">
        <w:rPr>
          <w:rFonts w:cstheme="minorHAnsi"/>
          <w:lang w:val="fr-FR"/>
        </w:rPr>
        <w:t>présenté à la 58</w:t>
      </w:r>
      <w:r w:rsidR="0065498F" w:rsidRPr="0065498F">
        <w:rPr>
          <w:rFonts w:cstheme="minorHAnsi"/>
          <w:vertAlign w:val="superscript"/>
          <w:lang w:val="fr-FR"/>
        </w:rPr>
        <w:t>e</w:t>
      </w:r>
      <w:r w:rsidR="0065498F">
        <w:rPr>
          <w:rFonts w:cstheme="minorHAnsi"/>
          <w:lang w:val="fr-FR"/>
        </w:rPr>
        <w:t xml:space="preserve"> Réunion du </w:t>
      </w:r>
      <w:r w:rsidR="0065498F" w:rsidRPr="0065498F">
        <w:rPr>
          <w:rFonts w:cstheme="minorHAnsi"/>
          <w:lang w:val="fr-FR"/>
        </w:rPr>
        <w:t>Comité permanent</w:t>
      </w:r>
      <w:r w:rsidR="0065498F">
        <w:rPr>
          <w:rFonts w:cstheme="minorHAnsi"/>
          <w:lang w:val="fr-FR"/>
        </w:rPr>
        <w:t>,</w:t>
      </w:r>
      <w:r w:rsidR="00526481" w:rsidRPr="0065498F">
        <w:rPr>
          <w:rFonts w:cstheme="minorHAnsi"/>
          <w:lang w:val="fr-FR"/>
        </w:rPr>
        <w:t xml:space="preserve"> </w:t>
      </w:r>
      <w:r w:rsidR="0065498F">
        <w:rPr>
          <w:rFonts w:cstheme="minorHAnsi"/>
          <w:lang w:val="fr-FR"/>
        </w:rPr>
        <w:t>e</w:t>
      </w:r>
      <w:r w:rsidR="00526481" w:rsidRPr="0065498F">
        <w:rPr>
          <w:rFonts w:cstheme="minorHAnsi"/>
          <w:lang w:val="fr-FR"/>
        </w:rPr>
        <w:t xml:space="preserve">n </w:t>
      </w:r>
      <w:r w:rsidR="0065498F">
        <w:rPr>
          <w:rFonts w:cstheme="minorHAnsi"/>
          <w:lang w:val="fr-FR"/>
        </w:rPr>
        <w:t>juin</w:t>
      </w:r>
      <w:r w:rsidR="00526481" w:rsidRPr="0065498F">
        <w:rPr>
          <w:rFonts w:cstheme="minorHAnsi"/>
          <w:lang w:val="fr-FR"/>
        </w:rPr>
        <w:t xml:space="preserve"> 2020. </w:t>
      </w:r>
      <w:r w:rsidR="0065498F" w:rsidRPr="00A55096">
        <w:rPr>
          <w:rFonts w:cstheme="minorHAnsi"/>
          <w:lang w:val="fr-FR"/>
        </w:rPr>
        <w:t>Ce</w:t>
      </w:r>
      <w:r w:rsidR="00606044" w:rsidRPr="00A55096">
        <w:rPr>
          <w:rFonts w:cstheme="minorHAnsi"/>
          <w:lang w:val="fr-FR"/>
        </w:rPr>
        <w:t xml:space="preserve"> document </w:t>
      </w:r>
      <w:r w:rsidR="00A55096" w:rsidRPr="00A55096">
        <w:rPr>
          <w:rFonts w:cstheme="minorHAnsi"/>
          <w:lang w:val="fr-FR"/>
        </w:rPr>
        <w:t>contenait :</w:t>
      </w:r>
    </w:p>
    <w:p w14:paraId="461147D7" w14:textId="3F7315AE" w:rsidR="00606044" w:rsidRPr="0065498F" w:rsidRDefault="00606044" w:rsidP="00A53B2A">
      <w:pPr>
        <w:tabs>
          <w:tab w:val="left" w:pos="425"/>
          <w:tab w:val="left" w:pos="851"/>
          <w:tab w:val="left" w:pos="1276"/>
        </w:tabs>
        <w:ind w:left="851" w:hanging="851"/>
        <w:rPr>
          <w:rFonts w:cstheme="minorHAnsi"/>
          <w:lang w:val="fr-FR"/>
        </w:rPr>
      </w:pPr>
      <w:r w:rsidRPr="001C2C76">
        <w:rPr>
          <w:rFonts w:cstheme="minorHAnsi"/>
          <w:lang w:val="fr-FR"/>
        </w:rPr>
        <w:tab/>
      </w:r>
      <w:r w:rsidRPr="0065498F">
        <w:rPr>
          <w:rFonts w:cstheme="minorHAnsi"/>
          <w:lang w:val="fr-FR"/>
        </w:rPr>
        <w:t>-</w:t>
      </w:r>
      <w:r w:rsidRPr="0065498F">
        <w:rPr>
          <w:rFonts w:cstheme="minorHAnsi"/>
          <w:lang w:val="fr-FR"/>
        </w:rPr>
        <w:tab/>
      </w:r>
      <w:r w:rsidR="0065498F" w:rsidRPr="0065498F">
        <w:rPr>
          <w:rFonts w:cstheme="minorHAnsi"/>
          <w:lang w:val="fr-FR"/>
        </w:rPr>
        <w:t>des r</w:t>
      </w:r>
      <w:r w:rsidRPr="0065498F">
        <w:rPr>
          <w:rFonts w:cstheme="minorHAnsi"/>
          <w:lang w:val="fr-FR"/>
        </w:rPr>
        <w:t>ecomm</w:t>
      </w:r>
      <w:r w:rsidR="0065498F" w:rsidRPr="0065498F">
        <w:rPr>
          <w:rFonts w:cstheme="minorHAnsi"/>
          <w:lang w:val="fr-FR"/>
        </w:rPr>
        <w:t>a</w:t>
      </w:r>
      <w:r w:rsidRPr="0065498F">
        <w:rPr>
          <w:rFonts w:cstheme="minorHAnsi"/>
          <w:lang w:val="fr-FR"/>
        </w:rPr>
        <w:t xml:space="preserve">ndations </w:t>
      </w:r>
      <w:r w:rsidR="0065498F" w:rsidRPr="0065498F">
        <w:rPr>
          <w:rFonts w:cstheme="minorHAnsi"/>
          <w:lang w:val="fr-FR"/>
        </w:rPr>
        <w:t xml:space="preserve">sur un processus d’application des </w:t>
      </w:r>
      <w:r w:rsidRPr="0065498F">
        <w:rPr>
          <w:rFonts w:cstheme="minorHAnsi"/>
          <w:lang w:val="fr-FR"/>
        </w:rPr>
        <w:t xml:space="preserve">instructions </w:t>
      </w:r>
      <w:r w:rsidR="0065498F" w:rsidRPr="0065498F">
        <w:rPr>
          <w:rFonts w:cstheme="minorHAnsi"/>
          <w:lang w:val="fr-FR"/>
        </w:rPr>
        <w:t>de</w:t>
      </w:r>
      <w:r w:rsidR="0065498F">
        <w:rPr>
          <w:rFonts w:cstheme="minorHAnsi"/>
          <w:lang w:val="fr-FR"/>
        </w:rPr>
        <w:t xml:space="preserve"> la</w:t>
      </w:r>
      <w:r w:rsidRPr="0065498F">
        <w:rPr>
          <w:rFonts w:cstheme="minorHAnsi"/>
          <w:lang w:val="fr-FR"/>
        </w:rPr>
        <w:t xml:space="preserve"> </w:t>
      </w:r>
      <w:r w:rsidR="0065498F" w:rsidRPr="0065498F">
        <w:rPr>
          <w:rFonts w:cstheme="minorHAnsi"/>
          <w:lang w:val="fr-FR"/>
        </w:rPr>
        <w:t>Conférence</w:t>
      </w:r>
      <w:r w:rsidRPr="0065498F">
        <w:rPr>
          <w:rFonts w:cstheme="minorHAnsi"/>
          <w:lang w:val="fr-FR"/>
        </w:rPr>
        <w:t xml:space="preserve"> </w:t>
      </w:r>
      <w:r w:rsidR="0065498F">
        <w:rPr>
          <w:rFonts w:cstheme="minorHAnsi"/>
          <w:lang w:val="fr-FR"/>
        </w:rPr>
        <w:t>des</w:t>
      </w:r>
      <w:r w:rsidRPr="0065498F">
        <w:rPr>
          <w:rFonts w:cstheme="minorHAnsi"/>
          <w:lang w:val="fr-FR"/>
        </w:rPr>
        <w:t xml:space="preserve"> Parties</w:t>
      </w:r>
      <w:r w:rsidR="0065498F">
        <w:rPr>
          <w:rFonts w:cstheme="minorHAnsi"/>
          <w:lang w:val="fr-FR"/>
        </w:rPr>
        <w:t xml:space="preserve"> contractantes</w:t>
      </w:r>
      <w:r w:rsidRPr="0065498F">
        <w:rPr>
          <w:rFonts w:cstheme="minorHAnsi"/>
          <w:lang w:val="fr-FR"/>
        </w:rPr>
        <w:t xml:space="preserve"> </w:t>
      </w:r>
      <w:r w:rsidR="008C2EB0">
        <w:rPr>
          <w:rFonts w:cstheme="minorHAnsi"/>
          <w:lang w:val="fr-FR"/>
        </w:rPr>
        <w:t>données dans la</w:t>
      </w:r>
      <w:r w:rsidRPr="0065498F">
        <w:rPr>
          <w:rFonts w:cstheme="minorHAnsi"/>
          <w:lang w:val="fr-FR"/>
        </w:rPr>
        <w:t xml:space="preserve"> R</w:t>
      </w:r>
      <w:r w:rsidR="008C2EB0">
        <w:rPr>
          <w:rFonts w:cstheme="minorHAnsi"/>
          <w:lang w:val="fr-FR"/>
        </w:rPr>
        <w:t>é</w:t>
      </w:r>
      <w:r w:rsidRPr="0065498F">
        <w:rPr>
          <w:rFonts w:cstheme="minorHAnsi"/>
          <w:lang w:val="fr-FR"/>
        </w:rPr>
        <w:t xml:space="preserve">solution </w:t>
      </w:r>
      <w:r w:rsidR="00DF5CDF" w:rsidRPr="0065498F">
        <w:rPr>
          <w:rFonts w:cstheme="minorHAnsi"/>
          <w:lang w:val="fr-FR"/>
        </w:rPr>
        <w:t>X</w:t>
      </w:r>
      <w:r w:rsidRPr="0065498F">
        <w:rPr>
          <w:rFonts w:cstheme="minorHAnsi"/>
          <w:lang w:val="fr-FR"/>
        </w:rPr>
        <w:t>III.4</w:t>
      </w:r>
      <w:r w:rsidR="008C2EB0">
        <w:rPr>
          <w:rFonts w:cstheme="minorHAnsi"/>
          <w:lang w:val="fr-FR"/>
        </w:rPr>
        <w:t xml:space="preserve"> </w:t>
      </w:r>
      <w:r w:rsidRPr="0065498F">
        <w:rPr>
          <w:rFonts w:cstheme="minorHAnsi"/>
          <w:lang w:val="fr-FR"/>
        </w:rPr>
        <w:t>;</w:t>
      </w:r>
    </w:p>
    <w:p w14:paraId="552EED1A" w14:textId="5AF2DCE5" w:rsidR="00D75FF5" w:rsidRPr="00B93927" w:rsidRDefault="00606044" w:rsidP="00A53B2A">
      <w:pPr>
        <w:tabs>
          <w:tab w:val="left" w:pos="425"/>
          <w:tab w:val="left" w:pos="851"/>
          <w:tab w:val="left" w:pos="1276"/>
        </w:tabs>
        <w:ind w:left="851" w:hanging="851"/>
        <w:rPr>
          <w:rFonts w:cstheme="minorHAnsi"/>
          <w:lang w:val="fr-FR"/>
        </w:rPr>
      </w:pPr>
      <w:r w:rsidRPr="0065498F">
        <w:rPr>
          <w:rFonts w:cstheme="minorHAnsi"/>
          <w:lang w:val="fr-FR"/>
        </w:rPr>
        <w:tab/>
      </w:r>
      <w:r w:rsidRPr="00B93927">
        <w:rPr>
          <w:rFonts w:cstheme="minorHAnsi"/>
          <w:lang w:val="fr-FR"/>
        </w:rPr>
        <w:t>-</w:t>
      </w:r>
      <w:r w:rsidRPr="00B93927">
        <w:rPr>
          <w:rFonts w:cstheme="minorHAnsi"/>
          <w:lang w:val="fr-FR"/>
        </w:rPr>
        <w:tab/>
      </w:r>
      <w:r w:rsidR="008C2EB0" w:rsidRPr="00B93927">
        <w:rPr>
          <w:rFonts w:cstheme="minorHAnsi"/>
          <w:lang w:val="fr-FR"/>
        </w:rPr>
        <w:t>l’annexe</w:t>
      </w:r>
      <w:r w:rsidR="00D75FF5" w:rsidRPr="00B93927">
        <w:rPr>
          <w:rFonts w:cstheme="minorHAnsi"/>
          <w:lang w:val="fr-FR"/>
        </w:rPr>
        <w:t xml:space="preserve"> 1, </w:t>
      </w:r>
      <w:r w:rsidR="008C2EB0" w:rsidRPr="00B93927">
        <w:rPr>
          <w:rFonts w:cstheme="minorHAnsi"/>
          <w:lang w:val="fr-FR"/>
        </w:rPr>
        <w:t>pr</w:t>
      </w:r>
      <w:r w:rsidR="00A55096">
        <w:rPr>
          <w:rFonts w:cstheme="minorHAnsi"/>
          <w:lang w:val="fr-FR"/>
        </w:rPr>
        <w:t>ésentant</w:t>
      </w:r>
      <w:r w:rsidR="008C2EB0" w:rsidRPr="00B93927">
        <w:rPr>
          <w:rFonts w:cstheme="minorHAnsi"/>
          <w:lang w:val="fr-FR"/>
        </w:rPr>
        <w:t xml:space="preserve"> une </w:t>
      </w:r>
      <w:r w:rsidR="00BA6C7E">
        <w:rPr>
          <w:rFonts w:cstheme="minorHAnsi"/>
          <w:lang w:val="fr-FR"/>
        </w:rPr>
        <w:t>c</w:t>
      </w:r>
      <w:r w:rsidR="00B93927" w:rsidRPr="00B93927">
        <w:rPr>
          <w:rFonts w:cstheme="minorHAnsi"/>
          <w:lang w:val="fr-FR"/>
        </w:rPr>
        <w:t>lassification des Résolutions</w:t>
      </w:r>
      <w:r w:rsidR="00B93927">
        <w:rPr>
          <w:rFonts w:cstheme="minorHAnsi"/>
          <w:lang w:val="fr-FR"/>
        </w:rPr>
        <w:t xml:space="preserve"> et Recommandations</w:t>
      </w:r>
      <w:r w:rsidR="00B93927" w:rsidRPr="00B93927">
        <w:rPr>
          <w:rFonts w:cstheme="minorHAnsi"/>
          <w:lang w:val="fr-FR"/>
        </w:rPr>
        <w:t xml:space="preserve"> de la Conférence des Parties contractantes </w:t>
      </w:r>
      <w:r w:rsidR="00D75FF5" w:rsidRPr="00B93927">
        <w:rPr>
          <w:rFonts w:cstheme="minorHAnsi"/>
          <w:lang w:val="fr-FR"/>
        </w:rPr>
        <w:t>(27 pages)</w:t>
      </w:r>
      <w:r w:rsidR="00DF5CDF" w:rsidRPr="00B93927">
        <w:rPr>
          <w:rFonts w:cstheme="minorHAnsi"/>
          <w:lang w:val="fr-FR"/>
        </w:rPr>
        <w:t>,</w:t>
      </w:r>
      <w:r w:rsidR="00D75FF5" w:rsidRPr="00B93927">
        <w:rPr>
          <w:rFonts w:cstheme="minorHAnsi"/>
          <w:lang w:val="fr-FR"/>
        </w:rPr>
        <w:t xml:space="preserve"> </w:t>
      </w:r>
      <w:r w:rsidR="00B93927">
        <w:rPr>
          <w:rFonts w:cstheme="minorHAnsi"/>
          <w:lang w:val="fr-FR"/>
        </w:rPr>
        <w:t>comme demandé dans la</w:t>
      </w:r>
      <w:r w:rsidR="00DF5CDF" w:rsidRPr="00B93927">
        <w:rPr>
          <w:rFonts w:cstheme="minorHAnsi"/>
          <w:lang w:val="fr-FR"/>
        </w:rPr>
        <w:t xml:space="preserve"> </w:t>
      </w:r>
      <w:r w:rsidR="00B93927" w:rsidRPr="00B93927">
        <w:rPr>
          <w:rFonts w:cstheme="minorHAnsi"/>
          <w:lang w:val="fr-FR"/>
        </w:rPr>
        <w:t>Décision</w:t>
      </w:r>
      <w:r w:rsidR="00DF5CDF" w:rsidRPr="00B93927">
        <w:rPr>
          <w:rFonts w:cstheme="minorHAnsi"/>
          <w:lang w:val="fr-FR"/>
        </w:rPr>
        <w:t xml:space="preserve"> SC57-19</w:t>
      </w:r>
      <w:r w:rsidR="00B93927">
        <w:rPr>
          <w:rFonts w:cstheme="minorHAnsi"/>
          <w:lang w:val="fr-FR"/>
        </w:rPr>
        <w:t xml:space="preserve"> </w:t>
      </w:r>
      <w:r w:rsidR="00D75FF5" w:rsidRPr="00B93927">
        <w:rPr>
          <w:rFonts w:cstheme="minorHAnsi"/>
          <w:lang w:val="fr-FR"/>
        </w:rPr>
        <w:t xml:space="preserve">; </w:t>
      </w:r>
      <w:r w:rsidR="00B93927">
        <w:rPr>
          <w:rFonts w:cstheme="minorHAnsi"/>
          <w:lang w:val="fr-FR"/>
        </w:rPr>
        <w:t>et</w:t>
      </w:r>
    </w:p>
    <w:p w14:paraId="04484399" w14:textId="1FDC4A7B" w:rsidR="00E4184D" w:rsidRPr="00B93927" w:rsidRDefault="00D75FF5" w:rsidP="00A53B2A">
      <w:pPr>
        <w:tabs>
          <w:tab w:val="left" w:pos="425"/>
          <w:tab w:val="left" w:pos="851"/>
          <w:tab w:val="left" w:pos="1276"/>
        </w:tabs>
        <w:ind w:left="851" w:hanging="851"/>
        <w:rPr>
          <w:rFonts w:cstheme="minorHAnsi"/>
          <w:lang w:val="fr-FR"/>
        </w:rPr>
      </w:pPr>
      <w:r w:rsidRPr="00B93927">
        <w:rPr>
          <w:rFonts w:cstheme="minorHAnsi"/>
          <w:lang w:val="fr-FR"/>
        </w:rPr>
        <w:tab/>
        <w:t>-</w:t>
      </w:r>
      <w:r w:rsidRPr="00B93927">
        <w:rPr>
          <w:rFonts w:cstheme="minorHAnsi"/>
          <w:lang w:val="fr-FR"/>
        </w:rPr>
        <w:tab/>
      </w:r>
      <w:r w:rsidR="00B93927" w:rsidRPr="00B93927">
        <w:rPr>
          <w:rFonts w:cstheme="minorHAnsi"/>
          <w:lang w:val="fr-FR"/>
        </w:rPr>
        <w:t>l’annexe</w:t>
      </w:r>
      <w:r w:rsidRPr="00B93927">
        <w:rPr>
          <w:rFonts w:cstheme="minorHAnsi"/>
          <w:lang w:val="fr-FR"/>
        </w:rPr>
        <w:t xml:space="preserve"> 2, </w:t>
      </w:r>
      <w:r w:rsidR="00B93927" w:rsidRPr="00B93927">
        <w:rPr>
          <w:rFonts w:cstheme="minorHAnsi"/>
          <w:lang w:val="fr-FR"/>
        </w:rPr>
        <w:t xml:space="preserve">présentant un projet de résolution regroupée sur les </w:t>
      </w:r>
      <w:r w:rsidR="00A55096">
        <w:rPr>
          <w:rFonts w:cstheme="minorHAnsi"/>
          <w:lang w:val="fr-FR"/>
        </w:rPr>
        <w:t>« </w:t>
      </w:r>
      <w:r w:rsidR="00B93927" w:rsidRPr="00B93927">
        <w:rPr>
          <w:rFonts w:cstheme="minorHAnsi"/>
          <w:lang w:val="fr-FR"/>
        </w:rPr>
        <w:t>Inventaires</w:t>
      </w:r>
      <w:r w:rsidR="00A55096">
        <w:rPr>
          <w:rFonts w:cstheme="minorHAnsi"/>
          <w:lang w:val="fr-FR"/>
        </w:rPr>
        <w:t> »</w:t>
      </w:r>
      <w:r w:rsidR="007E26D3" w:rsidRPr="00B93927">
        <w:rPr>
          <w:rFonts w:cstheme="minorHAnsi"/>
          <w:lang w:val="fr-FR"/>
        </w:rPr>
        <w:t xml:space="preserve">, </w:t>
      </w:r>
      <w:r w:rsidR="00B93927" w:rsidRPr="00B93927">
        <w:rPr>
          <w:rFonts w:cstheme="minorHAnsi"/>
          <w:lang w:val="fr-FR"/>
        </w:rPr>
        <w:t>avec</w:t>
      </w:r>
      <w:r w:rsidR="00B93927">
        <w:rPr>
          <w:rFonts w:cstheme="minorHAnsi"/>
          <w:lang w:val="fr-FR"/>
        </w:rPr>
        <w:t xml:space="preserve"> une explication du processus suivi</w:t>
      </w:r>
      <w:r w:rsidR="006A4718" w:rsidRPr="00B93927">
        <w:rPr>
          <w:rFonts w:cstheme="minorHAnsi"/>
          <w:lang w:val="fr-FR"/>
        </w:rPr>
        <w:t xml:space="preserve"> (13 pages)</w:t>
      </w:r>
      <w:r w:rsidR="00BA582E" w:rsidRPr="00B93927">
        <w:rPr>
          <w:rFonts w:cstheme="minorHAnsi"/>
          <w:lang w:val="fr-FR"/>
        </w:rPr>
        <w:t xml:space="preserve">, </w:t>
      </w:r>
      <w:r w:rsidR="00B93927">
        <w:rPr>
          <w:rFonts w:cstheme="minorHAnsi"/>
          <w:lang w:val="fr-FR"/>
        </w:rPr>
        <w:t>comme étude pilote</w:t>
      </w:r>
      <w:r w:rsidR="00BA582E" w:rsidRPr="00B93927">
        <w:rPr>
          <w:rFonts w:cstheme="minorHAnsi"/>
          <w:lang w:val="fr-FR"/>
        </w:rPr>
        <w:t xml:space="preserve">, </w:t>
      </w:r>
      <w:r w:rsidR="00B93927">
        <w:rPr>
          <w:rFonts w:cstheme="minorHAnsi"/>
          <w:lang w:val="fr-FR"/>
        </w:rPr>
        <w:t>comme convenu avec le groupe consultatif</w:t>
      </w:r>
      <w:r w:rsidR="006A4718" w:rsidRPr="00B93927">
        <w:rPr>
          <w:rFonts w:cstheme="minorHAnsi"/>
          <w:lang w:val="fr-FR"/>
        </w:rPr>
        <w:t>.</w:t>
      </w:r>
    </w:p>
    <w:p w14:paraId="7498A36E" w14:textId="1D5A597B" w:rsidR="00E4184D" w:rsidRPr="00B93927" w:rsidRDefault="00E4184D" w:rsidP="008E09B1">
      <w:pPr>
        <w:rPr>
          <w:rFonts w:cstheme="minorHAnsi"/>
          <w:lang w:val="fr-FR"/>
        </w:rPr>
      </w:pPr>
    </w:p>
    <w:p w14:paraId="2E27876C" w14:textId="61221BAF" w:rsidR="006A4718" w:rsidRPr="00B93927" w:rsidRDefault="006A4718" w:rsidP="008E09B1">
      <w:pPr>
        <w:rPr>
          <w:rFonts w:cstheme="minorHAnsi"/>
          <w:lang w:val="fr-FR"/>
        </w:rPr>
      </w:pPr>
      <w:r w:rsidRPr="00B93927">
        <w:rPr>
          <w:rFonts w:cstheme="minorHAnsi"/>
          <w:lang w:val="fr-FR"/>
        </w:rPr>
        <w:t>5.</w:t>
      </w:r>
      <w:r w:rsidRPr="00B93927">
        <w:rPr>
          <w:rFonts w:cstheme="minorHAnsi"/>
          <w:lang w:val="fr-FR"/>
        </w:rPr>
        <w:tab/>
      </w:r>
      <w:r w:rsidR="00B93927" w:rsidRPr="00B93927">
        <w:rPr>
          <w:rFonts w:cstheme="minorHAnsi"/>
          <w:lang w:val="fr-FR"/>
        </w:rPr>
        <w:t xml:space="preserve">Suite aux discussions de la </w:t>
      </w:r>
      <w:r w:rsidR="00B93927">
        <w:rPr>
          <w:rFonts w:cstheme="minorHAnsi"/>
          <w:lang w:val="fr-FR"/>
        </w:rPr>
        <w:t>58</w:t>
      </w:r>
      <w:r w:rsidR="00B93927" w:rsidRPr="0065498F">
        <w:rPr>
          <w:rFonts w:cstheme="minorHAnsi"/>
          <w:vertAlign w:val="superscript"/>
          <w:lang w:val="fr-FR"/>
        </w:rPr>
        <w:t>e</w:t>
      </w:r>
      <w:r w:rsidR="00B93927">
        <w:rPr>
          <w:rFonts w:cstheme="minorHAnsi"/>
          <w:lang w:val="fr-FR"/>
        </w:rPr>
        <w:t xml:space="preserve"> Réunion du </w:t>
      </w:r>
      <w:r w:rsidR="00B93927" w:rsidRPr="0065498F">
        <w:rPr>
          <w:rFonts w:cstheme="minorHAnsi"/>
          <w:lang w:val="fr-FR"/>
        </w:rPr>
        <w:t>Comité permanent</w:t>
      </w:r>
      <w:r w:rsidR="001D78C2" w:rsidRPr="00B93927">
        <w:rPr>
          <w:rFonts w:cstheme="minorHAnsi"/>
          <w:lang w:val="fr-FR"/>
        </w:rPr>
        <w:t xml:space="preserve">, </w:t>
      </w:r>
      <w:r w:rsidR="00B93927" w:rsidRPr="00B93927">
        <w:rPr>
          <w:rFonts w:cstheme="minorHAnsi"/>
          <w:lang w:val="fr-FR"/>
        </w:rPr>
        <w:t>les Dé</w:t>
      </w:r>
      <w:r w:rsidR="00B93927">
        <w:rPr>
          <w:rFonts w:cstheme="minorHAnsi"/>
          <w:lang w:val="fr-FR"/>
        </w:rPr>
        <w:t>cisions suivantes ont été adopté</w:t>
      </w:r>
      <w:r w:rsidR="00A55096">
        <w:rPr>
          <w:rFonts w:cstheme="minorHAnsi"/>
          <w:lang w:val="fr-FR"/>
        </w:rPr>
        <w:t>e</w:t>
      </w:r>
      <w:r w:rsidR="00B93927">
        <w:rPr>
          <w:rFonts w:cstheme="minorHAnsi"/>
          <w:lang w:val="fr-FR"/>
        </w:rPr>
        <w:t xml:space="preserve">s par le Comité </w:t>
      </w:r>
      <w:r w:rsidR="001D78C2" w:rsidRPr="00B93927">
        <w:rPr>
          <w:rFonts w:cstheme="minorHAnsi"/>
          <w:lang w:val="fr-FR"/>
        </w:rPr>
        <w:t>:</w:t>
      </w:r>
    </w:p>
    <w:p w14:paraId="41DA52B2" w14:textId="77777777" w:rsidR="00A03D79" w:rsidRPr="00B93927" w:rsidRDefault="00A03D79" w:rsidP="008E09B1">
      <w:pPr>
        <w:rPr>
          <w:rFonts w:cstheme="minorHAnsi"/>
          <w:lang w:val="fr-FR"/>
        </w:rPr>
      </w:pPr>
    </w:p>
    <w:p w14:paraId="6FD2752D" w14:textId="77777777" w:rsidR="000511DF" w:rsidRPr="00A55096" w:rsidRDefault="00A03D79" w:rsidP="000511DF">
      <w:pPr>
        <w:ind w:left="850"/>
        <w:rPr>
          <w:i/>
          <w:snapToGrid w:val="0"/>
          <w:kern w:val="22"/>
          <w:lang w:val="fr-FR"/>
        </w:rPr>
      </w:pPr>
      <w:r w:rsidRPr="00B93927">
        <w:rPr>
          <w:i/>
          <w:snapToGrid w:val="0"/>
          <w:kern w:val="22"/>
          <w:lang w:val="fr-FR"/>
        </w:rPr>
        <w:tab/>
      </w:r>
      <w:r w:rsidR="000511DF" w:rsidRPr="00A55096">
        <w:rPr>
          <w:i/>
          <w:snapToGrid w:val="0"/>
          <w:kern w:val="22"/>
          <w:lang w:val="fr-FR"/>
        </w:rPr>
        <w:t>Décision SC58-19 : Le Comité permanent décide, en consultation avec le Groupe consultatif du Comité permanent sur l’examen des Résolutions et Décisions, que le Secrétariat préparera les documents suivants pour examen par le Comité à sa 59e Réunion et, le cas échéant, communication pour examen à la COP14 :</w:t>
      </w:r>
    </w:p>
    <w:p w14:paraId="77E62A7E" w14:textId="6090F7BB" w:rsidR="000511DF" w:rsidRPr="00A55096" w:rsidRDefault="000511DF" w:rsidP="00A55096">
      <w:pPr>
        <w:ind w:left="850" w:firstLine="0"/>
        <w:rPr>
          <w:i/>
          <w:snapToGrid w:val="0"/>
          <w:kern w:val="22"/>
          <w:lang w:val="fr-FR"/>
        </w:rPr>
      </w:pPr>
      <w:r w:rsidRPr="00A55096">
        <w:rPr>
          <w:i/>
          <w:snapToGrid w:val="0"/>
          <w:kern w:val="22"/>
          <w:lang w:val="fr-FR"/>
        </w:rPr>
        <w:t>i</w:t>
      </w:r>
      <w:r w:rsidR="00A55096" w:rsidRPr="00A55096">
        <w:rPr>
          <w:i/>
          <w:snapToGrid w:val="0"/>
          <w:kern w:val="22"/>
          <w:lang w:val="fr-FR"/>
        </w:rPr>
        <w:t>)</w:t>
      </w:r>
      <w:r w:rsidRPr="00A55096">
        <w:rPr>
          <w:i/>
          <w:snapToGrid w:val="0"/>
          <w:kern w:val="22"/>
          <w:lang w:val="fr-FR"/>
        </w:rPr>
        <w:tab/>
        <w:t>un projet de liste de toutes les Résolutions existantes qui sont effectivement révolues et qui devraient être supprimées d’une liste de résolutions valides ;</w:t>
      </w:r>
    </w:p>
    <w:p w14:paraId="53F91A62" w14:textId="2FB13CE8" w:rsidR="000511DF" w:rsidRPr="00A55096" w:rsidRDefault="000511DF" w:rsidP="00A55096">
      <w:pPr>
        <w:ind w:left="850" w:firstLine="0"/>
        <w:rPr>
          <w:i/>
          <w:snapToGrid w:val="0"/>
          <w:kern w:val="22"/>
          <w:lang w:val="fr-FR"/>
        </w:rPr>
      </w:pPr>
      <w:r w:rsidRPr="00A55096">
        <w:rPr>
          <w:i/>
          <w:snapToGrid w:val="0"/>
          <w:kern w:val="22"/>
          <w:lang w:val="fr-FR"/>
        </w:rPr>
        <w:t>ii</w:t>
      </w:r>
      <w:r w:rsidR="00A55096" w:rsidRPr="00A55096">
        <w:rPr>
          <w:i/>
          <w:snapToGrid w:val="0"/>
          <w:kern w:val="22"/>
          <w:lang w:val="fr-FR"/>
        </w:rPr>
        <w:t>)</w:t>
      </w:r>
      <w:r w:rsidRPr="00A55096">
        <w:rPr>
          <w:i/>
          <w:snapToGrid w:val="0"/>
          <w:kern w:val="22"/>
          <w:lang w:val="fr-FR"/>
        </w:rPr>
        <w:tab/>
        <w:t>un projet d’orientations à l’intention des Parties, pour les Parties, les présidents des comités, groupes et autres organes de la Convention et le Secrétariat, afin de préciser comment les Résolutions devraient être rédigées, adoptées et enregistrées à l’avenir, afin de garantir que le droit non contraignant de la Convention reste clair, accessible et facile à utiliser pour des questions sur lesquelles il y a eu de multiples Résolutions et/ou Recommandations de la COP.</w:t>
      </w:r>
    </w:p>
    <w:p w14:paraId="16761020" w14:textId="77777777" w:rsidR="000511DF" w:rsidRPr="000511DF" w:rsidRDefault="000511DF" w:rsidP="000511DF">
      <w:pPr>
        <w:ind w:left="850"/>
        <w:rPr>
          <w:i/>
          <w:snapToGrid w:val="0"/>
          <w:kern w:val="22"/>
          <w:highlight w:val="yellow"/>
          <w:lang w:val="fr-FR"/>
        </w:rPr>
      </w:pPr>
    </w:p>
    <w:p w14:paraId="4A554C07" w14:textId="77777777" w:rsidR="000511DF" w:rsidRPr="00A55096" w:rsidRDefault="000511DF" w:rsidP="00A55096">
      <w:pPr>
        <w:ind w:left="850" w:firstLine="1"/>
        <w:rPr>
          <w:i/>
          <w:snapToGrid w:val="0"/>
          <w:kern w:val="22"/>
          <w:lang w:val="fr-FR"/>
        </w:rPr>
      </w:pPr>
      <w:r w:rsidRPr="00A55096">
        <w:rPr>
          <w:i/>
          <w:snapToGrid w:val="0"/>
          <w:kern w:val="22"/>
          <w:lang w:val="fr-FR"/>
        </w:rPr>
        <w:lastRenderedPageBreak/>
        <w:t>Décision SC58-20 : Le Comité permanent demande au Secrétariat d’incorporer les commentaires reçus des Parties, avant le 10 juillet 2020, dans le projet de résolution regroupée révisé sur les « inventaires » figurant à l’annexe 2 du document SC58 Doc. 13, pour préparer les futurs projets de résolutions regroupées, conformément aux instructions du Comité permanent.</w:t>
      </w:r>
    </w:p>
    <w:p w14:paraId="45528F6B" w14:textId="77777777" w:rsidR="000511DF" w:rsidRPr="00A55096" w:rsidRDefault="000511DF" w:rsidP="000511DF">
      <w:pPr>
        <w:ind w:left="850"/>
        <w:rPr>
          <w:i/>
          <w:snapToGrid w:val="0"/>
          <w:kern w:val="22"/>
          <w:lang w:val="fr-FR"/>
        </w:rPr>
      </w:pPr>
    </w:p>
    <w:p w14:paraId="41E0150A" w14:textId="7A6A4CAA" w:rsidR="00D71F0B" w:rsidRPr="001C2C76" w:rsidRDefault="000511DF" w:rsidP="00A55096">
      <w:pPr>
        <w:ind w:left="850" w:firstLine="0"/>
        <w:rPr>
          <w:rFonts w:cstheme="minorHAnsi"/>
          <w:i/>
          <w:iCs/>
          <w:lang w:val="fr-FR"/>
        </w:rPr>
      </w:pPr>
      <w:r w:rsidRPr="00A55096">
        <w:rPr>
          <w:i/>
          <w:snapToGrid w:val="0"/>
          <w:kern w:val="22"/>
          <w:lang w:val="fr-FR"/>
        </w:rPr>
        <w:t>Décision SC58-21 : Le Comité permanent charge le Secrétariat de préparer un document révisé (SC58 Doc.13), en collaboration avec un groupe consultatif, pour le présenter à la 58</w:t>
      </w:r>
      <w:r w:rsidRPr="00A55096">
        <w:rPr>
          <w:i/>
          <w:snapToGrid w:val="0"/>
          <w:kern w:val="22"/>
          <w:vertAlign w:val="superscript"/>
          <w:lang w:val="fr-FR"/>
        </w:rPr>
        <w:t>e</w:t>
      </w:r>
      <w:r w:rsidRPr="00A55096">
        <w:rPr>
          <w:i/>
          <w:snapToGrid w:val="0"/>
          <w:kern w:val="22"/>
          <w:lang w:val="fr-FR"/>
        </w:rPr>
        <w:t xml:space="preserve"> Réunion du Comité permanent, en octobre 2020, en tenant dûment compte des commentaires des Parties contractantes sur l’approche de la mise en œuvre de la Décision SC57-19 du Comité, et de demander conseil au groupe consultatif des Parties contractantes intéressées sur sa possible révision, avant la 58</w:t>
      </w:r>
      <w:r w:rsidRPr="00A55096">
        <w:rPr>
          <w:i/>
          <w:snapToGrid w:val="0"/>
          <w:kern w:val="22"/>
          <w:vertAlign w:val="superscript"/>
          <w:lang w:val="fr-FR"/>
        </w:rPr>
        <w:t>e</w:t>
      </w:r>
      <w:r w:rsidRPr="00A55096">
        <w:rPr>
          <w:i/>
          <w:snapToGrid w:val="0"/>
          <w:kern w:val="22"/>
          <w:lang w:val="fr-FR"/>
        </w:rPr>
        <w:t xml:space="preserve"> Réunion du Comité permanent, sous la forme d’un certain nombre de documents thématiques plus petits</w:t>
      </w:r>
      <w:r w:rsidR="00FF3444" w:rsidRPr="00A55096">
        <w:rPr>
          <w:i/>
          <w:snapToGrid w:val="0"/>
          <w:kern w:val="22"/>
          <w:lang w:val="fr-FR"/>
        </w:rPr>
        <w:t>.</w:t>
      </w:r>
      <w:r w:rsidR="00D71F0B" w:rsidRPr="000511DF">
        <w:rPr>
          <w:iCs/>
          <w:snapToGrid w:val="0"/>
          <w:kern w:val="22"/>
          <w:lang w:val="fr-FR"/>
        </w:rPr>
        <w:t xml:space="preserve"> </w:t>
      </w:r>
      <w:r w:rsidR="00D71F0B" w:rsidRPr="001C2C76">
        <w:rPr>
          <w:iCs/>
          <w:snapToGrid w:val="0"/>
          <w:kern w:val="22"/>
          <w:lang w:val="fr-FR"/>
        </w:rPr>
        <w:t>(</w:t>
      </w:r>
      <w:r w:rsidR="00B93927" w:rsidRPr="00B11A43">
        <w:rPr>
          <w:iCs/>
          <w:snapToGrid w:val="0"/>
          <w:kern w:val="22"/>
          <w:lang w:val="fr-FR"/>
        </w:rPr>
        <w:t>La Réunion prévue pour octobre</w:t>
      </w:r>
      <w:r w:rsidR="00D71F0B" w:rsidRPr="00B11A43">
        <w:rPr>
          <w:iCs/>
          <w:snapToGrid w:val="0"/>
          <w:kern w:val="22"/>
          <w:lang w:val="fr-FR"/>
        </w:rPr>
        <w:t xml:space="preserve"> 2020 </w:t>
      </w:r>
      <w:r w:rsidR="00B93927" w:rsidRPr="00B11A43">
        <w:rPr>
          <w:iCs/>
          <w:snapToGrid w:val="0"/>
          <w:kern w:val="22"/>
          <w:lang w:val="fr-FR"/>
        </w:rPr>
        <w:t>a ensuite été annulée</w:t>
      </w:r>
      <w:r w:rsidR="00D71F0B" w:rsidRPr="00B11A43">
        <w:rPr>
          <w:iCs/>
          <w:snapToGrid w:val="0"/>
          <w:kern w:val="22"/>
          <w:lang w:val="fr-FR"/>
        </w:rPr>
        <w:t>.</w:t>
      </w:r>
      <w:r w:rsidR="00D71F0B" w:rsidRPr="001C2C76">
        <w:rPr>
          <w:iCs/>
          <w:snapToGrid w:val="0"/>
          <w:kern w:val="22"/>
          <w:lang w:val="fr-FR"/>
        </w:rPr>
        <w:t>)</w:t>
      </w:r>
      <w:r w:rsidR="00FF3444" w:rsidRPr="001C2C76">
        <w:rPr>
          <w:iCs/>
          <w:snapToGrid w:val="0"/>
          <w:kern w:val="22"/>
          <w:lang w:val="fr-FR"/>
        </w:rPr>
        <w:t xml:space="preserve"> </w:t>
      </w:r>
    </w:p>
    <w:p w14:paraId="31AD2829" w14:textId="77777777" w:rsidR="00AF13C7" w:rsidRPr="001C2C76" w:rsidRDefault="00AF13C7" w:rsidP="00526481">
      <w:pPr>
        <w:rPr>
          <w:rFonts w:cstheme="minorHAnsi"/>
          <w:lang w:val="fr-FR"/>
        </w:rPr>
      </w:pPr>
    </w:p>
    <w:p w14:paraId="10A0C7FA" w14:textId="497BC7FE" w:rsidR="00FA0E4B" w:rsidRPr="00C12B77" w:rsidRDefault="00AF13C7" w:rsidP="00526481">
      <w:pPr>
        <w:rPr>
          <w:rFonts w:cstheme="minorHAnsi"/>
          <w:lang w:val="fr-FR"/>
        </w:rPr>
      </w:pPr>
      <w:r w:rsidRPr="00C12B77">
        <w:rPr>
          <w:rFonts w:cstheme="minorHAnsi"/>
          <w:lang w:val="fr-FR"/>
        </w:rPr>
        <w:t>5.</w:t>
      </w:r>
      <w:r w:rsidR="00D71F0B" w:rsidRPr="00C12B77">
        <w:rPr>
          <w:rFonts w:cstheme="minorHAnsi"/>
          <w:lang w:val="fr-FR"/>
        </w:rPr>
        <w:tab/>
      </w:r>
      <w:r w:rsidR="00B93927" w:rsidRPr="00C12B77">
        <w:rPr>
          <w:rFonts w:cstheme="minorHAnsi"/>
          <w:lang w:val="fr-FR"/>
        </w:rPr>
        <w:t>En réponse aux</w:t>
      </w:r>
      <w:r w:rsidR="00526481" w:rsidRPr="00C12B77">
        <w:rPr>
          <w:rFonts w:cstheme="minorHAnsi"/>
          <w:lang w:val="fr-FR"/>
        </w:rPr>
        <w:t xml:space="preserve"> </w:t>
      </w:r>
      <w:r w:rsidR="00FA0E4B" w:rsidRPr="00C12B77">
        <w:rPr>
          <w:rFonts w:cstheme="minorHAnsi"/>
          <w:lang w:val="fr-FR"/>
        </w:rPr>
        <w:t>D</w:t>
      </w:r>
      <w:r w:rsidR="00B93927" w:rsidRPr="00C12B77">
        <w:rPr>
          <w:rFonts w:cstheme="minorHAnsi"/>
          <w:lang w:val="fr-FR"/>
        </w:rPr>
        <w:t>é</w:t>
      </w:r>
      <w:r w:rsidR="00FA0E4B" w:rsidRPr="00C12B77">
        <w:rPr>
          <w:rFonts w:cstheme="minorHAnsi"/>
          <w:lang w:val="fr-FR"/>
        </w:rPr>
        <w:t xml:space="preserve">cisions </w:t>
      </w:r>
      <w:r w:rsidR="00BA6C7E">
        <w:rPr>
          <w:rFonts w:cstheme="minorHAnsi"/>
          <w:lang w:val="fr-FR"/>
        </w:rPr>
        <w:t>prises par le</w:t>
      </w:r>
      <w:r w:rsidR="00FA0E4B" w:rsidRPr="00C12B77">
        <w:rPr>
          <w:rFonts w:cstheme="minorHAnsi"/>
          <w:lang w:val="fr-FR"/>
        </w:rPr>
        <w:t xml:space="preserve"> </w:t>
      </w:r>
      <w:r w:rsidR="00C12B77" w:rsidRPr="00C12B77">
        <w:rPr>
          <w:rFonts w:cstheme="minorHAnsi"/>
          <w:lang w:val="fr-FR"/>
        </w:rPr>
        <w:t>Comité permanent</w:t>
      </w:r>
      <w:r w:rsidR="00A55096">
        <w:rPr>
          <w:rFonts w:cstheme="minorHAnsi"/>
          <w:lang w:val="fr-FR"/>
        </w:rPr>
        <w:t>,</w:t>
      </w:r>
      <w:r w:rsidR="00C12B77" w:rsidRPr="00C12B77">
        <w:rPr>
          <w:rFonts w:cstheme="minorHAnsi"/>
          <w:lang w:val="fr-FR"/>
        </w:rPr>
        <w:t xml:space="preserve"> à ses 57</w:t>
      </w:r>
      <w:r w:rsidR="00C12B77" w:rsidRPr="00C12B77">
        <w:rPr>
          <w:rFonts w:cstheme="minorHAnsi"/>
          <w:vertAlign w:val="superscript"/>
          <w:lang w:val="fr-FR"/>
        </w:rPr>
        <w:t>e</w:t>
      </w:r>
      <w:r w:rsidR="00C12B77" w:rsidRPr="00C12B77">
        <w:rPr>
          <w:rFonts w:cstheme="minorHAnsi"/>
          <w:lang w:val="fr-FR"/>
        </w:rPr>
        <w:t xml:space="preserve"> et 58</w:t>
      </w:r>
      <w:r w:rsidR="00C12B77" w:rsidRPr="00C12B77">
        <w:rPr>
          <w:rFonts w:cstheme="minorHAnsi"/>
          <w:vertAlign w:val="superscript"/>
          <w:lang w:val="fr-FR"/>
        </w:rPr>
        <w:t>e</w:t>
      </w:r>
      <w:r w:rsidR="00C12B77" w:rsidRPr="00C12B77">
        <w:rPr>
          <w:rFonts w:cstheme="minorHAnsi"/>
          <w:lang w:val="fr-FR"/>
        </w:rPr>
        <w:t xml:space="preserve"> Réunions</w:t>
      </w:r>
      <w:r w:rsidR="00FA0E4B" w:rsidRPr="00C12B77">
        <w:rPr>
          <w:rFonts w:cstheme="minorHAnsi"/>
          <w:lang w:val="fr-FR"/>
        </w:rPr>
        <w:t xml:space="preserve">, </w:t>
      </w:r>
      <w:r w:rsidR="00C12B77">
        <w:rPr>
          <w:rFonts w:cstheme="minorHAnsi"/>
          <w:lang w:val="fr-FR"/>
        </w:rPr>
        <w:t>le</w:t>
      </w:r>
      <w:r w:rsidR="00526481" w:rsidRPr="00C12B77">
        <w:rPr>
          <w:rFonts w:cstheme="minorHAnsi"/>
          <w:lang w:val="fr-FR"/>
        </w:rPr>
        <w:t xml:space="preserve"> </w:t>
      </w:r>
      <w:r w:rsidR="00C12B77" w:rsidRPr="00C12B77">
        <w:rPr>
          <w:rFonts w:cstheme="minorHAnsi"/>
          <w:lang w:val="fr-FR"/>
        </w:rPr>
        <w:t>Secrétariat</w:t>
      </w:r>
      <w:r w:rsidR="00526481" w:rsidRPr="00C12B77">
        <w:rPr>
          <w:rFonts w:cstheme="minorHAnsi"/>
          <w:lang w:val="fr-FR"/>
        </w:rPr>
        <w:t xml:space="preserve"> </w:t>
      </w:r>
      <w:r w:rsidR="00C12B77">
        <w:rPr>
          <w:rFonts w:cstheme="minorHAnsi"/>
          <w:lang w:val="fr-FR"/>
        </w:rPr>
        <w:t>a préparé les documents suivants, pour examen à la 59</w:t>
      </w:r>
      <w:r w:rsidR="00C12B77" w:rsidRPr="00C12B77">
        <w:rPr>
          <w:rFonts w:cstheme="minorHAnsi"/>
          <w:vertAlign w:val="superscript"/>
          <w:lang w:val="fr-FR"/>
        </w:rPr>
        <w:t>e</w:t>
      </w:r>
      <w:r w:rsidR="00C12B77">
        <w:rPr>
          <w:rFonts w:cstheme="minorHAnsi"/>
          <w:lang w:val="fr-FR"/>
        </w:rPr>
        <w:t xml:space="preserve"> Réunion du Comité permanent </w:t>
      </w:r>
      <w:r w:rsidRPr="00C12B77">
        <w:rPr>
          <w:rFonts w:cstheme="minorHAnsi"/>
          <w:lang w:val="fr-FR"/>
        </w:rPr>
        <w:t>:</w:t>
      </w:r>
      <w:r w:rsidR="00526481" w:rsidRPr="00C12B77">
        <w:rPr>
          <w:rFonts w:cstheme="minorHAnsi"/>
          <w:lang w:val="fr-FR"/>
        </w:rPr>
        <w:t xml:space="preserve"> </w:t>
      </w:r>
    </w:p>
    <w:p w14:paraId="0EAE2F5C" w14:textId="732C0CD6" w:rsidR="00E06E83" w:rsidRPr="00866BDD" w:rsidRDefault="00866BDD" w:rsidP="00866BDD">
      <w:pPr>
        <w:tabs>
          <w:tab w:val="left" w:pos="425"/>
          <w:tab w:val="left" w:pos="851"/>
          <w:tab w:val="left" w:pos="1276"/>
        </w:tabs>
        <w:ind w:left="851" w:hanging="851"/>
        <w:rPr>
          <w:rFonts w:cs="Arial"/>
          <w:lang w:val="fr-FR"/>
        </w:rPr>
      </w:pPr>
      <w:r>
        <w:rPr>
          <w:rFonts w:cstheme="minorHAnsi"/>
          <w:lang w:val="fr-FR"/>
        </w:rPr>
        <w:tab/>
      </w:r>
      <w:r w:rsidR="00FA0E4B" w:rsidRPr="00866BDD">
        <w:rPr>
          <w:rFonts w:cstheme="minorHAnsi"/>
          <w:lang w:val="fr-FR"/>
        </w:rPr>
        <w:t>-</w:t>
      </w:r>
      <w:r w:rsidR="00FA0E4B" w:rsidRPr="00866BDD">
        <w:rPr>
          <w:rFonts w:cstheme="minorHAnsi"/>
          <w:lang w:val="fr-FR"/>
        </w:rPr>
        <w:tab/>
      </w:r>
      <w:r w:rsidR="00526481" w:rsidRPr="00866BDD">
        <w:rPr>
          <w:rFonts w:cstheme="minorHAnsi"/>
          <w:lang w:val="fr-FR"/>
        </w:rPr>
        <w:t>SC59 Doc</w:t>
      </w:r>
      <w:r w:rsidR="00A45845" w:rsidRPr="00866BDD">
        <w:rPr>
          <w:rFonts w:cstheme="minorHAnsi"/>
          <w:lang w:val="fr-FR"/>
        </w:rPr>
        <w:t>.</w:t>
      </w:r>
      <w:r w:rsidR="00526481" w:rsidRPr="00866BDD">
        <w:rPr>
          <w:rFonts w:cstheme="minorHAnsi"/>
          <w:lang w:val="fr-FR"/>
        </w:rPr>
        <w:t xml:space="preserve">13.1 </w:t>
      </w:r>
      <w:r w:rsidRPr="00866BDD">
        <w:rPr>
          <w:rFonts w:cs="Arial"/>
          <w:i/>
          <w:iCs/>
          <w:lang w:val="fr-FR"/>
        </w:rPr>
        <w:t xml:space="preserve">Examen de toutes les </w:t>
      </w:r>
      <w:r w:rsidR="00526481" w:rsidRPr="00866BDD">
        <w:rPr>
          <w:rFonts w:cs="Arial"/>
          <w:i/>
          <w:iCs/>
          <w:lang w:val="fr-FR"/>
        </w:rPr>
        <w:t>R</w:t>
      </w:r>
      <w:r w:rsidRPr="00866BDD">
        <w:rPr>
          <w:rFonts w:cs="Arial"/>
          <w:i/>
          <w:iCs/>
          <w:lang w:val="fr-FR"/>
        </w:rPr>
        <w:t>é</w:t>
      </w:r>
      <w:r w:rsidR="00526481" w:rsidRPr="00866BDD">
        <w:rPr>
          <w:rFonts w:cs="Arial"/>
          <w:i/>
          <w:iCs/>
          <w:lang w:val="fr-FR"/>
        </w:rPr>
        <w:t xml:space="preserve">solutions </w:t>
      </w:r>
      <w:r w:rsidRPr="00866BDD">
        <w:rPr>
          <w:rFonts w:cs="Arial"/>
          <w:i/>
          <w:iCs/>
          <w:lang w:val="fr-FR"/>
        </w:rPr>
        <w:t xml:space="preserve">et Décisions précédentes </w:t>
      </w:r>
      <w:r w:rsidR="002531D8" w:rsidRPr="00866BDD">
        <w:rPr>
          <w:rFonts w:cs="Arial"/>
          <w:i/>
          <w:iCs/>
          <w:lang w:val="fr-FR"/>
        </w:rPr>
        <w:t xml:space="preserve">: </w:t>
      </w:r>
      <w:r w:rsidRPr="00866BDD">
        <w:rPr>
          <w:rFonts w:cs="Arial"/>
          <w:i/>
          <w:iCs/>
          <w:lang w:val="fr-FR"/>
        </w:rPr>
        <w:t>Mé</w:t>
      </w:r>
      <w:r>
        <w:rPr>
          <w:rFonts w:cs="Arial"/>
          <w:i/>
          <w:iCs/>
          <w:lang w:val="fr-FR"/>
        </w:rPr>
        <w:t xml:space="preserve">thode de </w:t>
      </w:r>
      <w:r w:rsidR="00A55096">
        <w:rPr>
          <w:rFonts w:cs="Arial"/>
          <w:i/>
          <w:iCs/>
          <w:lang w:val="fr-FR"/>
        </w:rPr>
        <w:t>réalisation</w:t>
      </w:r>
      <w:r>
        <w:rPr>
          <w:rFonts w:cs="Arial"/>
          <w:i/>
          <w:iCs/>
          <w:lang w:val="fr-FR"/>
        </w:rPr>
        <w:t xml:space="preserve"> de l’examen</w:t>
      </w:r>
      <w:r w:rsidR="00A55096">
        <w:rPr>
          <w:rFonts w:cs="Arial"/>
          <w:i/>
          <w:iCs/>
          <w:lang w:val="fr-FR"/>
        </w:rPr>
        <w:t xml:space="preserve"> </w:t>
      </w:r>
      <w:r w:rsidR="002531D8" w:rsidRPr="00866BDD">
        <w:rPr>
          <w:rFonts w:cs="Arial"/>
          <w:i/>
          <w:iCs/>
          <w:lang w:val="fr-FR"/>
        </w:rPr>
        <w:t>;</w:t>
      </w:r>
      <w:r w:rsidR="007816EC" w:rsidRPr="00866BDD">
        <w:rPr>
          <w:rFonts w:cs="Arial"/>
          <w:lang w:val="fr-FR"/>
        </w:rPr>
        <w:br/>
      </w:r>
      <w:r w:rsidR="00E06E83" w:rsidRPr="00866BDD">
        <w:rPr>
          <w:rFonts w:cs="Arial"/>
          <w:lang w:val="fr-FR"/>
        </w:rPr>
        <w:t>(</w:t>
      </w:r>
      <w:r>
        <w:rPr>
          <w:rFonts w:cs="Arial"/>
          <w:lang w:val="fr-FR"/>
        </w:rPr>
        <w:t>sur instructions de la Dé</w:t>
      </w:r>
      <w:r w:rsidR="00E06E83" w:rsidRPr="00866BDD">
        <w:rPr>
          <w:rFonts w:cs="Arial"/>
          <w:lang w:val="fr-FR"/>
        </w:rPr>
        <w:t>cision SC58-21</w:t>
      </w:r>
      <w:r w:rsidR="007816EC" w:rsidRPr="00866BDD">
        <w:rPr>
          <w:rFonts w:cs="Arial"/>
          <w:lang w:val="fr-FR"/>
        </w:rPr>
        <w:t xml:space="preserve"> </w:t>
      </w:r>
      <w:r>
        <w:rPr>
          <w:rFonts w:cs="Arial"/>
          <w:lang w:val="fr-FR"/>
        </w:rPr>
        <w:t>et en réponse à la Dé</w:t>
      </w:r>
      <w:r w:rsidR="007816EC" w:rsidRPr="00866BDD">
        <w:rPr>
          <w:rFonts w:cs="Arial"/>
          <w:lang w:val="fr-FR"/>
        </w:rPr>
        <w:t>cision SC57-19</w:t>
      </w:r>
      <w:r w:rsidR="00E06E83" w:rsidRPr="00866BDD">
        <w:rPr>
          <w:rFonts w:cs="Arial"/>
          <w:lang w:val="fr-FR"/>
        </w:rPr>
        <w:t>)</w:t>
      </w:r>
      <w:r w:rsidR="00FA0E4B" w:rsidRPr="00866BDD">
        <w:rPr>
          <w:rFonts w:cs="Arial"/>
          <w:lang w:val="fr-FR"/>
        </w:rPr>
        <w:t xml:space="preserve"> </w:t>
      </w:r>
      <w:r>
        <w:rPr>
          <w:rFonts w:cs="Arial"/>
          <w:lang w:val="fr-FR"/>
        </w:rPr>
        <w:t xml:space="preserve">comprenant </w:t>
      </w:r>
      <w:r w:rsidR="00E06E83" w:rsidRPr="00866BDD">
        <w:rPr>
          <w:rFonts w:cs="Arial"/>
          <w:lang w:val="fr-FR"/>
        </w:rPr>
        <w:t>:</w:t>
      </w:r>
    </w:p>
    <w:p w14:paraId="2E466CD1" w14:textId="4DD21E3B" w:rsidR="00FA0E4B" w:rsidRPr="00866BDD" w:rsidRDefault="00E06E83" w:rsidP="00AB7634">
      <w:pPr>
        <w:tabs>
          <w:tab w:val="left" w:pos="425"/>
          <w:tab w:val="left" w:pos="851"/>
          <w:tab w:val="left" w:pos="1276"/>
          <w:tab w:val="left" w:pos="1701"/>
        </w:tabs>
        <w:ind w:left="1276" w:hanging="1276"/>
        <w:rPr>
          <w:rFonts w:cstheme="minorHAnsi"/>
          <w:lang w:val="fr-FR"/>
        </w:rPr>
      </w:pPr>
      <w:r w:rsidRPr="00866BDD">
        <w:rPr>
          <w:rFonts w:cs="Arial"/>
          <w:lang w:val="fr-FR"/>
        </w:rPr>
        <w:tab/>
      </w:r>
      <w:r w:rsidRPr="00866BDD">
        <w:rPr>
          <w:rFonts w:cs="Arial"/>
          <w:lang w:val="fr-FR"/>
        </w:rPr>
        <w:tab/>
        <w:t>-</w:t>
      </w:r>
      <w:r w:rsidRPr="00866BDD">
        <w:rPr>
          <w:rFonts w:cs="Arial"/>
          <w:lang w:val="fr-FR"/>
        </w:rPr>
        <w:tab/>
      </w:r>
      <w:r w:rsidR="00866BDD" w:rsidRPr="00866BDD">
        <w:rPr>
          <w:rFonts w:cs="Arial"/>
          <w:lang w:val="fr-FR"/>
        </w:rPr>
        <w:t>un projet d’orientations pour la</w:t>
      </w:r>
      <w:r w:rsidR="00FA0E4B" w:rsidRPr="00866BDD">
        <w:rPr>
          <w:rFonts w:cs="Arial"/>
          <w:lang w:val="fr-FR"/>
        </w:rPr>
        <w:t xml:space="preserve"> pr</w:t>
      </w:r>
      <w:r w:rsidR="00866BDD" w:rsidRPr="00866BDD">
        <w:rPr>
          <w:rFonts w:cs="Arial"/>
          <w:lang w:val="fr-FR"/>
        </w:rPr>
        <w:t>é</w:t>
      </w:r>
      <w:r w:rsidR="00FA0E4B" w:rsidRPr="00866BDD">
        <w:rPr>
          <w:rFonts w:cs="Arial"/>
          <w:lang w:val="fr-FR"/>
        </w:rPr>
        <w:t xml:space="preserve">paration </w:t>
      </w:r>
      <w:r w:rsidR="00866BDD">
        <w:rPr>
          <w:rFonts w:cs="Arial"/>
          <w:lang w:val="fr-FR"/>
        </w:rPr>
        <w:t>et l’</w:t>
      </w:r>
      <w:r w:rsidR="00FA0E4B" w:rsidRPr="00866BDD">
        <w:rPr>
          <w:rFonts w:cs="Arial"/>
          <w:lang w:val="fr-FR"/>
        </w:rPr>
        <w:t xml:space="preserve">adoption </w:t>
      </w:r>
      <w:r w:rsidR="00866BDD">
        <w:rPr>
          <w:rFonts w:cs="Arial"/>
          <w:lang w:val="fr-FR"/>
        </w:rPr>
        <w:t>futures de projets de ré</w:t>
      </w:r>
      <w:r w:rsidR="00FA0E4B" w:rsidRPr="00866BDD">
        <w:rPr>
          <w:rFonts w:cs="Arial"/>
          <w:lang w:val="fr-FR"/>
        </w:rPr>
        <w:t xml:space="preserve">solutions </w:t>
      </w:r>
      <w:r w:rsidR="00975147" w:rsidRPr="00866BDD">
        <w:rPr>
          <w:rFonts w:cs="Arial"/>
          <w:lang w:val="fr-FR"/>
        </w:rPr>
        <w:br/>
      </w:r>
      <w:r w:rsidR="00FA0E4B" w:rsidRPr="00866BDD">
        <w:rPr>
          <w:rFonts w:cs="Arial"/>
          <w:lang w:val="fr-FR"/>
        </w:rPr>
        <w:t>(</w:t>
      </w:r>
      <w:r w:rsidR="00866BDD">
        <w:rPr>
          <w:rFonts w:cs="Arial"/>
          <w:lang w:val="fr-FR"/>
        </w:rPr>
        <w:t>sur instructions de la Dé</w:t>
      </w:r>
      <w:r w:rsidR="00866BDD" w:rsidRPr="00866BDD">
        <w:rPr>
          <w:rFonts w:cs="Arial"/>
          <w:lang w:val="fr-FR"/>
        </w:rPr>
        <w:t xml:space="preserve">cision </w:t>
      </w:r>
      <w:r w:rsidRPr="00866BDD">
        <w:rPr>
          <w:rFonts w:cs="Arial"/>
          <w:lang w:val="fr-FR"/>
        </w:rPr>
        <w:t>SC58-19.ii)</w:t>
      </w:r>
      <w:r w:rsidR="00866BDD">
        <w:rPr>
          <w:rFonts w:cs="Arial"/>
          <w:lang w:val="fr-FR"/>
        </w:rPr>
        <w:t xml:space="preserve"> </w:t>
      </w:r>
      <w:r w:rsidR="007816EC" w:rsidRPr="00866BDD">
        <w:rPr>
          <w:rFonts w:cs="Arial"/>
          <w:lang w:val="fr-FR"/>
        </w:rPr>
        <w:t>;</w:t>
      </w:r>
      <w:r w:rsidR="00526481" w:rsidRPr="00866BDD">
        <w:rPr>
          <w:rFonts w:cstheme="minorHAnsi"/>
          <w:lang w:val="fr-FR"/>
        </w:rPr>
        <w:t xml:space="preserve"> </w:t>
      </w:r>
      <w:r w:rsidR="00866BDD">
        <w:rPr>
          <w:rFonts w:cstheme="minorHAnsi"/>
          <w:lang w:val="fr-FR"/>
        </w:rPr>
        <w:t>et</w:t>
      </w:r>
      <w:r w:rsidR="00142B88" w:rsidRPr="00866BDD">
        <w:rPr>
          <w:rFonts w:cstheme="minorHAnsi"/>
          <w:lang w:val="fr-FR"/>
        </w:rPr>
        <w:t xml:space="preserve"> </w:t>
      </w:r>
    </w:p>
    <w:p w14:paraId="576F6D66" w14:textId="156923D4" w:rsidR="00142B88" w:rsidRPr="00866BDD" w:rsidRDefault="00142B88" w:rsidP="00AB7634">
      <w:pPr>
        <w:tabs>
          <w:tab w:val="left" w:pos="425"/>
          <w:tab w:val="left" w:pos="851"/>
          <w:tab w:val="left" w:pos="1276"/>
          <w:tab w:val="left" w:pos="1701"/>
        </w:tabs>
        <w:ind w:left="1276" w:hanging="1276"/>
        <w:rPr>
          <w:rFonts w:cstheme="minorHAnsi"/>
          <w:lang w:val="fr-FR"/>
        </w:rPr>
      </w:pPr>
      <w:r w:rsidRPr="00866BDD">
        <w:rPr>
          <w:rFonts w:cstheme="minorHAnsi"/>
          <w:lang w:val="fr-FR"/>
        </w:rPr>
        <w:tab/>
      </w:r>
      <w:r w:rsidRPr="00866BDD">
        <w:rPr>
          <w:rFonts w:cstheme="minorHAnsi"/>
          <w:lang w:val="fr-FR"/>
        </w:rPr>
        <w:tab/>
        <w:t>-</w:t>
      </w:r>
      <w:r w:rsidRPr="00866BDD">
        <w:rPr>
          <w:rFonts w:cstheme="minorHAnsi"/>
          <w:lang w:val="fr-FR"/>
        </w:rPr>
        <w:tab/>
      </w:r>
      <w:r w:rsidR="00866BDD" w:rsidRPr="00866BDD">
        <w:rPr>
          <w:rFonts w:cs="Arial"/>
          <w:lang w:val="fr-FR"/>
        </w:rPr>
        <w:t>un projet de regroupement</w:t>
      </w:r>
      <w:r w:rsidRPr="00866BDD">
        <w:rPr>
          <w:rFonts w:cstheme="minorHAnsi"/>
          <w:lang w:val="fr-FR"/>
        </w:rPr>
        <w:t xml:space="preserve"> (cat</w:t>
      </w:r>
      <w:r w:rsidR="00866BDD" w:rsidRPr="00866BDD">
        <w:rPr>
          <w:rFonts w:cstheme="minorHAnsi"/>
          <w:lang w:val="fr-FR"/>
        </w:rPr>
        <w:t>é</w:t>
      </w:r>
      <w:r w:rsidRPr="00866BDD">
        <w:rPr>
          <w:rFonts w:cstheme="minorHAnsi"/>
          <w:lang w:val="fr-FR"/>
        </w:rPr>
        <w:t>gori</w:t>
      </w:r>
      <w:r w:rsidR="00866BDD" w:rsidRPr="00866BDD">
        <w:rPr>
          <w:rFonts w:cstheme="minorHAnsi"/>
          <w:lang w:val="fr-FR"/>
        </w:rPr>
        <w:t>s</w:t>
      </w:r>
      <w:r w:rsidRPr="00866BDD">
        <w:rPr>
          <w:rFonts w:cstheme="minorHAnsi"/>
          <w:lang w:val="fr-FR"/>
        </w:rPr>
        <w:t xml:space="preserve">ation) </w:t>
      </w:r>
      <w:r w:rsidR="00866BDD" w:rsidRPr="00866BDD">
        <w:rPr>
          <w:rFonts w:cstheme="minorHAnsi"/>
          <w:lang w:val="fr-FR"/>
        </w:rPr>
        <w:t>des Ré</w:t>
      </w:r>
      <w:r w:rsidRPr="00866BDD">
        <w:rPr>
          <w:rFonts w:cstheme="minorHAnsi"/>
          <w:lang w:val="fr-FR"/>
        </w:rPr>
        <w:t xml:space="preserve">solutions </w:t>
      </w:r>
      <w:r w:rsidR="00866BDD" w:rsidRPr="00866BDD">
        <w:rPr>
          <w:rFonts w:cstheme="minorHAnsi"/>
          <w:lang w:val="fr-FR"/>
        </w:rPr>
        <w:t>et</w:t>
      </w:r>
      <w:r w:rsidRPr="00866BDD">
        <w:rPr>
          <w:rFonts w:cstheme="minorHAnsi"/>
          <w:lang w:val="fr-FR"/>
        </w:rPr>
        <w:t xml:space="preserve"> </w:t>
      </w:r>
      <w:r w:rsidR="00866BDD" w:rsidRPr="00866BDD">
        <w:rPr>
          <w:rFonts w:cstheme="minorHAnsi"/>
          <w:lang w:val="fr-FR"/>
        </w:rPr>
        <w:t>Recommandations actuelles en domaines thémat</w:t>
      </w:r>
      <w:r w:rsidR="00866BDD">
        <w:rPr>
          <w:rFonts w:cstheme="minorHAnsi"/>
          <w:lang w:val="fr-FR"/>
        </w:rPr>
        <w:t>iques principaux</w:t>
      </w:r>
      <w:r w:rsidRPr="00866BDD">
        <w:rPr>
          <w:rFonts w:cstheme="minorHAnsi"/>
          <w:lang w:val="fr-FR"/>
        </w:rPr>
        <w:t xml:space="preserve">, </w:t>
      </w:r>
      <w:r w:rsidR="00866BDD">
        <w:rPr>
          <w:rFonts w:cstheme="minorHAnsi"/>
          <w:lang w:val="fr-FR"/>
        </w:rPr>
        <w:t xml:space="preserve">comme base de priorisation des thèmes des </w:t>
      </w:r>
      <w:r w:rsidR="00866BDD" w:rsidRPr="00866BDD">
        <w:rPr>
          <w:rFonts w:cstheme="minorHAnsi"/>
          <w:lang w:val="fr-FR"/>
        </w:rPr>
        <w:t>Résolutions</w:t>
      </w:r>
      <w:r w:rsidR="00C74BB6" w:rsidRPr="00866BDD">
        <w:rPr>
          <w:rFonts w:cstheme="minorHAnsi"/>
          <w:lang w:val="fr-FR"/>
        </w:rPr>
        <w:t xml:space="preserve"> </w:t>
      </w:r>
      <w:r w:rsidR="00866BDD">
        <w:rPr>
          <w:rFonts w:cstheme="minorHAnsi"/>
          <w:lang w:val="fr-FR"/>
        </w:rPr>
        <w:t>à regrouper</w:t>
      </w:r>
      <w:r w:rsidR="00C74BB6" w:rsidRPr="00866BDD">
        <w:rPr>
          <w:rFonts w:cstheme="minorHAnsi"/>
          <w:lang w:val="fr-FR"/>
        </w:rPr>
        <w:br/>
        <w:t>(</w:t>
      </w:r>
      <w:r w:rsidR="00866BDD">
        <w:rPr>
          <w:rFonts w:cs="Arial"/>
          <w:lang w:val="fr-FR"/>
        </w:rPr>
        <w:t>sur instructions de la Dé</w:t>
      </w:r>
      <w:r w:rsidR="00866BDD" w:rsidRPr="00866BDD">
        <w:rPr>
          <w:rFonts w:cs="Arial"/>
          <w:lang w:val="fr-FR"/>
        </w:rPr>
        <w:t xml:space="preserve">cision </w:t>
      </w:r>
      <w:r w:rsidR="00C74BB6" w:rsidRPr="00866BDD">
        <w:rPr>
          <w:rFonts w:cstheme="minorHAnsi"/>
          <w:lang w:val="fr-FR"/>
        </w:rPr>
        <w:t>SC57-19)</w:t>
      </w:r>
      <w:r w:rsidR="00866BDD">
        <w:rPr>
          <w:rFonts w:cstheme="minorHAnsi"/>
          <w:lang w:val="fr-FR"/>
        </w:rPr>
        <w:t xml:space="preserve"> </w:t>
      </w:r>
      <w:r w:rsidR="00C74BB6" w:rsidRPr="00866BDD">
        <w:rPr>
          <w:rFonts w:cstheme="minorHAnsi"/>
          <w:lang w:val="fr-FR"/>
        </w:rPr>
        <w:t xml:space="preserve">; </w:t>
      </w:r>
      <w:r w:rsidRPr="00866BDD">
        <w:rPr>
          <w:rFonts w:cstheme="minorHAnsi"/>
          <w:lang w:val="fr-FR"/>
        </w:rPr>
        <w:t xml:space="preserve"> </w:t>
      </w:r>
    </w:p>
    <w:p w14:paraId="090DACEF" w14:textId="1FFE6EBE" w:rsidR="00FA0E4B" w:rsidRPr="00866BDD" w:rsidRDefault="00FA0E4B" w:rsidP="00FA0E4B">
      <w:pPr>
        <w:tabs>
          <w:tab w:val="left" w:pos="425"/>
          <w:tab w:val="left" w:pos="851"/>
          <w:tab w:val="left" w:pos="1276"/>
        </w:tabs>
        <w:ind w:left="851" w:hanging="851"/>
        <w:rPr>
          <w:rFonts w:cstheme="minorHAnsi"/>
          <w:lang w:val="fr-FR"/>
        </w:rPr>
      </w:pPr>
      <w:r w:rsidRPr="00866BDD">
        <w:rPr>
          <w:rFonts w:cstheme="minorHAnsi"/>
          <w:lang w:val="fr-FR"/>
        </w:rPr>
        <w:tab/>
        <w:t>-</w:t>
      </w:r>
      <w:r w:rsidRPr="00866BDD">
        <w:rPr>
          <w:rFonts w:cstheme="minorHAnsi"/>
          <w:lang w:val="fr-FR"/>
        </w:rPr>
        <w:tab/>
      </w:r>
      <w:r w:rsidR="00526481" w:rsidRPr="00866BDD">
        <w:rPr>
          <w:rFonts w:cstheme="minorHAnsi"/>
          <w:lang w:val="fr-FR"/>
        </w:rPr>
        <w:t>SC59 Doc</w:t>
      </w:r>
      <w:r w:rsidR="00A45845" w:rsidRPr="00866BDD">
        <w:rPr>
          <w:rFonts w:cstheme="minorHAnsi"/>
          <w:lang w:val="fr-FR"/>
        </w:rPr>
        <w:t>.</w:t>
      </w:r>
      <w:r w:rsidR="00526481" w:rsidRPr="00866BDD">
        <w:rPr>
          <w:rFonts w:cstheme="minorHAnsi"/>
          <w:lang w:val="fr-FR"/>
        </w:rPr>
        <w:t xml:space="preserve">13.2 </w:t>
      </w:r>
      <w:r w:rsidR="00866BDD" w:rsidRPr="00866BDD">
        <w:rPr>
          <w:rFonts w:cstheme="minorHAnsi"/>
          <w:i/>
          <w:iCs/>
          <w:lang w:val="fr-FR"/>
        </w:rPr>
        <w:t>Projet de liste de</w:t>
      </w:r>
      <w:r w:rsidR="00866BDD" w:rsidRPr="00866BDD">
        <w:rPr>
          <w:rFonts w:cstheme="minorHAnsi"/>
          <w:lang w:val="fr-FR"/>
        </w:rPr>
        <w:t xml:space="preserve"> </w:t>
      </w:r>
      <w:r w:rsidR="00A45845" w:rsidRPr="00866BDD">
        <w:rPr>
          <w:rFonts w:cs="Arial"/>
          <w:i/>
          <w:iCs/>
          <w:lang w:val="fr-FR"/>
        </w:rPr>
        <w:t>R</w:t>
      </w:r>
      <w:r w:rsidR="00866BDD" w:rsidRPr="00866BDD">
        <w:rPr>
          <w:rFonts w:cs="Arial"/>
          <w:i/>
          <w:iCs/>
          <w:lang w:val="fr-FR"/>
        </w:rPr>
        <w:t>é</w:t>
      </w:r>
      <w:r w:rsidR="00A45845" w:rsidRPr="00866BDD">
        <w:rPr>
          <w:rFonts w:cs="Arial"/>
          <w:i/>
          <w:iCs/>
          <w:lang w:val="fr-FR"/>
        </w:rPr>
        <w:t xml:space="preserve">solutions </w:t>
      </w:r>
      <w:r w:rsidR="00866BDD" w:rsidRPr="00866BDD">
        <w:rPr>
          <w:rFonts w:cs="Arial"/>
          <w:i/>
          <w:iCs/>
          <w:lang w:val="fr-FR"/>
        </w:rPr>
        <w:t xml:space="preserve">qui sont </w:t>
      </w:r>
      <w:r w:rsidR="00866BDD">
        <w:rPr>
          <w:rFonts w:cs="Arial"/>
          <w:i/>
          <w:iCs/>
          <w:lang w:val="fr-FR"/>
        </w:rPr>
        <w:t>effectivement obsolètes</w:t>
      </w:r>
      <w:r w:rsidR="007816EC" w:rsidRPr="00866BDD">
        <w:rPr>
          <w:rFonts w:cs="Arial"/>
          <w:lang w:val="fr-FR"/>
        </w:rPr>
        <w:t xml:space="preserve"> </w:t>
      </w:r>
      <w:r w:rsidR="007816EC" w:rsidRPr="00866BDD">
        <w:rPr>
          <w:rFonts w:cs="Arial"/>
          <w:lang w:val="fr-FR"/>
        </w:rPr>
        <w:br/>
        <w:t>(</w:t>
      </w:r>
      <w:r w:rsidR="00866BDD">
        <w:rPr>
          <w:rFonts w:cs="Arial"/>
          <w:lang w:val="fr-FR"/>
        </w:rPr>
        <w:t>sur instructions de la Dé</w:t>
      </w:r>
      <w:r w:rsidR="00866BDD" w:rsidRPr="00866BDD">
        <w:rPr>
          <w:rFonts w:cs="Arial"/>
          <w:lang w:val="fr-FR"/>
        </w:rPr>
        <w:t xml:space="preserve">cision </w:t>
      </w:r>
      <w:r w:rsidR="007816EC" w:rsidRPr="00866BDD">
        <w:rPr>
          <w:rFonts w:cs="Arial"/>
          <w:lang w:val="fr-FR"/>
        </w:rPr>
        <w:t>SC58-19.i)</w:t>
      </w:r>
      <w:r w:rsidR="00866BDD">
        <w:rPr>
          <w:rFonts w:cs="Arial"/>
          <w:lang w:val="fr-FR"/>
        </w:rPr>
        <w:t xml:space="preserve"> </w:t>
      </w:r>
      <w:r w:rsidR="00A45845" w:rsidRPr="00866BDD">
        <w:rPr>
          <w:rFonts w:cstheme="minorHAnsi"/>
          <w:lang w:val="fr-FR"/>
        </w:rPr>
        <w:t>;</w:t>
      </w:r>
      <w:r w:rsidR="00526481" w:rsidRPr="00866BDD">
        <w:rPr>
          <w:rFonts w:cstheme="minorHAnsi"/>
          <w:lang w:val="fr-FR"/>
        </w:rPr>
        <w:t xml:space="preserve"> </w:t>
      </w:r>
      <w:r w:rsidR="00866BDD">
        <w:rPr>
          <w:rFonts w:cstheme="minorHAnsi"/>
          <w:lang w:val="fr-FR"/>
        </w:rPr>
        <w:t>et</w:t>
      </w:r>
      <w:r w:rsidR="00526481" w:rsidRPr="00866BDD">
        <w:rPr>
          <w:rFonts w:cstheme="minorHAnsi"/>
          <w:lang w:val="fr-FR"/>
        </w:rPr>
        <w:t xml:space="preserve"> </w:t>
      </w:r>
    </w:p>
    <w:p w14:paraId="485C0ECF" w14:textId="58D3BA3C" w:rsidR="00CC7A56" w:rsidRPr="00866BDD" w:rsidRDefault="00FA0E4B" w:rsidP="00FA0E4B">
      <w:pPr>
        <w:tabs>
          <w:tab w:val="left" w:pos="425"/>
          <w:tab w:val="left" w:pos="851"/>
          <w:tab w:val="left" w:pos="1276"/>
        </w:tabs>
        <w:ind w:left="851" w:hanging="851"/>
        <w:rPr>
          <w:rFonts w:cs="Arial"/>
          <w:b/>
          <w:sz w:val="28"/>
          <w:szCs w:val="28"/>
          <w:lang w:val="fr-FR"/>
        </w:rPr>
      </w:pPr>
      <w:r w:rsidRPr="00866BDD">
        <w:rPr>
          <w:rFonts w:cstheme="minorHAnsi"/>
          <w:lang w:val="fr-FR"/>
        </w:rPr>
        <w:tab/>
        <w:t>-</w:t>
      </w:r>
      <w:r w:rsidRPr="00866BDD">
        <w:rPr>
          <w:rFonts w:cstheme="minorHAnsi"/>
          <w:lang w:val="fr-FR"/>
        </w:rPr>
        <w:tab/>
      </w:r>
      <w:r w:rsidR="00526481" w:rsidRPr="00866BDD">
        <w:rPr>
          <w:rFonts w:cstheme="minorHAnsi"/>
          <w:lang w:val="fr-FR"/>
        </w:rPr>
        <w:t>SC59 Doc</w:t>
      </w:r>
      <w:r w:rsidR="00A45845" w:rsidRPr="00866BDD">
        <w:rPr>
          <w:rFonts w:cstheme="minorHAnsi"/>
          <w:lang w:val="fr-FR"/>
        </w:rPr>
        <w:t>.</w:t>
      </w:r>
      <w:r w:rsidR="00526481" w:rsidRPr="00866BDD">
        <w:rPr>
          <w:rFonts w:cstheme="minorHAnsi"/>
          <w:lang w:val="fr-FR"/>
        </w:rPr>
        <w:t xml:space="preserve">13.3 </w:t>
      </w:r>
      <w:r w:rsidR="00866BDD" w:rsidRPr="00866BDD">
        <w:rPr>
          <w:rFonts w:cstheme="minorHAnsi"/>
          <w:i/>
          <w:iCs/>
          <w:lang w:val="fr-FR"/>
        </w:rPr>
        <w:t>Projet de</w:t>
      </w:r>
      <w:r w:rsidR="00866BDD">
        <w:rPr>
          <w:rFonts w:cstheme="minorHAnsi"/>
          <w:i/>
          <w:iCs/>
          <w:lang w:val="fr-FR"/>
        </w:rPr>
        <w:t xml:space="preserve"> résolution regroupée sur les « Inventaires »</w:t>
      </w:r>
      <w:r w:rsidR="007816EC" w:rsidRPr="00866BDD">
        <w:rPr>
          <w:rFonts w:cstheme="minorHAnsi"/>
          <w:lang w:val="fr-FR"/>
        </w:rPr>
        <w:t xml:space="preserve"> </w:t>
      </w:r>
      <w:r w:rsidR="007816EC" w:rsidRPr="00866BDD">
        <w:rPr>
          <w:rFonts w:cstheme="minorHAnsi"/>
          <w:lang w:val="fr-FR"/>
        </w:rPr>
        <w:br/>
        <w:t>(</w:t>
      </w:r>
      <w:r w:rsidR="00866BDD">
        <w:rPr>
          <w:rFonts w:cs="Arial"/>
          <w:lang w:val="fr-FR"/>
        </w:rPr>
        <w:t>sur instructions de la Dé</w:t>
      </w:r>
      <w:r w:rsidR="00866BDD" w:rsidRPr="00866BDD">
        <w:rPr>
          <w:rFonts w:cs="Arial"/>
          <w:lang w:val="fr-FR"/>
        </w:rPr>
        <w:t xml:space="preserve">cision </w:t>
      </w:r>
      <w:r w:rsidR="007816EC" w:rsidRPr="00866BDD">
        <w:rPr>
          <w:rFonts w:cstheme="minorHAnsi"/>
          <w:lang w:val="fr-FR"/>
        </w:rPr>
        <w:t>SC58-20)</w:t>
      </w:r>
      <w:r w:rsidR="00A45845" w:rsidRPr="00866BDD">
        <w:rPr>
          <w:rFonts w:cstheme="minorHAnsi"/>
          <w:lang w:val="fr-FR"/>
        </w:rPr>
        <w:t>.</w:t>
      </w:r>
    </w:p>
    <w:p w14:paraId="7EDE0AB9" w14:textId="0650EDCF" w:rsidR="00685573" w:rsidRPr="00866BDD" w:rsidRDefault="00685573" w:rsidP="00FB5740">
      <w:pPr>
        <w:rPr>
          <w:rFonts w:cstheme="minorHAnsi"/>
          <w:lang w:val="fr-FR"/>
        </w:rPr>
      </w:pPr>
    </w:p>
    <w:p w14:paraId="69BFD724" w14:textId="7FAD8213" w:rsidR="00FA0E4B" w:rsidRPr="00866BDD" w:rsidRDefault="00FA0E4B" w:rsidP="00FB5740">
      <w:pPr>
        <w:rPr>
          <w:rFonts w:cstheme="minorHAnsi"/>
          <w:lang w:val="fr-FR"/>
        </w:rPr>
      </w:pPr>
    </w:p>
    <w:p w14:paraId="0E9F94E4" w14:textId="74958F09" w:rsidR="00B619EC" w:rsidRPr="00866BDD" w:rsidRDefault="00B619EC" w:rsidP="002714A5">
      <w:pPr>
        <w:ind w:left="0" w:firstLine="0"/>
        <w:rPr>
          <w:rFonts w:asciiTheme="minorHAnsi" w:hAnsiTheme="minorHAnsi" w:cstheme="minorHAnsi"/>
          <w:lang w:val="fr-FR"/>
        </w:rPr>
      </w:pPr>
    </w:p>
    <w:sectPr w:rsidR="00B619EC" w:rsidRPr="00866BDD"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44AA0" w14:textId="77777777" w:rsidR="00D03DED" w:rsidRDefault="00D03DED" w:rsidP="00DF2386">
      <w:r>
        <w:separator/>
      </w:r>
    </w:p>
  </w:endnote>
  <w:endnote w:type="continuationSeparator" w:id="0">
    <w:p w14:paraId="7ED5F094" w14:textId="77777777" w:rsidR="00D03DED" w:rsidRDefault="00D03DED"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A7FA" w14:textId="27AE2BB2" w:rsidR="004F73D2" w:rsidRDefault="00816A1B" w:rsidP="002137E0">
    <w:pPr>
      <w:pStyle w:val="Header"/>
      <w:rPr>
        <w:noProof/>
      </w:rPr>
    </w:pPr>
    <w:r>
      <w:rPr>
        <w:sz w:val="20"/>
        <w:szCs w:val="20"/>
      </w:rPr>
      <w:t>SC59</w:t>
    </w:r>
    <w:r w:rsidR="004F73D2">
      <w:rPr>
        <w:sz w:val="20"/>
        <w:szCs w:val="20"/>
      </w:rPr>
      <w:t xml:space="preserve"> Doc.13</w:t>
    </w:r>
    <w:r w:rsidR="004F73D2">
      <w:tab/>
    </w:r>
    <w:r w:rsidR="004F73D2">
      <w:tab/>
    </w:r>
    <w:sdt>
      <w:sdtPr>
        <w:id w:val="-1790969534"/>
        <w:docPartObj>
          <w:docPartGallery w:val="Page Numbers (Top of Page)"/>
          <w:docPartUnique/>
        </w:docPartObj>
      </w:sdtPr>
      <w:sdtEndPr>
        <w:rPr>
          <w:noProof/>
        </w:rPr>
      </w:sdtEndPr>
      <w:sdtContent>
        <w:r w:rsidR="004F73D2">
          <w:fldChar w:fldCharType="begin"/>
        </w:r>
        <w:r w:rsidR="004F73D2">
          <w:instrText xml:space="preserve"> PAGE   \* MERGEFORMAT </w:instrText>
        </w:r>
        <w:r w:rsidR="004F73D2">
          <w:fldChar w:fldCharType="separate"/>
        </w:r>
        <w:r w:rsidR="00745DF3" w:rsidRPr="00745DF3">
          <w:rPr>
            <w:noProof/>
            <w:sz w:val="20"/>
            <w:szCs w:val="20"/>
          </w:rPr>
          <w:t>3</w:t>
        </w:r>
        <w:r w:rsidR="004F73D2">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6C1E6" w14:textId="77777777" w:rsidR="00D03DED" w:rsidRDefault="00D03DED" w:rsidP="00DF2386">
      <w:r>
        <w:separator/>
      </w:r>
    </w:p>
  </w:footnote>
  <w:footnote w:type="continuationSeparator" w:id="0">
    <w:p w14:paraId="4734341F" w14:textId="77777777" w:rsidR="00D03DED" w:rsidRDefault="00D03DED"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0417" w14:textId="77777777" w:rsidR="004F73D2" w:rsidRDefault="004F73D2">
    <w:pPr>
      <w:pStyle w:val="Header"/>
    </w:pPr>
  </w:p>
  <w:p w14:paraId="0812CCCA" w14:textId="77777777" w:rsidR="004F73D2" w:rsidRDefault="004F7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687700"/>
    <w:multiLevelType w:val="hybridMultilevel"/>
    <w:tmpl w:val="F50EDC3A"/>
    <w:lvl w:ilvl="0" w:tplc="337A5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0E1280B"/>
    <w:multiLevelType w:val="hybridMultilevel"/>
    <w:tmpl w:val="7CA64C3A"/>
    <w:lvl w:ilvl="0" w:tplc="05D40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8"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BD2E9D"/>
    <w:multiLevelType w:val="hybridMultilevel"/>
    <w:tmpl w:val="4E3CBC94"/>
    <w:lvl w:ilvl="0" w:tplc="CEB204E6">
      <w:start w:val="2"/>
      <w:numFmt w:val="bullet"/>
      <w:lvlText w:val="-"/>
      <w:lvlJc w:val="left"/>
      <w:pPr>
        <w:ind w:left="1210" w:hanging="360"/>
      </w:pPr>
      <w:rPr>
        <w:rFonts w:ascii="Calibri" w:eastAsia="Calibri" w:hAnsi="Calibri" w:cs="Calibri" w:hint="default"/>
        <w:color w:val="auto"/>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2"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8" w15:restartNumberingAfterBreak="0">
    <w:nsid w:val="24A62A50"/>
    <w:multiLevelType w:val="hybridMultilevel"/>
    <w:tmpl w:val="068EC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0"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644F0567"/>
    <w:multiLevelType w:val="hybridMultilevel"/>
    <w:tmpl w:val="BB9000B2"/>
    <w:lvl w:ilvl="0" w:tplc="E312BC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66871F6"/>
    <w:multiLevelType w:val="hybridMultilevel"/>
    <w:tmpl w:val="556CA6C8"/>
    <w:lvl w:ilvl="0" w:tplc="CEB204E6">
      <w:start w:val="2"/>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75A161C"/>
    <w:multiLevelType w:val="hybridMultilevel"/>
    <w:tmpl w:val="67CA23FC"/>
    <w:lvl w:ilvl="0" w:tplc="08D08B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7A2815EE"/>
    <w:multiLevelType w:val="hybridMultilevel"/>
    <w:tmpl w:val="C6EA978E"/>
    <w:lvl w:ilvl="0" w:tplc="FB06D794">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1" w15:restartNumberingAfterBreak="0">
    <w:nsid w:val="7DE22DAF"/>
    <w:multiLevelType w:val="hybridMultilevel"/>
    <w:tmpl w:val="A3883308"/>
    <w:lvl w:ilvl="0" w:tplc="BCF23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0"/>
  </w:num>
  <w:num w:numId="13">
    <w:abstractNumId w:val="25"/>
  </w:num>
  <w:num w:numId="14">
    <w:abstractNumId w:val="20"/>
  </w:num>
  <w:num w:numId="15">
    <w:abstractNumId w:val="3"/>
  </w:num>
  <w:num w:numId="16">
    <w:abstractNumId w:val="22"/>
  </w:num>
  <w:num w:numId="17">
    <w:abstractNumId w:val="27"/>
  </w:num>
  <w:num w:numId="18">
    <w:abstractNumId w:val="42"/>
  </w:num>
  <w:num w:numId="19">
    <w:abstractNumId w:val="37"/>
  </w:num>
  <w:num w:numId="20">
    <w:abstractNumId w:val="30"/>
  </w:num>
  <w:num w:numId="21">
    <w:abstractNumId w:val="32"/>
  </w:num>
  <w:num w:numId="22">
    <w:abstractNumId w:val="23"/>
  </w:num>
  <w:num w:numId="23">
    <w:abstractNumId w:val="29"/>
  </w:num>
  <w:num w:numId="24">
    <w:abstractNumId w:val="26"/>
  </w:num>
  <w:num w:numId="25">
    <w:abstractNumId w:val="36"/>
  </w:num>
  <w:num w:numId="26">
    <w:abstractNumId w:val="15"/>
  </w:num>
  <w:num w:numId="27">
    <w:abstractNumId w:val="0"/>
  </w:num>
  <w:num w:numId="28">
    <w:abstractNumId w:val="19"/>
  </w:num>
  <w:num w:numId="29">
    <w:abstractNumId w:val="4"/>
  </w:num>
  <w:num w:numId="30">
    <w:abstractNumId w:val="17"/>
  </w:num>
  <w:num w:numId="31">
    <w:abstractNumId w:val="3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num>
  <w:num w:numId="35">
    <w:abstractNumId w:val="5"/>
  </w:num>
  <w:num w:numId="36">
    <w:abstractNumId w:val="9"/>
  </w:num>
  <w:num w:numId="37">
    <w:abstractNumId w:val="28"/>
  </w:num>
  <w:num w:numId="38">
    <w:abstractNumId w:val="33"/>
  </w:num>
  <w:num w:numId="39">
    <w:abstractNumId w:val="2"/>
  </w:num>
  <w:num w:numId="40">
    <w:abstractNumId w:val="39"/>
  </w:num>
  <w:num w:numId="41">
    <w:abstractNumId w:val="6"/>
  </w:num>
  <w:num w:numId="42">
    <w:abstractNumId w:val="41"/>
  </w:num>
  <w:num w:numId="43">
    <w:abstractNumId w:val="18"/>
  </w:num>
  <w:num w:numId="44">
    <w:abstractNumId w:val="11"/>
  </w:num>
  <w:num w:numId="45">
    <w:abstractNumId w:val="3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fr-CA" w:vendorID="64" w:dllVersion="6" w:nlCheck="1" w:checkStyle="1"/>
  <w:activeWritingStyle w:appName="MSWord" w:lang="fr-FR" w:vendorID="64" w:dllVersion="6" w:nlCheck="1" w:checkStyle="1"/>
  <w:activeWritingStyle w:appName="MSWord" w:lang="fr-FR" w:vendorID="64" w:dllVersion="4096" w:nlCheck="1" w:checkStyle="0"/>
  <w:activeWritingStyle w:appName="MSWord" w:lang="fr-CA" w:vendorID="64" w:dllVersion="4096"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6AD4"/>
    <w:rsid w:val="00007294"/>
    <w:rsid w:val="00010FD2"/>
    <w:rsid w:val="000138C9"/>
    <w:rsid w:val="00014168"/>
    <w:rsid w:val="000152D3"/>
    <w:rsid w:val="00015D7B"/>
    <w:rsid w:val="00017A16"/>
    <w:rsid w:val="0002490F"/>
    <w:rsid w:val="00025D01"/>
    <w:rsid w:val="00026E09"/>
    <w:rsid w:val="00026E8B"/>
    <w:rsid w:val="000279B7"/>
    <w:rsid w:val="00034F86"/>
    <w:rsid w:val="00037CE0"/>
    <w:rsid w:val="00037F4D"/>
    <w:rsid w:val="000511DF"/>
    <w:rsid w:val="00051FDD"/>
    <w:rsid w:val="000534E3"/>
    <w:rsid w:val="00053929"/>
    <w:rsid w:val="0005515A"/>
    <w:rsid w:val="000568BA"/>
    <w:rsid w:val="00057B25"/>
    <w:rsid w:val="000610CF"/>
    <w:rsid w:val="00061CB2"/>
    <w:rsid w:val="00062809"/>
    <w:rsid w:val="0006506B"/>
    <w:rsid w:val="00065C9E"/>
    <w:rsid w:val="000660C8"/>
    <w:rsid w:val="00066A3B"/>
    <w:rsid w:val="00072EEA"/>
    <w:rsid w:val="00074DE8"/>
    <w:rsid w:val="00074F28"/>
    <w:rsid w:val="00080BE6"/>
    <w:rsid w:val="000840F0"/>
    <w:rsid w:val="0009059F"/>
    <w:rsid w:val="00092F3B"/>
    <w:rsid w:val="00092F4E"/>
    <w:rsid w:val="00096E5F"/>
    <w:rsid w:val="000979C0"/>
    <w:rsid w:val="000A0F35"/>
    <w:rsid w:val="000A339A"/>
    <w:rsid w:val="000A3437"/>
    <w:rsid w:val="000A3E3E"/>
    <w:rsid w:val="000A4D3D"/>
    <w:rsid w:val="000A54CA"/>
    <w:rsid w:val="000A63C7"/>
    <w:rsid w:val="000A63FF"/>
    <w:rsid w:val="000A6BFA"/>
    <w:rsid w:val="000B0FB5"/>
    <w:rsid w:val="000B17BB"/>
    <w:rsid w:val="000B3A1B"/>
    <w:rsid w:val="000C0A55"/>
    <w:rsid w:val="000C2489"/>
    <w:rsid w:val="000C70D9"/>
    <w:rsid w:val="000D068C"/>
    <w:rsid w:val="000D1705"/>
    <w:rsid w:val="000D171B"/>
    <w:rsid w:val="000D1884"/>
    <w:rsid w:val="000D4E44"/>
    <w:rsid w:val="000D5C76"/>
    <w:rsid w:val="000E285E"/>
    <w:rsid w:val="000E2FA0"/>
    <w:rsid w:val="000E4161"/>
    <w:rsid w:val="000E47E9"/>
    <w:rsid w:val="000E5C86"/>
    <w:rsid w:val="000F247D"/>
    <w:rsid w:val="000F2995"/>
    <w:rsid w:val="000F2E43"/>
    <w:rsid w:val="000F31AE"/>
    <w:rsid w:val="000F380A"/>
    <w:rsid w:val="000F6601"/>
    <w:rsid w:val="000F726B"/>
    <w:rsid w:val="000F7A27"/>
    <w:rsid w:val="000F7DE2"/>
    <w:rsid w:val="00103ACB"/>
    <w:rsid w:val="001040F2"/>
    <w:rsid w:val="001053AF"/>
    <w:rsid w:val="00106655"/>
    <w:rsid w:val="00107865"/>
    <w:rsid w:val="00110895"/>
    <w:rsid w:val="0011120D"/>
    <w:rsid w:val="001113FC"/>
    <w:rsid w:val="00111B4D"/>
    <w:rsid w:val="00111C7E"/>
    <w:rsid w:val="00116F86"/>
    <w:rsid w:val="00116FD2"/>
    <w:rsid w:val="00117BAC"/>
    <w:rsid w:val="0012096C"/>
    <w:rsid w:val="001217B7"/>
    <w:rsid w:val="00122B39"/>
    <w:rsid w:val="00123272"/>
    <w:rsid w:val="00125BD5"/>
    <w:rsid w:val="00126D1D"/>
    <w:rsid w:val="00127828"/>
    <w:rsid w:val="0013295E"/>
    <w:rsid w:val="0013545E"/>
    <w:rsid w:val="001359D3"/>
    <w:rsid w:val="0013614E"/>
    <w:rsid w:val="00137AC7"/>
    <w:rsid w:val="00141787"/>
    <w:rsid w:val="00142B88"/>
    <w:rsid w:val="0014453D"/>
    <w:rsid w:val="0014575C"/>
    <w:rsid w:val="00146B9E"/>
    <w:rsid w:val="00152700"/>
    <w:rsid w:val="00157656"/>
    <w:rsid w:val="00160381"/>
    <w:rsid w:val="00161BDA"/>
    <w:rsid w:val="0016277B"/>
    <w:rsid w:val="001645BB"/>
    <w:rsid w:val="00165524"/>
    <w:rsid w:val="001663DB"/>
    <w:rsid w:val="00166DE6"/>
    <w:rsid w:val="00167055"/>
    <w:rsid w:val="00170872"/>
    <w:rsid w:val="00171618"/>
    <w:rsid w:val="00172D2D"/>
    <w:rsid w:val="00176E7A"/>
    <w:rsid w:val="0017758A"/>
    <w:rsid w:val="001819B1"/>
    <w:rsid w:val="001825B2"/>
    <w:rsid w:val="001876AE"/>
    <w:rsid w:val="001912E7"/>
    <w:rsid w:val="00194EAB"/>
    <w:rsid w:val="00195A26"/>
    <w:rsid w:val="00196F71"/>
    <w:rsid w:val="00197764"/>
    <w:rsid w:val="001A2071"/>
    <w:rsid w:val="001A2D10"/>
    <w:rsid w:val="001A5F7E"/>
    <w:rsid w:val="001A6850"/>
    <w:rsid w:val="001A7B4D"/>
    <w:rsid w:val="001A7DA5"/>
    <w:rsid w:val="001B1F9E"/>
    <w:rsid w:val="001B30C4"/>
    <w:rsid w:val="001B375B"/>
    <w:rsid w:val="001B6E0D"/>
    <w:rsid w:val="001B772D"/>
    <w:rsid w:val="001C0D1A"/>
    <w:rsid w:val="001C150B"/>
    <w:rsid w:val="001C263A"/>
    <w:rsid w:val="001C2C76"/>
    <w:rsid w:val="001C379B"/>
    <w:rsid w:val="001C5E41"/>
    <w:rsid w:val="001C5E50"/>
    <w:rsid w:val="001C73CB"/>
    <w:rsid w:val="001C77BC"/>
    <w:rsid w:val="001D48BB"/>
    <w:rsid w:val="001D55F2"/>
    <w:rsid w:val="001D6B24"/>
    <w:rsid w:val="001D78C2"/>
    <w:rsid w:val="001E00E3"/>
    <w:rsid w:val="001E0580"/>
    <w:rsid w:val="001E0658"/>
    <w:rsid w:val="001E1B8E"/>
    <w:rsid w:val="001E23D7"/>
    <w:rsid w:val="001E3FF9"/>
    <w:rsid w:val="001E7AB3"/>
    <w:rsid w:val="001F0C66"/>
    <w:rsid w:val="001F2349"/>
    <w:rsid w:val="001F2708"/>
    <w:rsid w:val="001F3C45"/>
    <w:rsid w:val="001F57E8"/>
    <w:rsid w:val="002005D2"/>
    <w:rsid w:val="0020298B"/>
    <w:rsid w:val="002031A9"/>
    <w:rsid w:val="002052CF"/>
    <w:rsid w:val="00206111"/>
    <w:rsid w:val="00206C65"/>
    <w:rsid w:val="00207362"/>
    <w:rsid w:val="00210D9D"/>
    <w:rsid w:val="00211984"/>
    <w:rsid w:val="002128BA"/>
    <w:rsid w:val="002137E0"/>
    <w:rsid w:val="00213F5E"/>
    <w:rsid w:val="00214348"/>
    <w:rsid w:val="0021729B"/>
    <w:rsid w:val="00217576"/>
    <w:rsid w:val="002178D0"/>
    <w:rsid w:val="0022111D"/>
    <w:rsid w:val="00221142"/>
    <w:rsid w:val="002218A8"/>
    <w:rsid w:val="00231F6E"/>
    <w:rsid w:val="002333E8"/>
    <w:rsid w:val="00233CED"/>
    <w:rsid w:val="00237830"/>
    <w:rsid w:val="00242E59"/>
    <w:rsid w:val="0024387A"/>
    <w:rsid w:val="0025098C"/>
    <w:rsid w:val="00252C88"/>
    <w:rsid w:val="002531D8"/>
    <w:rsid w:val="0025471D"/>
    <w:rsid w:val="0025610B"/>
    <w:rsid w:val="00263542"/>
    <w:rsid w:val="002663AA"/>
    <w:rsid w:val="0026683A"/>
    <w:rsid w:val="002714A5"/>
    <w:rsid w:val="002741AC"/>
    <w:rsid w:val="00274727"/>
    <w:rsid w:val="00275F13"/>
    <w:rsid w:val="00281542"/>
    <w:rsid w:val="002819C0"/>
    <w:rsid w:val="0028548C"/>
    <w:rsid w:val="00292FC9"/>
    <w:rsid w:val="002941D9"/>
    <w:rsid w:val="002947EA"/>
    <w:rsid w:val="00295298"/>
    <w:rsid w:val="00295556"/>
    <w:rsid w:val="00295BB5"/>
    <w:rsid w:val="00295C91"/>
    <w:rsid w:val="00295FF8"/>
    <w:rsid w:val="002A2748"/>
    <w:rsid w:val="002A4A06"/>
    <w:rsid w:val="002A5A4D"/>
    <w:rsid w:val="002A6A9D"/>
    <w:rsid w:val="002B0BD1"/>
    <w:rsid w:val="002B0F2D"/>
    <w:rsid w:val="002B4262"/>
    <w:rsid w:val="002B4D97"/>
    <w:rsid w:val="002B4F80"/>
    <w:rsid w:val="002C01DA"/>
    <w:rsid w:val="002C1FF0"/>
    <w:rsid w:val="002C338F"/>
    <w:rsid w:val="002C3A95"/>
    <w:rsid w:val="002C739E"/>
    <w:rsid w:val="002D2700"/>
    <w:rsid w:val="002D4876"/>
    <w:rsid w:val="002D5A4D"/>
    <w:rsid w:val="002D7731"/>
    <w:rsid w:val="002E0574"/>
    <w:rsid w:val="002E1B83"/>
    <w:rsid w:val="002E22AF"/>
    <w:rsid w:val="002E2BCA"/>
    <w:rsid w:val="002E3528"/>
    <w:rsid w:val="002E68C1"/>
    <w:rsid w:val="002E75BD"/>
    <w:rsid w:val="002F2A7B"/>
    <w:rsid w:val="002F3C29"/>
    <w:rsid w:val="002F5271"/>
    <w:rsid w:val="002F6155"/>
    <w:rsid w:val="002F77D7"/>
    <w:rsid w:val="00306962"/>
    <w:rsid w:val="00306BA4"/>
    <w:rsid w:val="00306BED"/>
    <w:rsid w:val="00306FE2"/>
    <w:rsid w:val="0030773C"/>
    <w:rsid w:val="00310796"/>
    <w:rsid w:val="00321739"/>
    <w:rsid w:val="00323B38"/>
    <w:rsid w:val="00324398"/>
    <w:rsid w:val="003264CE"/>
    <w:rsid w:val="003270A6"/>
    <w:rsid w:val="00327C35"/>
    <w:rsid w:val="00327E80"/>
    <w:rsid w:val="003337AE"/>
    <w:rsid w:val="00337B4E"/>
    <w:rsid w:val="00337B60"/>
    <w:rsid w:val="00340329"/>
    <w:rsid w:val="00340BA1"/>
    <w:rsid w:val="0034176B"/>
    <w:rsid w:val="0034376B"/>
    <w:rsid w:val="00345611"/>
    <w:rsid w:val="00346AD5"/>
    <w:rsid w:val="00346BE0"/>
    <w:rsid w:val="00355D2B"/>
    <w:rsid w:val="00356943"/>
    <w:rsid w:val="003612A3"/>
    <w:rsid w:val="00362634"/>
    <w:rsid w:val="0036283B"/>
    <w:rsid w:val="00364794"/>
    <w:rsid w:val="00364ADE"/>
    <w:rsid w:val="0036781A"/>
    <w:rsid w:val="00372250"/>
    <w:rsid w:val="00381003"/>
    <w:rsid w:val="003818CC"/>
    <w:rsid w:val="00384FC3"/>
    <w:rsid w:val="00390C4B"/>
    <w:rsid w:val="00392BDB"/>
    <w:rsid w:val="00394567"/>
    <w:rsid w:val="003A039A"/>
    <w:rsid w:val="003A0CFD"/>
    <w:rsid w:val="003A15C2"/>
    <w:rsid w:val="003A26D2"/>
    <w:rsid w:val="003A318A"/>
    <w:rsid w:val="003A3804"/>
    <w:rsid w:val="003A52BE"/>
    <w:rsid w:val="003A5713"/>
    <w:rsid w:val="003A5866"/>
    <w:rsid w:val="003A6947"/>
    <w:rsid w:val="003A6E9F"/>
    <w:rsid w:val="003B053D"/>
    <w:rsid w:val="003B23CF"/>
    <w:rsid w:val="003B7BE1"/>
    <w:rsid w:val="003C3515"/>
    <w:rsid w:val="003C384D"/>
    <w:rsid w:val="003C4757"/>
    <w:rsid w:val="003C501F"/>
    <w:rsid w:val="003C7F0A"/>
    <w:rsid w:val="003D0D54"/>
    <w:rsid w:val="003D2579"/>
    <w:rsid w:val="003D2DBE"/>
    <w:rsid w:val="003D352B"/>
    <w:rsid w:val="003D4203"/>
    <w:rsid w:val="003D4CD6"/>
    <w:rsid w:val="003D6921"/>
    <w:rsid w:val="003E05A8"/>
    <w:rsid w:val="003E0F9C"/>
    <w:rsid w:val="003E2B56"/>
    <w:rsid w:val="003E38C2"/>
    <w:rsid w:val="003E3AD3"/>
    <w:rsid w:val="003E5890"/>
    <w:rsid w:val="003F1FA8"/>
    <w:rsid w:val="003F2F7F"/>
    <w:rsid w:val="003F3992"/>
    <w:rsid w:val="003F62C4"/>
    <w:rsid w:val="00400AFA"/>
    <w:rsid w:val="00402432"/>
    <w:rsid w:val="004045B5"/>
    <w:rsid w:val="00405AD8"/>
    <w:rsid w:val="00406306"/>
    <w:rsid w:val="00412E7F"/>
    <w:rsid w:val="0041506F"/>
    <w:rsid w:val="0041513F"/>
    <w:rsid w:val="0041555D"/>
    <w:rsid w:val="004228C7"/>
    <w:rsid w:val="00423718"/>
    <w:rsid w:val="00424D51"/>
    <w:rsid w:val="00425BE5"/>
    <w:rsid w:val="00425EF4"/>
    <w:rsid w:val="00427324"/>
    <w:rsid w:val="0042798B"/>
    <w:rsid w:val="00431734"/>
    <w:rsid w:val="00431B87"/>
    <w:rsid w:val="004327FB"/>
    <w:rsid w:val="00432B12"/>
    <w:rsid w:val="0043309D"/>
    <w:rsid w:val="00433113"/>
    <w:rsid w:val="0043396A"/>
    <w:rsid w:val="00434865"/>
    <w:rsid w:val="00434913"/>
    <w:rsid w:val="00441A35"/>
    <w:rsid w:val="00445A22"/>
    <w:rsid w:val="0044606D"/>
    <w:rsid w:val="00446220"/>
    <w:rsid w:val="004474F8"/>
    <w:rsid w:val="00451172"/>
    <w:rsid w:val="00451390"/>
    <w:rsid w:val="004523D4"/>
    <w:rsid w:val="0046206C"/>
    <w:rsid w:val="004622DE"/>
    <w:rsid w:val="00464174"/>
    <w:rsid w:val="00464266"/>
    <w:rsid w:val="0047033E"/>
    <w:rsid w:val="00472E0D"/>
    <w:rsid w:val="00473E96"/>
    <w:rsid w:val="00477550"/>
    <w:rsid w:val="004810CA"/>
    <w:rsid w:val="00482E23"/>
    <w:rsid w:val="004844A8"/>
    <w:rsid w:val="00495853"/>
    <w:rsid w:val="00496803"/>
    <w:rsid w:val="004A1A5D"/>
    <w:rsid w:val="004A25B5"/>
    <w:rsid w:val="004A55A7"/>
    <w:rsid w:val="004A73C3"/>
    <w:rsid w:val="004B187B"/>
    <w:rsid w:val="004B515A"/>
    <w:rsid w:val="004B6688"/>
    <w:rsid w:val="004B6D9F"/>
    <w:rsid w:val="004B7282"/>
    <w:rsid w:val="004C0107"/>
    <w:rsid w:val="004C5041"/>
    <w:rsid w:val="004C6332"/>
    <w:rsid w:val="004C64F4"/>
    <w:rsid w:val="004D199C"/>
    <w:rsid w:val="004D2E8F"/>
    <w:rsid w:val="004D458A"/>
    <w:rsid w:val="004D7BDD"/>
    <w:rsid w:val="004D7DCC"/>
    <w:rsid w:val="004E0240"/>
    <w:rsid w:val="004E18D2"/>
    <w:rsid w:val="004E2714"/>
    <w:rsid w:val="004E32AB"/>
    <w:rsid w:val="004E6DB0"/>
    <w:rsid w:val="004F3317"/>
    <w:rsid w:val="004F69D1"/>
    <w:rsid w:val="004F73D2"/>
    <w:rsid w:val="00501CDD"/>
    <w:rsid w:val="0050450F"/>
    <w:rsid w:val="0050555F"/>
    <w:rsid w:val="005065DB"/>
    <w:rsid w:val="00510D29"/>
    <w:rsid w:val="005118D7"/>
    <w:rsid w:val="00516D07"/>
    <w:rsid w:val="005170F7"/>
    <w:rsid w:val="005244A4"/>
    <w:rsid w:val="00525D05"/>
    <w:rsid w:val="00526481"/>
    <w:rsid w:val="00526950"/>
    <w:rsid w:val="00527783"/>
    <w:rsid w:val="005301E9"/>
    <w:rsid w:val="005331C2"/>
    <w:rsid w:val="00533C62"/>
    <w:rsid w:val="0053671A"/>
    <w:rsid w:val="00540583"/>
    <w:rsid w:val="0054117E"/>
    <w:rsid w:val="0054130C"/>
    <w:rsid w:val="00541C1A"/>
    <w:rsid w:val="00544B31"/>
    <w:rsid w:val="00545A6B"/>
    <w:rsid w:val="00550BD4"/>
    <w:rsid w:val="00554A1F"/>
    <w:rsid w:val="00555518"/>
    <w:rsid w:val="00556284"/>
    <w:rsid w:val="0055659C"/>
    <w:rsid w:val="005600F2"/>
    <w:rsid w:val="005645A2"/>
    <w:rsid w:val="00564642"/>
    <w:rsid w:val="0056466A"/>
    <w:rsid w:val="005672E5"/>
    <w:rsid w:val="005676E7"/>
    <w:rsid w:val="00567EDC"/>
    <w:rsid w:val="00571A5B"/>
    <w:rsid w:val="00571B72"/>
    <w:rsid w:val="00571D1A"/>
    <w:rsid w:val="0057488C"/>
    <w:rsid w:val="00574A54"/>
    <w:rsid w:val="00574C6F"/>
    <w:rsid w:val="005756E9"/>
    <w:rsid w:val="005814B5"/>
    <w:rsid w:val="005821F4"/>
    <w:rsid w:val="00582B28"/>
    <w:rsid w:val="005864A5"/>
    <w:rsid w:val="00587004"/>
    <w:rsid w:val="00591022"/>
    <w:rsid w:val="00591E85"/>
    <w:rsid w:val="00593817"/>
    <w:rsid w:val="00593CB5"/>
    <w:rsid w:val="005A0AE2"/>
    <w:rsid w:val="005B31C1"/>
    <w:rsid w:val="005B3304"/>
    <w:rsid w:val="005B65D4"/>
    <w:rsid w:val="005B6CA6"/>
    <w:rsid w:val="005B738A"/>
    <w:rsid w:val="005B7719"/>
    <w:rsid w:val="005C36BD"/>
    <w:rsid w:val="005C4A21"/>
    <w:rsid w:val="005C585C"/>
    <w:rsid w:val="005C6BDB"/>
    <w:rsid w:val="005D1E18"/>
    <w:rsid w:val="005D3422"/>
    <w:rsid w:val="005D3E9D"/>
    <w:rsid w:val="005D57B0"/>
    <w:rsid w:val="005D6C72"/>
    <w:rsid w:val="005D793E"/>
    <w:rsid w:val="005E0D87"/>
    <w:rsid w:val="005E20E4"/>
    <w:rsid w:val="005E3207"/>
    <w:rsid w:val="005E798B"/>
    <w:rsid w:val="005F1960"/>
    <w:rsid w:val="005F1A22"/>
    <w:rsid w:val="005F23AF"/>
    <w:rsid w:val="005F640D"/>
    <w:rsid w:val="00600BD7"/>
    <w:rsid w:val="00601DEE"/>
    <w:rsid w:val="00603AA3"/>
    <w:rsid w:val="00605662"/>
    <w:rsid w:val="00606044"/>
    <w:rsid w:val="006107A3"/>
    <w:rsid w:val="00611386"/>
    <w:rsid w:val="00611753"/>
    <w:rsid w:val="00613FD2"/>
    <w:rsid w:val="00614307"/>
    <w:rsid w:val="00615407"/>
    <w:rsid w:val="00615BB6"/>
    <w:rsid w:val="00621D31"/>
    <w:rsid w:val="0062295A"/>
    <w:rsid w:val="00624345"/>
    <w:rsid w:val="0062474B"/>
    <w:rsid w:val="006256D3"/>
    <w:rsid w:val="00625F8D"/>
    <w:rsid w:val="00626844"/>
    <w:rsid w:val="00627BB7"/>
    <w:rsid w:val="00635EF1"/>
    <w:rsid w:val="00636959"/>
    <w:rsid w:val="00642D0F"/>
    <w:rsid w:val="006431B2"/>
    <w:rsid w:val="00643CE1"/>
    <w:rsid w:val="0064447C"/>
    <w:rsid w:val="006446DC"/>
    <w:rsid w:val="00644A13"/>
    <w:rsid w:val="00644A66"/>
    <w:rsid w:val="00644D4D"/>
    <w:rsid w:val="006462AD"/>
    <w:rsid w:val="00647084"/>
    <w:rsid w:val="0065041B"/>
    <w:rsid w:val="0065136E"/>
    <w:rsid w:val="00652DDB"/>
    <w:rsid w:val="0065435B"/>
    <w:rsid w:val="0065498F"/>
    <w:rsid w:val="00656CBF"/>
    <w:rsid w:val="00657FD9"/>
    <w:rsid w:val="00660C45"/>
    <w:rsid w:val="00664E59"/>
    <w:rsid w:val="00670D71"/>
    <w:rsid w:val="00671192"/>
    <w:rsid w:val="006730AD"/>
    <w:rsid w:val="00682E1C"/>
    <w:rsid w:val="00685573"/>
    <w:rsid w:val="00693FFD"/>
    <w:rsid w:val="006A0BDA"/>
    <w:rsid w:val="006A4718"/>
    <w:rsid w:val="006A625B"/>
    <w:rsid w:val="006A6B2D"/>
    <w:rsid w:val="006A7232"/>
    <w:rsid w:val="006B0F63"/>
    <w:rsid w:val="006B19ED"/>
    <w:rsid w:val="006B7C5D"/>
    <w:rsid w:val="006C03C5"/>
    <w:rsid w:val="006C199C"/>
    <w:rsid w:val="006C4B67"/>
    <w:rsid w:val="006C5204"/>
    <w:rsid w:val="006C744E"/>
    <w:rsid w:val="006D54D5"/>
    <w:rsid w:val="006D78B1"/>
    <w:rsid w:val="006E4037"/>
    <w:rsid w:val="006E4080"/>
    <w:rsid w:val="006E4D77"/>
    <w:rsid w:val="006E51BC"/>
    <w:rsid w:val="006E7DCE"/>
    <w:rsid w:val="006F7513"/>
    <w:rsid w:val="0070383E"/>
    <w:rsid w:val="007050FF"/>
    <w:rsid w:val="00705D3F"/>
    <w:rsid w:val="007141A9"/>
    <w:rsid w:val="00715F37"/>
    <w:rsid w:val="00716971"/>
    <w:rsid w:val="00722F57"/>
    <w:rsid w:val="007255EB"/>
    <w:rsid w:val="00725937"/>
    <w:rsid w:val="00726DB1"/>
    <w:rsid w:val="00730E92"/>
    <w:rsid w:val="00731382"/>
    <w:rsid w:val="00731914"/>
    <w:rsid w:val="00731E79"/>
    <w:rsid w:val="00733AE6"/>
    <w:rsid w:val="007378F3"/>
    <w:rsid w:val="007403E4"/>
    <w:rsid w:val="007418A3"/>
    <w:rsid w:val="00743A0D"/>
    <w:rsid w:val="00744255"/>
    <w:rsid w:val="0074477B"/>
    <w:rsid w:val="00745DF3"/>
    <w:rsid w:val="007524C3"/>
    <w:rsid w:val="00752764"/>
    <w:rsid w:val="0075286D"/>
    <w:rsid w:val="00754124"/>
    <w:rsid w:val="00755700"/>
    <w:rsid w:val="0075622E"/>
    <w:rsid w:val="00757029"/>
    <w:rsid w:val="00763605"/>
    <w:rsid w:val="0076433A"/>
    <w:rsid w:val="00765F32"/>
    <w:rsid w:val="00766962"/>
    <w:rsid w:val="00770469"/>
    <w:rsid w:val="00770A52"/>
    <w:rsid w:val="007715C8"/>
    <w:rsid w:val="00771AF8"/>
    <w:rsid w:val="00771B25"/>
    <w:rsid w:val="00775287"/>
    <w:rsid w:val="00775924"/>
    <w:rsid w:val="007768E2"/>
    <w:rsid w:val="00777BAB"/>
    <w:rsid w:val="00781464"/>
    <w:rsid w:val="007816EC"/>
    <w:rsid w:val="00781862"/>
    <w:rsid w:val="0078213C"/>
    <w:rsid w:val="00782ED0"/>
    <w:rsid w:val="00785102"/>
    <w:rsid w:val="00785FCB"/>
    <w:rsid w:val="00786D99"/>
    <w:rsid w:val="00797071"/>
    <w:rsid w:val="007A13A3"/>
    <w:rsid w:val="007A1C2C"/>
    <w:rsid w:val="007A2577"/>
    <w:rsid w:val="007A2CB9"/>
    <w:rsid w:val="007A2D92"/>
    <w:rsid w:val="007B0AFE"/>
    <w:rsid w:val="007B0B0D"/>
    <w:rsid w:val="007B1F16"/>
    <w:rsid w:val="007B1FA5"/>
    <w:rsid w:val="007B32F6"/>
    <w:rsid w:val="007B4B56"/>
    <w:rsid w:val="007B5AAC"/>
    <w:rsid w:val="007B748D"/>
    <w:rsid w:val="007C774A"/>
    <w:rsid w:val="007D2746"/>
    <w:rsid w:val="007D33F4"/>
    <w:rsid w:val="007D391D"/>
    <w:rsid w:val="007D3ED8"/>
    <w:rsid w:val="007E1ABE"/>
    <w:rsid w:val="007E26D3"/>
    <w:rsid w:val="007E437A"/>
    <w:rsid w:val="007E725D"/>
    <w:rsid w:val="007F0A11"/>
    <w:rsid w:val="007F1189"/>
    <w:rsid w:val="007F2AD0"/>
    <w:rsid w:val="007F2DF7"/>
    <w:rsid w:val="007F341A"/>
    <w:rsid w:val="007F3ABE"/>
    <w:rsid w:val="007F3F91"/>
    <w:rsid w:val="007F44BD"/>
    <w:rsid w:val="008030AE"/>
    <w:rsid w:val="008031DE"/>
    <w:rsid w:val="00804540"/>
    <w:rsid w:val="008068B6"/>
    <w:rsid w:val="00806E3A"/>
    <w:rsid w:val="00811DAA"/>
    <w:rsid w:val="00814FEC"/>
    <w:rsid w:val="0081636C"/>
    <w:rsid w:val="00816A1B"/>
    <w:rsid w:val="008178C7"/>
    <w:rsid w:val="0082063A"/>
    <w:rsid w:val="008212CA"/>
    <w:rsid w:val="008217A5"/>
    <w:rsid w:val="008217D7"/>
    <w:rsid w:val="00822221"/>
    <w:rsid w:val="00824BC4"/>
    <w:rsid w:val="00824DD9"/>
    <w:rsid w:val="00826FE8"/>
    <w:rsid w:val="008328E9"/>
    <w:rsid w:val="00835BCB"/>
    <w:rsid w:val="00835CDC"/>
    <w:rsid w:val="008360EC"/>
    <w:rsid w:val="00836446"/>
    <w:rsid w:val="0083661D"/>
    <w:rsid w:val="00836B95"/>
    <w:rsid w:val="00836C60"/>
    <w:rsid w:val="0084049D"/>
    <w:rsid w:val="00843622"/>
    <w:rsid w:val="00845EF9"/>
    <w:rsid w:val="00850B09"/>
    <w:rsid w:val="008526B2"/>
    <w:rsid w:val="008527F0"/>
    <w:rsid w:val="00852D89"/>
    <w:rsid w:val="0085444B"/>
    <w:rsid w:val="008561D2"/>
    <w:rsid w:val="00856D6E"/>
    <w:rsid w:val="0086144B"/>
    <w:rsid w:val="00861775"/>
    <w:rsid w:val="00861AE9"/>
    <w:rsid w:val="00862C6D"/>
    <w:rsid w:val="00862CB1"/>
    <w:rsid w:val="00863B7C"/>
    <w:rsid w:val="00863B9D"/>
    <w:rsid w:val="00863BE6"/>
    <w:rsid w:val="00863F2D"/>
    <w:rsid w:val="00866BDD"/>
    <w:rsid w:val="00871056"/>
    <w:rsid w:val="0087197C"/>
    <w:rsid w:val="008724AF"/>
    <w:rsid w:val="008733BF"/>
    <w:rsid w:val="00874211"/>
    <w:rsid w:val="00875172"/>
    <w:rsid w:val="008760C2"/>
    <w:rsid w:val="008775BC"/>
    <w:rsid w:val="0088059B"/>
    <w:rsid w:val="00881E05"/>
    <w:rsid w:val="00882F1B"/>
    <w:rsid w:val="00883ECA"/>
    <w:rsid w:val="008849A6"/>
    <w:rsid w:val="00886AEB"/>
    <w:rsid w:val="008905BC"/>
    <w:rsid w:val="00891991"/>
    <w:rsid w:val="00894456"/>
    <w:rsid w:val="00895A61"/>
    <w:rsid w:val="00895E0F"/>
    <w:rsid w:val="008A1544"/>
    <w:rsid w:val="008A191E"/>
    <w:rsid w:val="008A2696"/>
    <w:rsid w:val="008A5D38"/>
    <w:rsid w:val="008A70CE"/>
    <w:rsid w:val="008A79BD"/>
    <w:rsid w:val="008B6D14"/>
    <w:rsid w:val="008C231C"/>
    <w:rsid w:val="008C25E4"/>
    <w:rsid w:val="008C2DAE"/>
    <w:rsid w:val="008C2EB0"/>
    <w:rsid w:val="008C421A"/>
    <w:rsid w:val="008C5314"/>
    <w:rsid w:val="008D417A"/>
    <w:rsid w:val="008E09B1"/>
    <w:rsid w:val="008E2215"/>
    <w:rsid w:val="008E4FA6"/>
    <w:rsid w:val="008E5BB0"/>
    <w:rsid w:val="008E69E8"/>
    <w:rsid w:val="008E7135"/>
    <w:rsid w:val="008E7CA5"/>
    <w:rsid w:val="008F1271"/>
    <w:rsid w:val="008F3FB5"/>
    <w:rsid w:val="00901473"/>
    <w:rsid w:val="00901E7F"/>
    <w:rsid w:val="009024C9"/>
    <w:rsid w:val="00903FA5"/>
    <w:rsid w:val="009059A9"/>
    <w:rsid w:val="009108F2"/>
    <w:rsid w:val="00911C11"/>
    <w:rsid w:val="00913356"/>
    <w:rsid w:val="00916BF2"/>
    <w:rsid w:val="00916CDF"/>
    <w:rsid w:val="009172B1"/>
    <w:rsid w:val="00917824"/>
    <w:rsid w:val="009207CF"/>
    <w:rsid w:val="00921448"/>
    <w:rsid w:val="0092261B"/>
    <w:rsid w:val="00923947"/>
    <w:rsid w:val="00923DC5"/>
    <w:rsid w:val="00924348"/>
    <w:rsid w:val="009245F7"/>
    <w:rsid w:val="0092515E"/>
    <w:rsid w:val="009274E7"/>
    <w:rsid w:val="00930A5A"/>
    <w:rsid w:val="00930C93"/>
    <w:rsid w:val="0093199F"/>
    <w:rsid w:val="00932132"/>
    <w:rsid w:val="00933403"/>
    <w:rsid w:val="00936F43"/>
    <w:rsid w:val="009405DE"/>
    <w:rsid w:val="009422B2"/>
    <w:rsid w:val="00942F8A"/>
    <w:rsid w:val="00942FBD"/>
    <w:rsid w:val="00944A2C"/>
    <w:rsid w:val="0094770B"/>
    <w:rsid w:val="009507BA"/>
    <w:rsid w:val="00950B0E"/>
    <w:rsid w:val="00951187"/>
    <w:rsid w:val="009514E6"/>
    <w:rsid w:val="00952BBC"/>
    <w:rsid w:val="00952D61"/>
    <w:rsid w:val="00961BE6"/>
    <w:rsid w:val="009666CE"/>
    <w:rsid w:val="00971E10"/>
    <w:rsid w:val="00972E40"/>
    <w:rsid w:val="00973FE9"/>
    <w:rsid w:val="00974CC3"/>
    <w:rsid w:val="00975147"/>
    <w:rsid w:val="009763AC"/>
    <w:rsid w:val="00976CAD"/>
    <w:rsid w:val="00977811"/>
    <w:rsid w:val="00981A0F"/>
    <w:rsid w:val="00984157"/>
    <w:rsid w:val="00991E80"/>
    <w:rsid w:val="00995683"/>
    <w:rsid w:val="00995E2D"/>
    <w:rsid w:val="009A122E"/>
    <w:rsid w:val="009A2754"/>
    <w:rsid w:val="009A32ED"/>
    <w:rsid w:val="009A47C3"/>
    <w:rsid w:val="009A701E"/>
    <w:rsid w:val="009A7D30"/>
    <w:rsid w:val="009B174E"/>
    <w:rsid w:val="009B18DC"/>
    <w:rsid w:val="009B2267"/>
    <w:rsid w:val="009B527F"/>
    <w:rsid w:val="009B6F5E"/>
    <w:rsid w:val="009B782F"/>
    <w:rsid w:val="009C2C5F"/>
    <w:rsid w:val="009C2DA3"/>
    <w:rsid w:val="009C3B85"/>
    <w:rsid w:val="009C7F10"/>
    <w:rsid w:val="009D022E"/>
    <w:rsid w:val="009D0F03"/>
    <w:rsid w:val="009D1339"/>
    <w:rsid w:val="009D281A"/>
    <w:rsid w:val="009D2DC0"/>
    <w:rsid w:val="009D63CF"/>
    <w:rsid w:val="009D78F7"/>
    <w:rsid w:val="009D7DF6"/>
    <w:rsid w:val="009E050C"/>
    <w:rsid w:val="009E0AE8"/>
    <w:rsid w:val="009E1E76"/>
    <w:rsid w:val="009E4024"/>
    <w:rsid w:val="009E5374"/>
    <w:rsid w:val="009E64C7"/>
    <w:rsid w:val="009F1371"/>
    <w:rsid w:val="009F1E2A"/>
    <w:rsid w:val="009F25D7"/>
    <w:rsid w:val="009F28E3"/>
    <w:rsid w:val="009F345D"/>
    <w:rsid w:val="009F3E0A"/>
    <w:rsid w:val="00A01DF0"/>
    <w:rsid w:val="00A03AC3"/>
    <w:rsid w:val="00A03D79"/>
    <w:rsid w:val="00A042C5"/>
    <w:rsid w:val="00A04C64"/>
    <w:rsid w:val="00A10928"/>
    <w:rsid w:val="00A1185E"/>
    <w:rsid w:val="00A13218"/>
    <w:rsid w:val="00A13541"/>
    <w:rsid w:val="00A13753"/>
    <w:rsid w:val="00A21438"/>
    <w:rsid w:val="00A227A3"/>
    <w:rsid w:val="00A27F14"/>
    <w:rsid w:val="00A36447"/>
    <w:rsid w:val="00A4023B"/>
    <w:rsid w:val="00A42A3F"/>
    <w:rsid w:val="00A42F0C"/>
    <w:rsid w:val="00A45196"/>
    <w:rsid w:val="00A45845"/>
    <w:rsid w:val="00A45B94"/>
    <w:rsid w:val="00A470F3"/>
    <w:rsid w:val="00A47CF0"/>
    <w:rsid w:val="00A51A5B"/>
    <w:rsid w:val="00A53B2A"/>
    <w:rsid w:val="00A55096"/>
    <w:rsid w:val="00A60B73"/>
    <w:rsid w:val="00A6107D"/>
    <w:rsid w:val="00A6528A"/>
    <w:rsid w:val="00A6715F"/>
    <w:rsid w:val="00A744DD"/>
    <w:rsid w:val="00A76E6B"/>
    <w:rsid w:val="00A80080"/>
    <w:rsid w:val="00A82AB0"/>
    <w:rsid w:val="00A86C22"/>
    <w:rsid w:val="00A872C8"/>
    <w:rsid w:val="00A903E7"/>
    <w:rsid w:val="00A93AE9"/>
    <w:rsid w:val="00A94410"/>
    <w:rsid w:val="00A96F10"/>
    <w:rsid w:val="00AA0FE5"/>
    <w:rsid w:val="00AA2C9C"/>
    <w:rsid w:val="00AA3171"/>
    <w:rsid w:val="00AA3386"/>
    <w:rsid w:val="00AA4442"/>
    <w:rsid w:val="00AA4729"/>
    <w:rsid w:val="00AA5069"/>
    <w:rsid w:val="00AB19A7"/>
    <w:rsid w:val="00AB235E"/>
    <w:rsid w:val="00AB2918"/>
    <w:rsid w:val="00AB3044"/>
    <w:rsid w:val="00AB3BC5"/>
    <w:rsid w:val="00AB3BE8"/>
    <w:rsid w:val="00AB3CC1"/>
    <w:rsid w:val="00AB4951"/>
    <w:rsid w:val="00AB5C29"/>
    <w:rsid w:val="00AB64EB"/>
    <w:rsid w:val="00AB7634"/>
    <w:rsid w:val="00AC1A50"/>
    <w:rsid w:val="00AC5858"/>
    <w:rsid w:val="00AD08E1"/>
    <w:rsid w:val="00AD66C8"/>
    <w:rsid w:val="00AD6B8D"/>
    <w:rsid w:val="00AE0DB4"/>
    <w:rsid w:val="00AE1ED3"/>
    <w:rsid w:val="00AE4290"/>
    <w:rsid w:val="00AE68DB"/>
    <w:rsid w:val="00AF1364"/>
    <w:rsid w:val="00AF13C7"/>
    <w:rsid w:val="00AF1F3E"/>
    <w:rsid w:val="00AF5E3F"/>
    <w:rsid w:val="00AF740B"/>
    <w:rsid w:val="00B012D1"/>
    <w:rsid w:val="00B112A8"/>
    <w:rsid w:val="00B11A43"/>
    <w:rsid w:val="00B1285F"/>
    <w:rsid w:val="00B144D9"/>
    <w:rsid w:val="00B147EE"/>
    <w:rsid w:val="00B14939"/>
    <w:rsid w:val="00B1587A"/>
    <w:rsid w:val="00B20F6B"/>
    <w:rsid w:val="00B2124D"/>
    <w:rsid w:val="00B2229B"/>
    <w:rsid w:val="00B22303"/>
    <w:rsid w:val="00B229AB"/>
    <w:rsid w:val="00B22A18"/>
    <w:rsid w:val="00B315A0"/>
    <w:rsid w:val="00B3215B"/>
    <w:rsid w:val="00B323B0"/>
    <w:rsid w:val="00B34067"/>
    <w:rsid w:val="00B34A18"/>
    <w:rsid w:val="00B35D12"/>
    <w:rsid w:val="00B40B2C"/>
    <w:rsid w:val="00B40D48"/>
    <w:rsid w:val="00B44F86"/>
    <w:rsid w:val="00B45552"/>
    <w:rsid w:val="00B465F1"/>
    <w:rsid w:val="00B468CE"/>
    <w:rsid w:val="00B46EF7"/>
    <w:rsid w:val="00B563DF"/>
    <w:rsid w:val="00B56936"/>
    <w:rsid w:val="00B57192"/>
    <w:rsid w:val="00B579CB"/>
    <w:rsid w:val="00B619EC"/>
    <w:rsid w:val="00B626CD"/>
    <w:rsid w:val="00B635D7"/>
    <w:rsid w:val="00B65503"/>
    <w:rsid w:val="00B67A6C"/>
    <w:rsid w:val="00B70083"/>
    <w:rsid w:val="00B703F1"/>
    <w:rsid w:val="00B72AD3"/>
    <w:rsid w:val="00B74440"/>
    <w:rsid w:val="00B74592"/>
    <w:rsid w:val="00B76CC5"/>
    <w:rsid w:val="00B83D6F"/>
    <w:rsid w:val="00B858D0"/>
    <w:rsid w:val="00B87D52"/>
    <w:rsid w:val="00B87DEC"/>
    <w:rsid w:val="00B87E7A"/>
    <w:rsid w:val="00B919C3"/>
    <w:rsid w:val="00B91BEC"/>
    <w:rsid w:val="00B92BF4"/>
    <w:rsid w:val="00B93082"/>
    <w:rsid w:val="00B93724"/>
    <w:rsid w:val="00B93927"/>
    <w:rsid w:val="00B94492"/>
    <w:rsid w:val="00B97526"/>
    <w:rsid w:val="00BA2B66"/>
    <w:rsid w:val="00BA503D"/>
    <w:rsid w:val="00BA50A6"/>
    <w:rsid w:val="00BA582E"/>
    <w:rsid w:val="00BA66F6"/>
    <w:rsid w:val="00BA6C7E"/>
    <w:rsid w:val="00BB04BD"/>
    <w:rsid w:val="00BB1F29"/>
    <w:rsid w:val="00BB28F6"/>
    <w:rsid w:val="00BB30CC"/>
    <w:rsid w:val="00BB3413"/>
    <w:rsid w:val="00BB36F9"/>
    <w:rsid w:val="00BB3D72"/>
    <w:rsid w:val="00BB5D44"/>
    <w:rsid w:val="00BC2609"/>
    <w:rsid w:val="00BC2C67"/>
    <w:rsid w:val="00BD02F4"/>
    <w:rsid w:val="00BD088E"/>
    <w:rsid w:val="00BD191E"/>
    <w:rsid w:val="00BD417E"/>
    <w:rsid w:val="00BE04A1"/>
    <w:rsid w:val="00BE0C68"/>
    <w:rsid w:val="00BE1B62"/>
    <w:rsid w:val="00BE2AEE"/>
    <w:rsid w:val="00BE322A"/>
    <w:rsid w:val="00BE3FC2"/>
    <w:rsid w:val="00BE496D"/>
    <w:rsid w:val="00BF196B"/>
    <w:rsid w:val="00BF487F"/>
    <w:rsid w:val="00C01D1C"/>
    <w:rsid w:val="00C0450E"/>
    <w:rsid w:val="00C04E08"/>
    <w:rsid w:val="00C04F5F"/>
    <w:rsid w:val="00C0528F"/>
    <w:rsid w:val="00C05E66"/>
    <w:rsid w:val="00C120C7"/>
    <w:rsid w:val="00C128F0"/>
    <w:rsid w:val="00C12B77"/>
    <w:rsid w:val="00C13145"/>
    <w:rsid w:val="00C1578F"/>
    <w:rsid w:val="00C15C10"/>
    <w:rsid w:val="00C2084A"/>
    <w:rsid w:val="00C2108A"/>
    <w:rsid w:val="00C25182"/>
    <w:rsid w:val="00C260FF"/>
    <w:rsid w:val="00C31505"/>
    <w:rsid w:val="00C357D6"/>
    <w:rsid w:val="00C37230"/>
    <w:rsid w:val="00C3797E"/>
    <w:rsid w:val="00C45321"/>
    <w:rsid w:val="00C453B5"/>
    <w:rsid w:val="00C456B3"/>
    <w:rsid w:val="00C4707A"/>
    <w:rsid w:val="00C5132C"/>
    <w:rsid w:val="00C545DB"/>
    <w:rsid w:val="00C55C92"/>
    <w:rsid w:val="00C56339"/>
    <w:rsid w:val="00C56B81"/>
    <w:rsid w:val="00C5757F"/>
    <w:rsid w:val="00C63109"/>
    <w:rsid w:val="00C63D50"/>
    <w:rsid w:val="00C64D55"/>
    <w:rsid w:val="00C6759E"/>
    <w:rsid w:val="00C67E70"/>
    <w:rsid w:val="00C74BB6"/>
    <w:rsid w:val="00C80304"/>
    <w:rsid w:val="00C8139B"/>
    <w:rsid w:val="00C83904"/>
    <w:rsid w:val="00C91DF1"/>
    <w:rsid w:val="00C93A0C"/>
    <w:rsid w:val="00C9708F"/>
    <w:rsid w:val="00CA081C"/>
    <w:rsid w:val="00CA0CDE"/>
    <w:rsid w:val="00CA0EFF"/>
    <w:rsid w:val="00CA1124"/>
    <w:rsid w:val="00CA45FA"/>
    <w:rsid w:val="00CA62CB"/>
    <w:rsid w:val="00CB6687"/>
    <w:rsid w:val="00CB7541"/>
    <w:rsid w:val="00CC1A09"/>
    <w:rsid w:val="00CC1D10"/>
    <w:rsid w:val="00CC48BF"/>
    <w:rsid w:val="00CC7A56"/>
    <w:rsid w:val="00CD0572"/>
    <w:rsid w:val="00CD0EE8"/>
    <w:rsid w:val="00CD24F4"/>
    <w:rsid w:val="00CD422B"/>
    <w:rsid w:val="00CE0358"/>
    <w:rsid w:val="00CE0C72"/>
    <w:rsid w:val="00CE33C1"/>
    <w:rsid w:val="00CE38C8"/>
    <w:rsid w:val="00CE4A12"/>
    <w:rsid w:val="00CE5145"/>
    <w:rsid w:val="00CE7131"/>
    <w:rsid w:val="00CE750F"/>
    <w:rsid w:val="00CE7DE7"/>
    <w:rsid w:val="00CF2550"/>
    <w:rsid w:val="00CF2913"/>
    <w:rsid w:val="00CF497C"/>
    <w:rsid w:val="00CF5650"/>
    <w:rsid w:val="00D01CEE"/>
    <w:rsid w:val="00D03DED"/>
    <w:rsid w:val="00D05C0F"/>
    <w:rsid w:val="00D063A8"/>
    <w:rsid w:val="00D07F19"/>
    <w:rsid w:val="00D11385"/>
    <w:rsid w:val="00D12487"/>
    <w:rsid w:val="00D14A7E"/>
    <w:rsid w:val="00D14CE0"/>
    <w:rsid w:val="00D15B3A"/>
    <w:rsid w:val="00D160CB"/>
    <w:rsid w:val="00D2037F"/>
    <w:rsid w:val="00D21444"/>
    <w:rsid w:val="00D236BD"/>
    <w:rsid w:val="00D238CA"/>
    <w:rsid w:val="00D245A1"/>
    <w:rsid w:val="00D2504A"/>
    <w:rsid w:val="00D25A59"/>
    <w:rsid w:val="00D31510"/>
    <w:rsid w:val="00D32DC6"/>
    <w:rsid w:val="00D369FB"/>
    <w:rsid w:val="00D415E2"/>
    <w:rsid w:val="00D4187E"/>
    <w:rsid w:val="00D41C3F"/>
    <w:rsid w:val="00D42055"/>
    <w:rsid w:val="00D4247A"/>
    <w:rsid w:val="00D44A86"/>
    <w:rsid w:val="00D459DF"/>
    <w:rsid w:val="00D50AC2"/>
    <w:rsid w:val="00D50C30"/>
    <w:rsid w:val="00D52626"/>
    <w:rsid w:val="00D531A4"/>
    <w:rsid w:val="00D54BD0"/>
    <w:rsid w:val="00D55B41"/>
    <w:rsid w:val="00D56948"/>
    <w:rsid w:val="00D57127"/>
    <w:rsid w:val="00D603E7"/>
    <w:rsid w:val="00D60C85"/>
    <w:rsid w:val="00D647C3"/>
    <w:rsid w:val="00D65205"/>
    <w:rsid w:val="00D70F75"/>
    <w:rsid w:val="00D71F0B"/>
    <w:rsid w:val="00D74512"/>
    <w:rsid w:val="00D74B0D"/>
    <w:rsid w:val="00D751D0"/>
    <w:rsid w:val="00D75FF5"/>
    <w:rsid w:val="00D807F0"/>
    <w:rsid w:val="00D816C0"/>
    <w:rsid w:val="00D90347"/>
    <w:rsid w:val="00D91655"/>
    <w:rsid w:val="00D94361"/>
    <w:rsid w:val="00D94AB5"/>
    <w:rsid w:val="00D9633A"/>
    <w:rsid w:val="00D96415"/>
    <w:rsid w:val="00D978C6"/>
    <w:rsid w:val="00DA2040"/>
    <w:rsid w:val="00DA3EDF"/>
    <w:rsid w:val="00DA4DE8"/>
    <w:rsid w:val="00DB133C"/>
    <w:rsid w:val="00DB5C19"/>
    <w:rsid w:val="00DB6327"/>
    <w:rsid w:val="00DB70BA"/>
    <w:rsid w:val="00DB76DD"/>
    <w:rsid w:val="00DC2D2B"/>
    <w:rsid w:val="00DC56CC"/>
    <w:rsid w:val="00DC66DC"/>
    <w:rsid w:val="00DC6DB3"/>
    <w:rsid w:val="00DD0A59"/>
    <w:rsid w:val="00DD6BF0"/>
    <w:rsid w:val="00DE1305"/>
    <w:rsid w:val="00DE3C51"/>
    <w:rsid w:val="00DE538E"/>
    <w:rsid w:val="00DE570F"/>
    <w:rsid w:val="00DE6973"/>
    <w:rsid w:val="00DE7ABD"/>
    <w:rsid w:val="00DF0587"/>
    <w:rsid w:val="00DF1886"/>
    <w:rsid w:val="00DF2386"/>
    <w:rsid w:val="00DF3E50"/>
    <w:rsid w:val="00DF41C0"/>
    <w:rsid w:val="00DF56F5"/>
    <w:rsid w:val="00DF5CDF"/>
    <w:rsid w:val="00DF6C5A"/>
    <w:rsid w:val="00DF7FE7"/>
    <w:rsid w:val="00E01BE5"/>
    <w:rsid w:val="00E04608"/>
    <w:rsid w:val="00E06E83"/>
    <w:rsid w:val="00E12A11"/>
    <w:rsid w:val="00E146BF"/>
    <w:rsid w:val="00E14BA7"/>
    <w:rsid w:val="00E15B18"/>
    <w:rsid w:val="00E1777E"/>
    <w:rsid w:val="00E209BA"/>
    <w:rsid w:val="00E21CCA"/>
    <w:rsid w:val="00E224CE"/>
    <w:rsid w:val="00E235D0"/>
    <w:rsid w:val="00E23B69"/>
    <w:rsid w:val="00E23C44"/>
    <w:rsid w:val="00E33921"/>
    <w:rsid w:val="00E34284"/>
    <w:rsid w:val="00E4184D"/>
    <w:rsid w:val="00E41C6E"/>
    <w:rsid w:val="00E42856"/>
    <w:rsid w:val="00E4319A"/>
    <w:rsid w:val="00E45830"/>
    <w:rsid w:val="00E46367"/>
    <w:rsid w:val="00E469B9"/>
    <w:rsid w:val="00E50B83"/>
    <w:rsid w:val="00E513A9"/>
    <w:rsid w:val="00E5251D"/>
    <w:rsid w:val="00E537F6"/>
    <w:rsid w:val="00E558E9"/>
    <w:rsid w:val="00E55A5E"/>
    <w:rsid w:val="00E57322"/>
    <w:rsid w:val="00E57904"/>
    <w:rsid w:val="00E57C65"/>
    <w:rsid w:val="00E600B1"/>
    <w:rsid w:val="00E61050"/>
    <w:rsid w:val="00E619A1"/>
    <w:rsid w:val="00E626CD"/>
    <w:rsid w:val="00E62BE4"/>
    <w:rsid w:val="00E63F0B"/>
    <w:rsid w:val="00E64E9B"/>
    <w:rsid w:val="00E715FC"/>
    <w:rsid w:val="00E71A2B"/>
    <w:rsid w:val="00E72D1A"/>
    <w:rsid w:val="00E75B41"/>
    <w:rsid w:val="00E80F36"/>
    <w:rsid w:val="00E810F8"/>
    <w:rsid w:val="00E815B8"/>
    <w:rsid w:val="00E82CCD"/>
    <w:rsid w:val="00E842D7"/>
    <w:rsid w:val="00E85A47"/>
    <w:rsid w:val="00E87628"/>
    <w:rsid w:val="00E90337"/>
    <w:rsid w:val="00E92962"/>
    <w:rsid w:val="00E93B42"/>
    <w:rsid w:val="00E9485D"/>
    <w:rsid w:val="00E95E5D"/>
    <w:rsid w:val="00E95F64"/>
    <w:rsid w:val="00E96EFF"/>
    <w:rsid w:val="00EA0897"/>
    <w:rsid w:val="00EA393A"/>
    <w:rsid w:val="00EA3A7F"/>
    <w:rsid w:val="00EB032F"/>
    <w:rsid w:val="00EC0EEB"/>
    <w:rsid w:val="00EC0FFA"/>
    <w:rsid w:val="00EC2BE2"/>
    <w:rsid w:val="00EC2E0D"/>
    <w:rsid w:val="00EC4D11"/>
    <w:rsid w:val="00EC7276"/>
    <w:rsid w:val="00ED2380"/>
    <w:rsid w:val="00ED2D66"/>
    <w:rsid w:val="00EE06FA"/>
    <w:rsid w:val="00EE20EF"/>
    <w:rsid w:val="00EE2138"/>
    <w:rsid w:val="00EF2ACE"/>
    <w:rsid w:val="00F00DCE"/>
    <w:rsid w:val="00F0219C"/>
    <w:rsid w:val="00F0459C"/>
    <w:rsid w:val="00F06493"/>
    <w:rsid w:val="00F06C80"/>
    <w:rsid w:val="00F072EF"/>
    <w:rsid w:val="00F078F1"/>
    <w:rsid w:val="00F0791D"/>
    <w:rsid w:val="00F07DF1"/>
    <w:rsid w:val="00F07EB4"/>
    <w:rsid w:val="00F1338E"/>
    <w:rsid w:val="00F13758"/>
    <w:rsid w:val="00F17256"/>
    <w:rsid w:val="00F227F6"/>
    <w:rsid w:val="00F24477"/>
    <w:rsid w:val="00F248A8"/>
    <w:rsid w:val="00F24F52"/>
    <w:rsid w:val="00F25941"/>
    <w:rsid w:val="00F25D3D"/>
    <w:rsid w:val="00F266C6"/>
    <w:rsid w:val="00F32D03"/>
    <w:rsid w:val="00F32E2F"/>
    <w:rsid w:val="00F34089"/>
    <w:rsid w:val="00F344DE"/>
    <w:rsid w:val="00F35DDE"/>
    <w:rsid w:val="00F402D0"/>
    <w:rsid w:val="00F407B5"/>
    <w:rsid w:val="00F43279"/>
    <w:rsid w:val="00F45B4A"/>
    <w:rsid w:val="00F45FC0"/>
    <w:rsid w:val="00F46317"/>
    <w:rsid w:val="00F47B42"/>
    <w:rsid w:val="00F47FAB"/>
    <w:rsid w:val="00F50F9E"/>
    <w:rsid w:val="00F53C6F"/>
    <w:rsid w:val="00F546A4"/>
    <w:rsid w:val="00F63AED"/>
    <w:rsid w:val="00F716C3"/>
    <w:rsid w:val="00F72BD0"/>
    <w:rsid w:val="00F73E71"/>
    <w:rsid w:val="00F75931"/>
    <w:rsid w:val="00F82167"/>
    <w:rsid w:val="00F95574"/>
    <w:rsid w:val="00FA0E4B"/>
    <w:rsid w:val="00FA21A7"/>
    <w:rsid w:val="00FA2724"/>
    <w:rsid w:val="00FA721F"/>
    <w:rsid w:val="00FB0F4C"/>
    <w:rsid w:val="00FB5740"/>
    <w:rsid w:val="00FB5CBB"/>
    <w:rsid w:val="00FC0CC4"/>
    <w:rsid w:val="00FC5ABE"/>
    <w:rsid w:val="00FC7684"/>
    <w:rsid w:val="00FC7FD9"/>
    <w:rsid w:val="00FD03C9"/>
    <w:rsid w:val="00FD248B"/>
    <w:rsid w:val="00FD5BFB"/>
    <w:rsid w:val="00FD5D1C"/>
    <w:rsid w:val="00FD6A25"/>
    <w:rsid w:val="00FE10F3"/>
    <w:rsid w:val="00FE33EB"/>
    <w:rsid w:val="00FE3503"/>
    <w:rsid w:val="00FE48D3"/>
    <w:rsid w:val="00FE4E86"/>
    <w:rsid w:val="00FE5F7C"/>
    <w:rsid w:val="00FF1CBF"/>
    <w:rsid w:val="00FF3444"/>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D980C"/>
  <w15:docId w15:val="{5CFC5529-7A6A-4DBC-A76C-B75E2A8B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2E87-9E23-4D5F-B959-9511A8B6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6595</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2016-10-06T13:08:00Z</cp:lastPrinted>
  <dcterms:created xsi:type="dcterms:W3CDTF">2021-05-25T15:47:00Z</dcterms:created>
  <dcterms:modified xsi:type="dcterms:W3CDTF">2021-05-25T15:47:00Z</dcterms:modified>
</cp:coreProperties>
</file>