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DD63" w14:textId="77777777" w:rsidR="007460AF" w:rsidRDefault="007460AF" w:rsidP="007460AF">
      <w:pPr>
        <w:rPr>
          <w:rFonts w:asciiTheme="minorHAnsi" w:eastAsiaTheme="minorEastAsia" w:hAnsiTheme="minorHAnsi" w:cs="Arial"/>
        </w:rPr>
      </w:pPr>
    </w:p>
    <w:p w14:paraId="0850E1BB" w14:textId="77777777" w:rsidR="007460AF" w:rsidRDefault="007460AF" w:rsidP="007460AF">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Pr>
          <w:rFonts w:cstheme="minorHAnsi"/>
          <w:bCs/>
          <w:szCs w:val="20"/>
        </w:rPr>
        <w:t>THE RAMSAR CONVENTION ON WETLANDS</w:t>
      </w:r>
    </w:p>
    <w:p w14:paraId="21F07058" w14:textId="006F0EA2" w:rsidR="007460AF" w:rsidRDefault="007460AF" w:rsidP="007460AF">
      <w:pPr>
        <w:pBdr>
          <w:top w:val="single" w:sz="12" w:space="0" w:color="auto" w:shadow="1"/>
          <w:left w:val="single" w:sz="12" w:space="4" w:color="auto" w:shadow="1"/>
          <w:bottom w:val="single" w:sz="12" w:space="1" w:color="auto" w:shadow="1"/>
          <w:right w:val="single" w:sz="12" w:space="0" w:color="auto" w:shadow="1"/>
        </w:pBdr>
        <w:ind w:right="2792"/>
      </w:pPr>
      <w:r>
        <w:t>59th Meeting of the Standing Committee</w:t>
      </w:r>
    </w:p>
    <w:p w14:paraId="3F912036" w14:textId="2BFD244D" w:rsidR="003736C7" w:rsidRDefault="003736C7" w:rsidP="007460AF">
      <w:pPr>
        <w:pBdr>
          <w:top w:val="single" w:sz="12" w:space="0" w:color="auto" w:shadow="1"/>
          <w:left w:val="single" w:sz="12" w:space="4" w:color="auto" w:shadow="1"/>
          <w:bottom w:val="single" w:sz="12" w:space="1" w:color="auto" w:shadow="1"/>
          <w:right w:val="single" w:sz="12" w:space="0" w:color="auto" w:shadow="1"/>
        </w:pBdr>
        <w:ind w:right="2792"/>
        <w:rPr>
          <w:rFonts w:cstheme="minorBidi"/>
        </w:rPr>
      </w:pPr>
      <w:r>
        <w:t>Resumed session</w:t>
      </w:r>
    </w:p>
    <w:p w14:paraId="2012964B" w14:textId="4C5F9A3B" w:rsidR="007460AF" w:rsidRDefault="00B27328" w:rsidP="007460AF">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t>Gland, Switzerland, 2</w:t>
      </w:r>
      <w:bookmarkStart w:id="0" w:name="_GoBack"/>
      <w:bookmarkEnd w:id="0"/>
      <w:r w:rsidR="007460AF">
        <w:t>3-27 May 2022</w:t>
      </w:r>
    </w:p>
    <w:p w14:paraId="041C892D" w14:textId="77777777" w:rsidR="007460AF" w:rsidRDefault="007460AF" w:rsidP="007460AF">
      <w:pPr>
        <w:rPr>
          <w:rFonts w:cstheme="minorBidi"/>
          <w:sz w:val="28"/>
        </w:rPr>
      </w:pPr>
    </w:p>
    <w:p w14:paraId="55C7333A" w14:textId="2EAC524C" w:rsidR="007460AF" w:rsidRDefault="007460AF" w:rsidP="007460AF">
      <w:pPr>
        <w:jc w:val="right"/>
        <w:rPr>
          <w:rFonts w:cstheme="minorHAnsi"/>
          <w:b/>
          <w:sz w:val="28"/>
          <w:szCs w:val="28"/>
        </w:rPr>
      </w:pPr>
      <w:r>
        <w:rPr>
          <w:rFonts w:cstheme="minorHAnsi"/>
          <w:b/>
          <w:sz w:val="28"/>
          <w:szCs w:val="28"/>
        </w:rPr>
        <w:t>SC59</w:t>
      </w:r>
      <w:r w:rsidR="003736C7">
        <w:rPr>
          <w:rFonts w:cstheme="minorHAnsi"/>
          <w:b/>
          <w:sz w:val="28"/>
          <w:szCs w:val="28"/>
        </w:rPr>
        <w:t>/2022 Com.1</w:t>
      </w:r>
    </w:p>
    <w:p w14:paraId="6FBCFDE3" w14:textId="77777777" w:rsidR="00CE4C3C" w:rsidRDefault="00CE4C3C" w:rsidP="007460AF">
      <w:pPr>
        <w:ind w:right="16"/>
        <w:jc w:val="center"/>
        <w:rPr>
          <w:rFonts w:cstheme="minorHAnsi"/>
          <w:b/>
          <w:sz w:val="28"/>
          <w:szCs w:val="28"/>
          <w:lang w:val="en-ZA" w:eastAsia="ko-KR"/>
        </w:rPr>
      </w:pPr>
    </w:p>
    <w:p w14:paraId="1BF184CB" w14:textId="15DCEDA6" w:rsidR="007460AF" w:rsidRDefault="00124FA4" w:rsidP="007460AF">
      <w:pPr>
        <w:ind w:right="16"/>
        <w:jc w:val="center"/>
        <w:rPr>
          <w:rFonts w:cstheme="minorHAnsi"/>
          <w:b/>
          <w:sz w:val="28"/>
          <w:szCs w:val="28"/>
          <w:lang w:val="en-ZA" w:eastAsia="ko-KR"/>
        </w:rPr>
      </w:pPr>
      <w:r>
        <w:rPr>
          <w:rFonts w:cstheme="minorHAnsi"/>
          <w:b/>
          <w:sz w:val="28"/>
          <w:szCs w:val="28"/>
          <w:lang w:val="en-ZA" w:eastAsia="ko-KR"/>
        </w:rPr>
        <w:t>Terms of Reference – Strategic Plan Working Group</w:t>
      </w:r>
      <w:r w:rsidR="007460AF">
        <w:rPr>
          <w:rFonts w:cstheme="minorHAnsi"/>
          <w:b/>
          <w:sz w:val="28"/>
          <w:szCs w:val="28"/>
          <w:lang w:val="en-ZA" w:eastAsia="ko-KR"/>
        </w:rPr>
        <w:t xml:space="preserve"> for SP5 </w:t>
      </w:r>
      <w:r w:rsidR="00335A71">
        <w:rPr>
          <w:rFonts w:cstheme="minorHAnsi"/>
          <w:b/>
          <w:sz w:val="28"/>
          <w:szCs w:val="28"/>
          <w:lang w:val="en-ZA" w:eastAsia="ko-KR"/>
        </w:rPr>
        <w:t>(SP5WG)</w:t>
      </w:r>
      <w:r w:rsidR="007460AF">
        <w:rPr>
          <w:rFonts w:cstheme="minorHAnsi"/>
          <w:b/>
          <w:sz w:val="28"/>
          <w:szCs w:val="28"/>
          <w:lang w:val="en-ZA" w:eastAsia="ko-KR"/>
        </w:rPr>
        <w:t xml:space="preserve"> </w:t>
      </w:r>
    </w:p>
    <w:p w14:paraId="1B801BFE" w14:textId="77777777" w:rsidR="007460AF" w:rsidRDefault="007460AF" w:rsidP="007460AF">
      <w:pPr>
        <w:rPr>
          <w:rFonts w:cstheme="minorHAnsi"/>
          <w:b/>
          <w:bCs/>
          <w:sz w:val="28"/>
          <w:szCs w:val="28"/>
        </w:rPr>
      </w:pPr>
    </w:p>
    <w:p w14:paraId="1CBE9440" w14:textId="1584D3B8" w:rsidR="007460AF" w:rsidRDefault="007460AF" w:rsidP="007460AF">
      <w:pPr>
        <w:ind w:right="16"/>
        <w:rPr>
          <w:rFonts w:eastAsia="Times New Roman" w:cstheme="minorBidi"/>
          <w:i/>
          <w:highlight w:val="yellow"/>
        </w:rPr>
      </w:pPr>
      <w:r>
        <w:rPr>
          <w:rFonts w:eastAsia="Times New Roman"/>
          <w:i/>
          <w:iCs/>
        </w:rPr>
        <w:t xml:space="preserve">Submitted by </w:t>
      </w:r>
      <w:r w:rsidR="00675AA6">
        <w:rPr>
          <w:rFonts w:eastAsia="Times New Roman"/>
          <w:i/>
          <w:iCs/>
        </w:rPr>
        <w:t>Australia, as C</w:t>
      </w:r>
      <w:r w:rsidR="00220364">
        <w:rPr>
          <w:rFonts w:eastAsia="Times New Roman"/>
          <w:i/>
          <w:iCs/>
        </w:rPr>
        <w:t>hair of</w:t>
      </w:r>
      <w:r w:rsidR="00675AA6">
        <w:rPr>
          <w:rFonts w:eastAsia="Times New Roman"/>
          <w:i/>
          <w:iCs/>
        </w:rPr>
        <w:t xml:space="preserve"> </w:t>
      </w:r>
      <w:r>
        <w:rPr>
          <w:rFonts w:eastAsia="Times New Roman"/>
          <w:i/>
          <w:iCs/>
        </w:rPr>
        <w:t xml:space="preserve">the Strategic Plan Working Group </w:t>
      </w:r>
      <w:r w:rsidR="00675AA6">
        <w:rPr>
          <w:rFonts w:eastAsia="Times New Roman"/>
          <w:i/>
          <w:iCs/>
        </w:rPr>
        <w:t xml:space="preserve">(SP5) </w:t>
      </w:r>
      <w:r>
        <w:rPr>
          <w:rFonts w:eastAsia="Times New Roman"/>
          <w:i/>
          <w:iCs/>
        </w:rPr>
        <w:t xml:space="preserve">to the Standing </w:t>
      </w:r>
      <w:r>
        <w:rPr>
          <w:rFonts w:eastAsia="Times New Roman"/>
          <w:i/>
        </w:rPr>
        <w:t>Committee.</w:t>
      </w:r>
    </w:p>
    <w:p w14:paraId="564A1ED6" w14:textId="77777777" w:rsidR="007460AF" w:rsidRDefault="007460AF" w:rsidP="007460AF">
      <w:pPr>
        <w:rPr>
          <w:rFonts w:eastAsiaTheme="minorEastAsia" w:cstheme="minorHAnsi"/>
          <w:bCs/>
          <w:i/>
          <w:iCs/>
        </w:rPr>
      </w:pPr>
    </w:p>
    <w:p w14:paraId="748DCB6F" w14:textId="77777777" w:rsidR="007460AF" w:rsidRDefault="007460AF" w:rsidP="007460AF">
      <w:pPr>
        <w:rPr>
          <w:rFonts w:cstheme="minorBidi"/>
          <w:i/>
        </w:rPr>
      </w:pPr>
      <w:r>
        <w:rPr>
          <w:i/>
        </w:rPr>
        <w:t>Secretariat cover note:</w:t>
      </w:r>
    </w:p>
    <w:p w14:paraId="018630D5" w14:textId="77777777" w:rsidR="007460AF" w:rsidRDefault="007460AF" w:rsidP="007460AF">
      <w:pPr>
        <w:rPr>
          <w:rFonts w:cstheme="minorHAnsi"/>
          <w:bCs/>
          <w:i/>
          <w:iCs/>
        </w:rPr>
      </w:pPr>
    </w:p>
    <w:p w14:paraId="140C0AF6" w14:textId="77777777" w:rsidR="007460AF" w:rsidRDefault="007460AF" w:rsidP="007460AF">
      <w:pPr>
        <w:rPr>
          <w:rFonts w:cstheme="minorHAnsi"/>
          <w:bCs/>
          <w:i/>
          <w:iCs/>
          <w:lang w:val="en-ZA"/>
        </w:rPr>
      </w:pPr>
    </w:p>
    <w:p w14:paraId="2D0D3FF5" w14:textId="77777777" w:rsidR="007460AF" w:rsidRDefault="007460AF" w:rsidP="007460AF">
      <w:pPr>
        <w:pBdr>
          <w:top w:val="single" w:sz="4" w:space="1" w:color="auto"/>
          <w:left w:val="single" w:sz="4" w:space="4" w:color="auto"/>
          <w:bottom w:val="single" w:sz="4" w:space="1" w:color="auto"/>
          <w:right w:val="single" w:sz="4" w:space="4" w:color="auto"/>
        </w:pBdr>
        <w:rPr>
          <w:rFonts w:cstheme="minorHAnsi"/>
          <w:bCs/>
        </w:rPr>
      </w:pPr>
      <w:r>
        <w:rPr>
          <w:rFonts w:cstheme="minorHAnsi"/>
          <w:b/>
        </w:rPr>
        <w:t>Action requested</w:t>
      </w:r>
      <w:r>
        <w:rPr>
          <w:rFonts w:cstheme="minorHAnsi"/>
          <w:bCs/>
        </w:rPr>
        <w:t>:</w:t>
      </w:r>
    </w:p>
    <w:p w14:paraId="39F7BB4F" w14:textId="77777777" w:rsidR="00B1795C" w:rsidRDefault="00B1795C" w:rsidP="00B1795C">
      <w:pPr>
        <w:pBdr>
          <w:top w:val="single" w:sz="4" w:space="1" w:color="auto"/>
          <w:left w:val="single" w:sz="4" w:space="4" w:color="auto"/>
          <w:bottom w:val="single" w:sz="4" w:space="1" w:color="auto"/>
          <w:right w:val="single" w:sz="4" w:space="4" w:color="auto"/>
        </w:pBdr>
        <w:ind w:left="0" w:firstLine="0"/>
        <w:rPr>
          <w:rFonts w:cstheme="minorHAnsi"/>
          <w:bCs/>
        </w:rPr>
      </w:pPr>
    </w:p>
    <w:p w14:paraId="75FACC5D" w14:textId="11BC66BF" w:rsidR="00C8745B" w:rsidRDefault="007460AF" w:rsidP="00C8745B">
      <w:pPr>
        <w:pBdr>
          <w:top w:val="single" w:sz="4" w:space="1" w:color="auto"/>
          <w:left w:val="single" w:sz="4" w:space="4" w:color="auto"/>
          <w:bottom w:val="single" w:sz="4" w:space="1" w:color="auto"/>
          <w:right w:val="single" w:sz="4" w:space="4" w:color="auto"/>
        </w:pBdr>
        <w:ind w:left="0" w:firstLine="0"/>
        <w:rPr>
          <w:rFonts w:cstheme="minorHAnsi"/>
          <w:bCs/>
        </w:rPr>
      </w:pPr>
      <w:r w:rsidRPr="00C8745B">
        <w:rPr>
          <w:rFonts w:cstheme="minorHAnsi"/>
          <w:bCs/>
        </w:rPr>
        <w:t>The Standing Committee is invited to</w:t>
      </w:r>
      <w:r w:rsidR="00C8745B" w:rsidRPr="00C8745B">
        <w:rPr>
          <w:rFonts w:cstheme="minorHAnsi"/>
          <w:bCs/>
        </w:rPr>
        <w:t>:</w:t>
      </w:r>
    </w:p>
    <w:p w14:paraId="03BE5B3F" w14:textId="77777777" w:rsidR="0036462C" w:rsidRPr="00C8745B" w:rsidRDefault="0036462C" w:rsidP="00C8745B">
      <w:pPr>
        <w:pBdr>
          <w:top w:val="single" w:sz="4" w:space="1" w:color="auto"/>
          <w:left w:val="single" w:sz="4" w:space="4" w:color="auto"/>
          <w:bottom w:val="single" w:sz="4" w:space="1" w:color="auto"/>
          <w:right w:val="single" w:sz="4" w:space="4" w:color="auto"/>
        </w:pBdr>
        <w:ind w:left="0" w:firstLine="0"/>
        <w:rPr>
          <w:rFonts w:cstheme="minorHAnsi"/>
          <w:bCs/>
        </w:rPr>
      </w:pPr>
    </w:p>
    <w:p w14:paraId="3862A9CC" w14:textId="5C7BC9B0" w:rsidR="0036462C" w:rsidRPr="002E2384" w:rsidRDefault="002A10EB"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sz w:val="28"/>
          <w:szCs w:val="28"/>
          <w:lang w:val="en-ZA" w:eastAsia="ko-KR"/>
        </w:rPr>
      </w:pPr>
      <w:r w:rsidRPr="002E2384">
        <w:rPr>
          <w:rFonts w:cstheme="minorHAnsi"/>
          <w:bCs/>
        </w:rPr>
        <w:t xml:space="preserve">Note this report from the </w:t>
      </w:r>
      <w:r w:rsidRPr="002E2384">
        <w:rPr>
          <w:rFonts w:cstheme="minorHAnsi"/>
          <w:bCs/>
          <w:lang w:val="en-ZA" w:eastAsia="ko-KR"/>
        </w:rPr>
        <w:t>Strategic Plan Working Group for SP5</w:t>
      </w:r>
      <w:r w:rsidR="00A82BCE" w:rsidRPr="002E2384">
        <w:rPr>
          <w:rFonts w:cstheme="minorHAnsi"/>
          <w:bCs/>
          <w:lang w:val="en-ZA" w:eastAsia="ko-KR"/>
        </w:rPr>
        <w:t>;</w:t>
      </w:r>
      <w:r w:rsidRPr="002E2384">
        <w:rPr>
          <w:rFonts w:cstheme="minorHAnsi"/>
          <w:bCs/>
          <w:sz w:val="28"/>
          <w:szCs w:val="28"/>
          <w:lang w:val="en-ZA" w:eastAsia="ko-KR"/>
        </w:rPr>
        <w:t xml:space="preserve">   </w:t>
      </w:r>
    </w:p>
    <w:p w14:paraId="72DDFEED" w14:textId="7A4551C7" w:rsidR="002A10EB" w:rsidRDefault="002A10EB" w:rsidP="002E2384">
      <w:pPr>
        <w:pBdr>
          <w:top w:val="single" w:sz="4" w:space="1" w:color="auto"/>
          <w:left w:val="single" w:sz="4" w:space="4" w:color="auto"/>
          <w:bottom w:val="single" w:sz="4" w:space="1" w:color="auto"/>
          <w:right w:val="single" w:sz="4" w:space="4" w:color="auto"/>
        </w:pBdr>
        <w:ind w:left="426" w:hanging="426"/>
        <w:rPr>
          <w:rFonts w:cstheme="minorHAnsi"/>
          <w:bCs/>
        </w:rPr>
      </w:pPr>
    </w:p>
    <w:p w14:paraId="11055691" w14:textId="505F2A11" w:rsidR="000B0901" w:rsidRPr="002E2384" w:rsidRDefault="0036462C"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sz w:val="28"/>
          <w:szCs w:val="28"/>
          <w:lang w:val="en-ZA" w:eastAsia="ko-KR"/>
        </w:rPr>
      </w:pPr>
      <w:r w:rsidRPr="002E2384">
        <w:rPr>
          <w:rFonts w:cstheme="minorHAnsi"/>
          <w:bCs/>
        </w:rPr>
        <w:t>R</w:t>
      </w:r>
      <w:r w:rsidR="007460AF" w:rsidRPr="002E2384">
        <w:rPr>
          <w:rFonts w:cstheme="minorHAnsi"/>
          <w:bCs/>
        </w:rPr>
        <w:t xml:space="preserve">eview and approve the attached </w:t>
      </w:r>
      <w:r w:rsidR="00BB6FE3" w:rsidRPr="002E2384">
        <w:rPr>
          <w:rFonts w:cstheme="minorHAnsi"/>
          <w:bCs/>
        </w:rPr>
        <w:t xml:space="preserve">Terms </w:t>
      </w:r>
      <w:r w:rsidR="00124FA4" w:rsidRPr="002E2384">
        <w:rPr>
          <w:rFonts w:cstheme="minorHAnsi"/>
          <w:bCs/>
        </w:rPr>
        <w:t>of Reference</w:t>
      </w:r>
      <w:r w:rsidR="00BB6FE3" w:rsidRPr="002E2384">
        <w:rPr>
          <w:rFonts w:cstheme="minorHAnsi"/>
          <w:bCs/>
        </w:rPr>
        <w:t xml:space="preserve"> </w:t>
      </w:r>
      <w:r w:rsidR="00BB6AD7" w:rsidRPr="002E2384">
        <w:rPr>
          <w:rFonts w:cstheme="minorHAnsi"/>
          <w:bCs/>
        </w:rPr>
        <w:t xml:space="preserve">and </w:t>
      </w:r>
      <w:r w:rsidR="00B908A8" w:rsidRPr="002E2384">
        <w:rPr>
          <w:rFonts w:cstheme="minorHAnsi"/>
          <w:bCs/>
          <w:lang w:val="en-ZA" w:eastAsia="ko-KR"/>
        </w:rPr>
        <w:t>workplan to COP14</w:t>
      </w:r>
      <w:r w:rsidR="00050786" w:rsidRPr="002E2384">
        <w:rPr>
          <w:rFonts w:cstheme="minorHAnsi"/>
          <w:bCs/>
          <w:lang w:val="en-ZA" w:eastAsia="ko-KR"/>
        </w:rPr>
        <w:t xml:space="preserve"> </w:t>
      </w:r>
      <w:r w:rsidR="00124FA4" w:rsidRPr="002E2384">
        <w:rPr>
          <w:rFonts w:cstheme="minorHAnsi"/>
          <w:bCs/>
        </w:rPr>
        <w:t xml:space="preserve">for </w:t>
      </w:r>
      <w:r w:rsidR="00E634DD" w:rsidRPr="002E2384">
        <w:rPr>
          <w:rFonts w:cstheme="minorHAnsi"/>
          <w:bCs/>
          <w:lang w:val="en-ZA" w:eastAsia="ko-KR"/>
        </w:rPr>
        <w:t>S</w:t>
      </w:r>
      <w:r w:rsidR="00335A71" w:rsidRPr="002E2384">
        <w:rPr>
          <w:rFonts w:cstheme="minorHAnsi"/>
          <w:bCs/>
          <w:lang w:val="en-ZA" w:eastAsia="ko-KR"/>
        </w:rPr>
        <w:t>P5WG</w:t>
      </w:r>
      <w:r w:rsidR="00BB6AD7" w:rsidRPr="002E2384">
        <w:rPr>
          <w:rFonts w:cstheme="minorHAnsi"/>
          <w:bCs/>
          <w:lang w:val="en-ZA" w:eastAsia="ko-KR"/>
        </w:rPr>
        <w:t xml:space="preserve"> at Annex 1</w:t>
      </w:r>
      <w:r w:rsidR="000B0901" w:rsidRPr="002E2384">
        <w:rPr>
          <w:rFonts w:cstheme="minorHAnsi"/>
          <w:bCs/>
          <w:lang w:val="en-ZA" w:eastAsia="ko-KR"/>
        </w:rPr>
        <w:t>, noting th</w:t>
      </w:r>
      <w:r w:rsidR="00335A71" w:rsidRPr="002E2384">
        <w:rPr>
          <w:rFonts w:cstheme="minorHAnsi"/>
          <w:bCs/>
          <w:lang w:val="en-ZA" w:eastAsia="ko-KR"/>
        </w:rPr>
        <w:t>e</w:t>
      </w:r>
      <w:r w:rsidR="002F1B37" w:rsidRPr="002E2384">
        <w:rPr>
          <w:rFonts w:cstheme="minorHAnsi"/>
          <w:bCs/>
          <w:lang w:val="en-ZA" w:eastAsia="ko-KR"/>
        </w:rPr>
        <w:t>se</w:t>
      </w:r>
      <w:r w:rsidR="00B908A8" w:rsidRPr="002E2384">
        <w:rPr>
          <w:rFonts w:cstheme="minorHAnsi"/>
          <w:bCs/>
          <w:lang w:val="en-ZA" w:eastAsia="ko-KR"/>
        </w:rPr>
        <w:t xml:space="preserve"> </w:t>
      </w:r>
      <w:r w:rsidR="000B0901" w:rsidRPr="002E2384">
        <w:rPr>
          <w:rFonts w:cstheme="minorHAnsi"/>
          <w:bCs/>
          <w:lang w:val="en-ZA" w:eastAsia="ko-KR"/>
        </w:rPr>
        <w:t>will be updated to include any</w:t>
      </w:r>
      <w:r w:rsidR="008D58BD" w:rsidRPr="002E2384">
        <w:rPr>
          <w:rFonts w:cstheme="minorHAnsi"/>
          <w:bCs/>
          <w:lang w:val="en-ZA" w:eastAsia="ko-KR"/>
        </w:rPr>
        <w:t xml:space="preserve"> agreed</w:t>
      </w:r>
      <w:r w:rsidR="00CE4C3C" w:rsidRPr="002E2384">
        <w:rPr>
          <w:rFonts w:cstheme="minorHAnsi"/>
          <w:bCs/>
          <w:lang w:val="en-ZA" w:eastAsia="ko-KR"/>
        </w:rPr>
        <w:t xml:space="preserve"> and relevant</w:t>
      </w:r>
      <w:r w:rsidR="008D58BD" w:rsidRPr="002E2384">
        <w:rPr>
          <w:rFonts w:cstheme="minorHAnsi"/>
          <w:bCs/>
          <w:lang w:val="en-ZA" w:eastAsia="ko-KR"/>
        </w:rPr>
        <w:t xml:space="preserve"> </w:t>
      </w:r>
      <w:r w:rsidR="000B0901" w:rsidRPr="002E2384">
        <w:rPr>
          <w:rFonts w:cstheme="minorHAnsi"/>
          <w:bCs/>
          <w:lang w:val="en-ZA" w:eastAsia="ko-KR"/>
        </w:rPr>
        <w:t xml:space="preserve">consequential amendments to the DR </w:t>
      </w:r>
      <w:r w:rsidR="000B6BCD" w:rsidRPr="002E2384">
        <w:rPr>
          <w:rFonts w:cstheme="minorHAnsi"/>
          <w:bCs/>
          <w:lang w:val="en-ZA" w:eastAsia="ko-KR"/>
        </w:rPr>
        <w:t xml:space="preserve">(SC59.Doc10) </w:t>
      </w:r>
      <w:r w:rsidR="00BB6AD7" w:rsidRPr="002E2384">
        <w:rPr>
          <w:rFonts w:cstheme="minorHAnsi"/>
          <w:bCs/>
          <w:lang w:val="en-ZA" w:eastAsia="ko-KR"/>
        </w:rPr>
        <w:t>decided by Standing Committee</w:t>
      </w:r>
      <w:r w:rsidR="00AF68D2" w:rsidRPr="002E2384">
        <w:rPr>
          <w:rFonts w:cstheme="minorHAnsi"/>
          <w:bCs/>
          <w:lang w:val="en-ZA" w:eastAsia="ko-KR"/>
        </w:rPr>
        <w:t xml:space="preserve"> 59</w:t>
      </w:r>
      <w:r w:rsidR="00BB6AD7" w:rsidRPr="002E2384">
        <w:rPr>
          <w:rFonts w:cstheme="minorHAnsi"/>
          <w:bCs/>
          <w:lang w:val="en-ZA" w:eastAsia="ko-KR"/>
        </w:rPr>
        <w:t xml:space="preserve"> </w:t>
      </w:r>
      <w:r w:rsidR="00A82BCE" w:rsidRPr="002E2384">
        <w:rPr>
          <w:rFonts w:cstheme="minorHAnsi"/>
          <w:bCs/>
          <w:lang w:val="en-ZA" w:eastAsia="ko-KR"/>
        </w:rPr>
        <w:t>and the decision of Parties at</w:t>
      </w:r>
      <w:r w:rsidR="000B6BCD" w:rsidRPr="002E2384">
        <w:rPr>
          <w:rFonts w:cstheme="minorHAnsi"/>
          <w:bCs/>
          <w:lang w:val="en-ZA" w:eastAsia="ko-KR"/>
        </w:rPr>
        <w:t xml:space="preserve"> </w:t>
      </w:r>
      <w:r w:rsidR="00A82BCE" w:rsidRPr="002E2384">
        <w:rPr>
          <w:rFonts w:cstheme="minorHAnsi"/>
          <w:bCs/>
          <w:lang w:val="en-ZA" w:eastAsia="ko-KR"/>
        </w:rPr>
        <w:t>COP14</w:t>
      </w:r>
      <w:r w:rsidR="00A50715" w:rsidRPr="002E2384">
        <w:rPr>
          <w:rFonts w:cstheme="minorHAnsi"/>
          <w:bCs/>
          <w:lang w:val="en-ZA" w:eastAsia="ko-KR"/>
        </w:rPr>
        <w:t xml:space="preserve">; and </w:t>
      </w:r>
      <w:r w:rsidR="002500E5" w:rsidRPr="002E2384">
        <w:rPr>
          <w:rFonts w:cstheme="minorHAnsi"/>
          <w:bCs/>
          <w:lang w:val="en-ZA" w:eastAsia="ko-KR"/>
        </w:rPr>
        <w:t xml:space="preserve"> </w:t>
      </w:r>
    </w:p>
    <w:p w14:paraId="0CC7ACA0" w14:textId="77777777" w:rsidR="000B0901" w:rsidRDefault="000B0901" w:rsidP="00C8745B">
      <w:pPr>
        <w:pBdr>
          <w:top w:val="single" w:sz="4" w:space="1" w:color="auto"/>
          <w:left w:val="single" w:sz="4" w:space="4" w:color="auto"/>
          <w:bottom w:val="single" w:sz="4" w:space="1" w:color="auto"/>
          <w:right w:val="single" w:sz="4" w:space="4" w:color="auto"/>
        </w:pBdr>
        <w:ind w:left="0" w:firstLine="0"/>
        <w:rPr>
          <w:rFonts w:cstheme="minorHAnsi"/>
          <w:bCs/>
          <w:sz w:val="28"/>
          <w:szCs w:val="28"/>
          <w:lang w:val="en-ZA" w:eastAsia="ko-KR"/>
        </w:rPr>
      </w:pPr>
    </w:p>
    <w:p w14:paraId="6F934B8E" w14:textId="355C6712" w:rsidR="007460AF" w:rsidRPr="002E2384" w:rsidRDefault="002F1B37" w:rsidP="002E2384">
      <w:pPr>
        <w:pStyle w:val="ListParagraph"/>
        <w:numPr>
          <w:ilvl w:val="0"/>
          <w:numId w:val="31"/>
        </w:numPr>
        <w:pBdr>
          <w:top w:val="single" w:sz="4" w:space="1" w:color="auto"/>
          <w:left w:val="single" w:sz="4" w:space="4" w:color="auto"/>
          <w:bottom w:val="single" w:sz="4" w:space="1" w:color="auto"/>
          <w:right w:val="single" w:sz="4" w:space="4" w:color="auto"/>
        </w:pBdr>
        <w:ind w:left="426" w:hanging="426"/>
        <w:rPr>
          <w:rFonts w:cstheme="minorHAnsi"/>
          <w:bCs/>
          <w:lang w:val="en-ZA" w:eastAsia="ko-KR"/>
        </w:rPr>
      </w:pPr>
      <w:r w:rsidRPr="002E2384">
        <w:rPr>
          <w:rFonts w:cstheme="minorHAnsi"/>
          <w:bCs/>
          <w:lang w:val="en-ZA" w:eastAsia="ko-KR"/>
        </w:rPr>
        <w:t>Further note</w:t>
      </w:r>
      <w:r w:rsidR="0054758C">
        <w:rPr>
          <w:rFonts w:cstheme="minorHAnsi"/>
          <w:bCs/>
          <w:lang w:val="en-ZA" w:eastAsia="ko-KR"/>
        </w:rPr>
        <w:t xml:space="preserve"> </w:t>
      </w:r>
      <w:r w:rsidRPr="002E2384">
        <w:rPr>
          <w:rFonts w:cstheme="minorHAnsi"/>
          <w:bCs/>
          <w:lang w:val="en-ZA" w:eastAsia="ko-KR"/>
        </w:rPr>
        <w:t xml:space="preserve">the </w:t>
      </w:r>
      <w:r w:rsidR="009903B5">
        <w:rPr>
          <w:rFonts w:cstheme="minorHAnsi"/>
          <w:bCs/>
          <w:lang w:val="en-ZA" w:eastAsia="ko-KR"/>
        </w:rPr>
        <w:t>WG</w:t>
      </w:r>
      <w:r w:rsidR="00050786" w:rsidRPr="002E2384">
        <w:rPr>
          <w:rFonts w:cstheme="minorHAnsi"/>
          <w:bCs/>
          <w:lang w:val="en-ZA" w:eastAsia="ko-KR"/>
        </w:rPr>
        <w:t xml:space="preserve"> </w:t>
      </w:r>
      <w:r w:rsidR="009903B5">
        <w:rPr>
          <w:rFonts w:cstheme="minorHAnsi"/>
          <w:bCs/>
          <w:lang w:val="en-ZA" w:eastAsia="ko-KR"/>
        </w:rPr>
        <w:t xml:space="preserve">will </w:t>
      </w:r>
      <w:r w:rsidR="00D86048" w:rsidRPr="002E2384">
        <w:rPr>
          <w:rFonts w:cstheme="minorHAnsi"/>
          <w:bCs/>
          <w:lang w:val="en-ZA" w:eastAsia="ko-KR"/>
        </w:rPr>
        <w:t xml:space="preserve">design </w:t>
      </w:r>
      <w:r w:rsidR="008A746E" w:rsidRPr="002E2384">
        <w:rPr>
          <w:rFonts w:cstheme="minorHAnsi"/>
          <w:bCs/>
          <w:lang w:val="en-ZA" w:eastAsia="ko-KR"/>
        </w:rPr>
        <w:t xml:space="preserve">a </w:t>
      </w:r>
      <w:r w:rsidR="00D86048" w:rsidRPr="002E2384">
        <w:rPr>
          <w:rFonts w:cstheme="minorHAnsi"/>
          <w:bCs/>
          <w:lang w:val="en-ZA" w:eastAsia="ko-KR"/>
        </w:rPr>
        <w:t>consultation</w:t>
      </w:r>
      <w:r w:rsidR="00E10902" w:rsidRPr="002E2384">
        <w:rPr>
          <w:rFonts w:cstheme="minorHAnsi"/>
          <w:bCs/>
          <w:lang w:val="en-ZA" w:eastAsia="ko-KR"/>
        </w:rPr>
        <w:t xml:space="preserve"> </w:t>
      </w:r>
      <w:r w:rsidR="005C0C8B" w:rsidRPr="002E2384">
        <w:rPr>
          <w:rFonts w:cstheme="minorHAnsi"/>
          <w:bCs/>
          <w:lang w:val="en-ZA" w:eastAsia="ko-KR"/>
        </w:rPr>
        <w:t xml:space="preserve">program for SP5, supported by professional </w:t>
      </w:r>
      <w:r w:rsidR="00BD2E8B" w:rsidRPr="002E2384">
        <w:rPr>
          <w:rFonts w:cstheme="minorHAnsi"/>
          <w:bCs/>
          <w:lang w:val="en-ZA" w:eastAsia="ko-KR"/>
        </w:rPr>
        <w:t>f</w:t>
      </w:r>
      <w:r w:rsidR="00DE0B3B" w:rsidRPr="002E2384">
        <w:rPr>
          <w:rFonts w:cstheme="minorHAnsi"/>
          <w:bCs/>
          <w:lang w:val="en-ZA" w:eastAsia="ko-KR"/>
        </w:rPr>
        <w:t>a</w:t>
      </w:r>
      <w:r w:rsidR="00BD2E8B" w:rsidRPr="002E2384">
        <w:rPr>
          <w:rFonts w:cstheme="minorHAnsi"/>
          <w:bCs/>
          <w:lang w:val="en-ZA" w:eastAsia="ko-KR"/>
        </w:rPr>
        <w:t>cil</w:t>
      </w:r>
      <w:r w:rsidR="00DE0B3B" w:rsidRPr="002E2384">
        <w:rPr>
          <w:rFonts w:cstheme="minorHAnsi"/>
          <w:bCs/>
          <w:lang w:val="en-ZA" w:eastAsia="ko-KR"/>
        </w:rPr>
        <w:t>i</w:t>
      </w:r>
      <w:r w:rsidR="00BD2E8B" w:rsidRPr="002E2384">
        <w:rPr>
          <w:rFonts w:cstheme="minorHAnsi"/>
          <w:bCs/>
          <w:lang w:val="en-ZA" w:eastAsia="ko-KR"/>
        </w:rPr>
        <w:t>tat</w:t>
      </w:r>
      <w:r w:rsidR="005C0C8B" w:rsidRPr="002E2384">
        <w:rPr>
          <w:rFonts w:cstheme="minorHAnsi"/>
          <w:bCs/>
          <w:lang w:val="en-ZA" w:eastAsia="ko-KR"/>
        </w:rPr>
        <w:t>ors, to engage P</w:t>
      </w:r>
      <w:r w:rsidR="00BB0E2A" w:rsidRPr="002E2384">
        <w:rPr>
          <w:rFonts w:cstheme="minorHAnsi"/>
          <w:bCs/>
          <w:lang w:val="en-ZA" w:eastAsia="ko-KR"/>
        </w:rPr>
        <w:t>arties</w:t>
      </w:r>
      <w:r w:rsidR="00EB497B" w:rsidRPr="002E2384">
        <w:rPr>
          <w:rFonts w:cstheme="minorHAnsi"/>
          <w:bCs/>
          <w:lang w:val="en-ZA" w:eastAsia="ko-KR"/>
        </w:rPr>
        <w:t>,</w:t>
      </w:r>
      <w:r w:rsidR="00BB0E2A" w:rsidRPr="002E2384">
        <w:rPr>
          <w:rFonts w:cstheme="minorHAnsi"/>
          <w:bCs/>
          <w:lang w:val="en-ZA" w:eastAsia="ko-KR"/>
        </w:rPr>
        <w:t xml:space="preserve"> IOP’s</w:t>
      </w:r>
      <w:r w:rsidR="00F72D56" w:rsidRPr="002E2384">
        <w:rPr>
          <w:rFonts w:cstheme="minorHAnsi"/>
          <w:bCs/>
          <w:lang w:val="en-ZA" w:eastAsia="ko-KR"/>
        </w:rPr>
        <w:t>,</w:t>
      </w:r>
      <w:r w:rsidR="00EB497B" w:rsidRPr="002E2384">
        <w:rPr>
          <w:rFonts w:cstheme="minorHAnsi"/>
          <w:bCs/>
          <w:lang w:val="en-ZA" w:eastAsia="ko-KR"/>
        </w:rPr>
        <w:t xml:space="preserve"> youth and other relevant stakeholders in </w:t>
      </w:r>
      <w:r w:rsidR="00B96DD6" w:rsidRPr="002E2384">
        <w:rPr>
          <w:rFonts w:cstheme="minorHAnsi"/>
          <w:bCs/>
          <w:lang w:val="en-ZA" w:eastAsia="ko-KR"/>
        </w:rPr>
        <w:t xml:space="preserve">the </w:t>
      </w:r>
      <w:r w:rsidR="00EB497B" w:rsidRPr="002E2384">
        <w:rPr>
          <w:rFonts w:cstheme="minorHAnsi"/>
          <w:bCs/>
          <w:lang w:val="en-ZA" w:eastAsia="ko-KR"/>
        </w:rPr>
        <w:t>lead up and</w:t>
      </w:r>
      <w:r w:rsidR="00BB0E2A" w:rsidRPr="002E2384">
        <w:rPr>
          <w:rFonts w:cstheme="minorHAnsi"/>
          <w:bCs/>
          <w:lang w:val="en-ZA" w:eastAsia="ko-KR"/>
        </w:rPr>
        <w:t xml:space="preserve"> a</w:t>
      </w:r>
      <w:r w:rsidR="00222DAC" w:rsidRPr="002E2384">
        <w:rPr>
          <w:rFonts w:cstheme="minorHAnsi"/>
          <w:bCs/>
          <w:lang w:val="en-ZA" w:eastAsia="ko-KR"/>
        </w:rPr>
        <w:t>t</w:t>
      </w:r>
      <w:r w:rsidR="00BB0E2A" w:rsidRPr="002E2384">
        <w:rPr>
          <w:rFonts w:cstheme="minorHAnsi"/>
          <w:bCs/>
          <w:lang w:val="en-ZA" w:eastAsia="ko-KR"/>
        </w:rPr>
        <w:t xml:space="preserve"> </w:t>
      </w:r>
      <w:r w:rsidR="008A746E" w:rsidRPr="002E2384">
        <w:rPr>
          <w:rFonts w:cstheme="minorHAnsi"/>
          <w:bCs/>
          <w:lang w:val="en-ZA" w:eastAsia="ko-KR"/>
        </w:rPr>
        <w:t>COP14</w:t>
      </w:r>
      <w:r w:rsidR="0054050B">
        <w:rPr>
          <w:rFonts w:cstheme="minorHAnsi"/>
          <w:bCs/>
          <w:lang w:val="en-ZA" w:eastAsia="ko-KR"/>
        </w:rPr>
        <w:t>,</w:t>
      </w:r>
      <w:r w:rsidR="00953370" w:rsidRPr="002E2384">
        <w:rPr>
          <w:rFonts w:cstheme="minorHAnsi"/>
          <w:bCs/>
          <w:lang w:val="en-ZA" w:eastAsia="ko-KR"/>
        </w:rPr>
        <w:t xml:space="preserve"> and </w:t>
      </w:r>
      <w:r w:rsidR="00AF68D2" w:rsidRPr="002E2384">
        <w:rPr>
          <w:rFonts w:cstheme="minorHAnsi"/>
          <w:bCs/>
          <w:lang w:val="en-ZA" w:eastAsia="ko-KR"/>
        </w:rPr>
        <w:t xml:space="preserve">provide </w:t>
      </w:r>
      <w:r w:rsidR="00953370" w:rsidRPr="002E2384">
        <w:rPr>
          <w:rFonts w:cstheme="minorHAnsi"/>
          <w:bCs/>
          <w:lang w:val="en-ZA" w:eastAsia="ko-KR"/>
        </w:rPr>
        <w:t>draft</w:t>
      </w:r>
      <w:r w:rsidR="00D7326B" w:rsidRPr="002E2384">
        <w:rPr>
          <w:rFonts w:cstheme="minorHAnsi"/>
          <w:bCs/>
          <w:lang w:val="en-ZA" w:eastAsia="ko-KR"/>
        </w:rPr>
        <w:t xml:space="preserve"> text on </w:t>
      </w:r>
      <w:r w:rsidR="00777EC3" w:rsidRPr="002E2384">
        <w:rPr>
          <w:rFonts w:cstheme="minorHAnsi"/>
          <w:bCs/>
          <w:lang w:val="en-ZA" w:eastAsia="ko-KR"/>
        </w:rPr>
        <w:t>the</w:t>
      </w:r>
      <w:r w:rsidR="00953370" w:rsidRPr="002E2384">
        <w:rPr>
          <w:rFonts w:cstheme="minorHAnsi"/>
          <w:bCs/>
          <w:lang w:val="en-ZA" w:eastAsia="ko-KR"/>
        </w:rPr>
        <w:t xml:space="preserve"> ‘</w:t>
      </w:r>
      <w:r w:rsidR="00D7326B" w:rsidRPr="002E2384">
        <w:rPr>
          <w:rFonts w:cstheme="minorHAnsi"/>
          <w:bCs/>
          <w:lang w:val="en-ZA" w:eastAsia="ko-KR"/>
        </w:rPr>
        <w:t xml:space="preserve">Strategic </w:t>
      </w:r>
      <w:r w:rsidR="00953370" w:rsidRPr="002E2384">
        <w:rPr>
          <w:rFonts w:cstheme="minorHAnsi"/>
          <w:bCs/>
          <w:lang w:val="en-ZA" w:eastAsia="ko-KR"/>
        </w:rPr>
        <w:t xml:space="preserve">Framework </w:t>
      </w:r>
      <w:r w:rsidR="00D7326B" w:rsidRPr="002E2384">
        <w:rPr>
          <w:rFonts w:cstheme="minorHAnsi"/>
          <w:bCs/>
          <w:lang w:val="en-ZA" w:eastAsia="ko-KR"/>
        </w:rPr>
        <w:t>to inform</w:t>
      </w:r>
      <w:r w:rsidR="00953370" w:rsidRPr="002E2384">
        <w:rPr>
          <w:rFonts w:cstheme="minorHAnsi"/>
          <w:bCs/>
          <w:lang w:val="en-ZA" w:eastAsia="ko-KR"/>
        </w:rPr>
        <w:t xml:space="preserve"> SP5’ </w:t>
      </w:r>
      <w:r w:rsidR="00D7326B" w:rsidRPr="002E2384">
        <w:rPr>
          <w:rFonts w:cstheme="minorHAnsi"/>
          <w:bCs/>
          <w:lang w:val="en-ZA" w:eastAsia="ko-KR"/>
        </w:rPr>
        <w:t xml:space="preserve">for the </w:t>
      </w:r>
      <w:r w:rsidR="0054758C">
        <w:rPr>
          <w:rFonts w:cstheme="minorHAnsi"/>
          <w:bCs/>
          <w:lang w:val="en-ZA" w:eastAsia="ko-KR"/>
        </w:rPr>
        <w:t xml:space="preserve">proposed </w:t>
      </w:r>
      <w:r w:rsidR="00D7326B" w:rsidRPr="002E2384">
        <w:rPr>
          <w:rFonts w:cstheme="minorHAnsi"/>
          <w:bCs/>
          <w:lang w:val="en-ZA" w:eastAsia="ko-KR"/>
        </w:rPr>
        <w:t xml:space="preserve">Wuhan </w:t>
      </w:r>
      <w:r w:rsidR="0054758C">
        <w:rPr>
          <w:rFonts w:cstheme="minorHAnsi"/>
          <w:bCs/>
          <w:lang w:val="en-ZA" w:eastAsia="ko-KR"/>
        </w:rPr>
        <w:t>D</w:t>
      </w:r>
      <w:r w:rsidR="00D7326B" w:rsidRPr="002E2384">
        <w:rPr>
          <w:rFonts w:cstheme="minorHAnsi"/>
          <w:bCs/>
          <w:lang w:val="en-ZA" w:eastAsia="ko-KR"/>
        </w:rPr>
        <w:t>eclaration</w:t>
      </w:r>
      <w:r w:rsidR="00777EC3" w:rsidRPr="002E2384">
        <w:rPr>
          <w:rFonts w:cstheme="minorHAnsi"/>
          <w:bCs/>
          <w:lang w:val="en-ZA" w:eastAsia="ko-KR"/>
        </w:rPr>
        <w:t>.</w:t>
      </w:r>
      <w:r w:rsidR="00D7326B" w:rsidRPr="002E2384">
        <w:rPr>
          <w:rFonts w:cstheme="minorHAnsi"/>
          <w:bCs/>
          <w:lang w:val="en-ZA" w:eastAsia="ko-KR"/>
        </w:rPr>
        <w:t xml:space="preserve">  </w:t>
      </w:r>
    </w:p>
    <w:p w14:paraId="35A3B5CA" w14:textId="77777777" w:rsidR="00E86DD1" w:rsidRDefault="00E86DD1" w:rsidP="00777EC3">
      <w:pPr>
        <w:pBdr>
          <w:top w:val="single" w:sz="4" w:space="1" w:color="auto"/>
          <w:left w:val="single" w:sz="4" w:space="4" w:color="auto"/>
          <w:bottom w:val="single" w:sz="4" w:space="1" w:color="auto"/>
          <w:right w:val="single" w:sz="4" w:space="4" w:color="auto"/>
        </w:pBdr>
        <w:ind w:left="0" w:firstLine="0"/>
        <w:rPr>
          <w:rFonts w:cstheme="minorHAnsi"/>
          <w:bCs/>
        </w:rPr>
      </w:pPr>
    </w:p>
    <w:p w14:paraId="0ECCC240" w14:textId="6044D92E" w:rsidR="00182158" w:rsidRDefault="00182158" w:rsidP="00C10139">
      <w:pPr>
        <w:ind w:left="0" w:right="-188" w:firstLine="0"/>
        <w:rPr>
          <w:rFonts w:ascii="Arial" w:hAnsi="Arial" w:cs="Arial"/>
          <w:b/>
          <w:bCs/>
          <w:color w:val="1F3864"/>
          <w:sz w:val="20"/>
          <w:szCs w:val="20"/>
          <w:lang w:eastAsia="en-AU"/>
        </w:rPr>
      </w:pPr>
    </w:p>
    <w:p w14:paraId="4C4CA1F0" w14:textId="32ED4111" w:rsidR="00182158" w:rsidRDefault="00182158" w:rsidP="00C10139">
      <w:pPr>
        <w:ind w:left="0" w:right="-188" w:firstLine="0"/>
        <w:rPr>
          <w:rFonts w:ascii="Arial" w:hAnsi="Arial" w:cs="Arial"/>
          <w:b/>
          <w:bCs/>
          <w:color w:val="1F3864"/>
          <w:sz w:val="20"/>
          <w:szCs w:val="20"/>
          <w:lang w:eastAsia="en-AU"/>
        </w:rPr>
      </w:pPr>
    </w:p>
    <w:p w14:paraId="22F806A9" w14:textId="2C8E2333" w:rsidR="00182158" w:rsidRPr="001F4334" w:rsidRDefault="00182158" w:rsidP="00C10139">
      <w:pPr>
        <w:ind w:left="0" w:right="-188" w:firstLine="0"/>
        <w:rPr>
          <w:rFonts w:ascii="Arial" w:hAnsi="Arial" w:cs="Arial"/>
          <w:b/>
          <w:bCs/>
          <w:sz w:val="20"/>
          <w:szCs w:val="20"/>
          <w:lang w:eastAsia="en-AU"/>
        </w:rPr>
      </w:pPr>
      <w:r w:rsidRPr="001F4334">
        <w:rPr>
          <w:rFonts w:ascii="Arial" w:hAnsi="Arial" w:cs="Arial"/>
          <w:b/>
          <w:bCs/>
          <w:sz w:val="20"/>
          <w:szCs w:val="20"/>
          <w:lang w:eastAsia="en-AU"/>
        </w:rPr>
        <w:t xml:space="preserve">Background </w:t>
      </w:r>
    </w:p>
    <w:p w14:paraId="63E9348A" w14:textId="04918A3F" w:rsidR="00182158" w:rsidRPr="001F4334" w:rsidRDefault="00182158" w:rsidP="00C10139">
      <w:pPr>
        <w:ind w:left="0" w:right="-188" w:firstLine="0"/>
        <w:rPr>
          <w:rFonts w:ascii="Arial" w:hAnsi="Arial" w:cs="Arial"/>
          <w:sz w:val="20"/>
          <w:szCs w:val="20"/>
          <w:lang w:eastAsia="en-AU"/>
        </w:rPr>
      </w:pPr>
    </w:p>
    <w:p w14:paraId="4AEFFDE7" w14:textId="39D14962" w:rsidR="005E073B" w:rsidRPr="00E05F51" w:rsidRDefault="005E073B" w:rsidP="00E05F51">
      <w:pPr>
        <w:pStyle w:val="ListParagraph"/>
        <w:numPr>
          <w:ilvl w:val="0"/>
          <w:numId w:val="25"/>
        </w:numPr>
        <w:ind w:left="426" w:hanging="426"/>
        <w:rPr>
          <w:rFonts w:cstheme="minorHAnsi"/>
        </w:rPr>
      </w:pPr>
      <w:r w:rsidRPr="00E05F51">
        <w:rPr>
          <w:rFonts w:cs="Calibri"/>
        </w:rPr>
        <w:t xml:space="preserve">The </w:t>
      </w:r>
      <w:r>
        <w:t xml:space="preserve">Standing Committee, through Decision SC59-20, “... </w:t>
      </w:r>
      <w:r w:rsidRPr="00E05F51">
        <w:rPr>
          <w:rFonts w:cstheme="minorHAnsi"/>
        </w:rPr>
        <w:t xml:space="preserve">established a new working group with membership from Contracting Parties, the STRP and International Organization Partners, to commence preparation of the Fifth Strategic Plan of the Ramsar Convention, with the terms of reference and work plan to be agreed </w:t>
      </w:r>
      <w:r w:rsidR="00C55BE3" w:rsidRPr="00E05F51">
        <w:rPr>
          <w:rFonts w:cstheme="minorHAnsi"/>
        </w:rPr>
        <w:t>…</w:t>
      </w:r>
      <w:r w:rsidRPr="00E05F51">
        <w:rPr>
          <w:rFonts w:cstheme="minorHAnsi"/>
        </w:rPr>
        <w:t>and be designed to accommodate the key elements and any additional priority elements and modalities for the Fifth Strategic Plan that may be agreed at COP14</w:t>
      </w:r>
      <w:r w:rsidR="00D66743" w:rsidRPr="00E05F51">
        <w:rPr>
          <w:rFonts w:cstheme="minorHAnsi"/>
        </w:rPr>
        <w:t>..”</w:t>
      </w:r>
      <w:r w:rsidRPr="00E05F51">
        <w:rPr>
          <w:rFonts w:cstheme="minorHAnsi"/>
        </w:rPr>
        <w:t xml:space="preserve">. The Standing Committee further encouraged the participation of members of the Working Group on the Review of the Fourth Strategic Plan in the new working group, for continuity purposes.” </w:t>
      </w:r>
    </w:p>
    <w:p w14:paraId="4CC7957A" w14:textId="77777777" w:rsidR="005E073B" w:rsidRDefault="005E073B" w:rsidP="005E073B">
      <w:pPr>
        <w:ind w:firstLine="0"/>
        <w:rPr>
          <w:rFonts w:cstheme="minorHAnsi"/>
        </w:rPr>
      </w:pPr>
    </w:p>
    <w:p w14:paraId="3545C0C5" w14:textId="154BFC64" w:rsidR="00340373" w:rsidRPr="00E05F51" w:rsidRDefault="005E073B" w:rsidP="00E05F51">
      <w:pPr>
        <w:pStyle w:val="ListParagraph"/>
        <w:numPr>
          <w:ilvl w:val="0"/>
          <w:numId w:val="25"/>
        </w:numPr>
        <w:spacing w:before="60" w:after="60"/>
        <w:ind w:left="426" w:hanging="426"/>
        <w:contextualSpacing w:val="0"/>
        <w:rPr>
          <w:rFonts w:asciiTheme="minorHAnsi" w:hAnsiTheme="minorHAnsi" w:cstheme="minorHAnsi"/>
          <w:lang w:eastAsia="en-AU"/>
        </w:rPr>
      </w:pPr>
      <w:r w:rsidRPr="00E05F51">
        <w:rPr>
          <w:rFonts w:asciiTheme="minorHAnsi" w:hAnsiTheme="minorHAnsi" w:cstheme="minorHAnsi"/>
          <w:lang w:eastAsia="en-AU"/>
        </w:rPr>
        <w:t>The Secretariat</w:t>
      </w:r>
      <w:r w:rsidR="00A11ABA" w:rsidRPr="00E05F51">
        <w:rPr>
          <w:rFonts w:asciiTheme="minorHAnsi" w:hAnsiTheme="minorHAnsi" w:cstheme="minorHAnsi"/>
          <w:lang w:eastAsia="en-AU"/>
        </w:rPr>
        <w:t xml:space="preserve"> di</w:t>
      </w:r>
      <w:r w:rsidR="00340373" w:rsidRPr="00E05F51">
        <w:rPr>
          <w:rFonts w:asciiTheme="minorHAnsi" w:hAnsiTheme="minorHAnsi" w:cstheme="minorHAnsi"/>
          <w:lang w:eastAsia="en-AU"/>
        </w:rPr>
        <w:t>sseminated the call for nominations for the new WG</w:t>
      </w:r>
      <w:r w:rsidR="002F010B" w:rsidRPr="00E05F51">
        <w:rPr>
          <w:rFonts w:asciiTheme="minorHAnsi" w:hAnsiTheme="minorHAnsi" w:cstheme="minorHAnsi"/>
          <w:lang w:eastAsia="en-AU"/>
        </w:rPr>
        <w:t xml:space="preserve"> in Febr</w:t>
      </w:r>
      <w:r w:rsidR="008D00AA" w:rsidRPr="00E05F51">
        <w:rPr>
          <w:rFonts w:asciiTheme="minorHAnsi" w:hAnsiTheme="minorHAnsi" w:cstheme="minorHAnsi"/>
          <w:lang w:eastAsia="en-AU"/>
        </w:rPr>
        <w:t xml:space="preserve">uary </w:t>
      </w:r>
      <w:r w:rsidR="00C55BE3" w:rsidRPr="00E05F51">
        <w:rPr>
          <w:rFonts w:asciiTheme="minorHAnsi" w:hAnsiTheme="minorHAnsi" w:cstheme="minorHAnsi"/>
          <w:lang w:eastAsia="en-AU"/>
        </w:rPr>
        <w:t xml:space="preserve">2022 </w:t>
      </w:r>
      <w:r w:rsidR="00BB6AD7" w:rsidRPr="00E05F51">
        <w:rPr>
          <w:rFonts w:asciiTheme="minorHAnsi" w:hAnsiTheme="minorHAnsi" w:cstheme="minorHAnsi"/>
          <w:lang w:eastAsia="en-AU"/>
        </w:rPr>
        <w:t xml:space="preserve">and </w:t>
      </w:r>
      <w:r w:rsidR="008432D0" w:rsidRPr="00E05F51">
        <w:rPr>
          <w:rFonts w:asciiTheme="minorHAnsi" w:hAnsiTheme="minorHAnsi" w:cstheme="minorHAnsi"/>
          <w:lang w:eastAsia="en-AU"/>
        </w:rPr>
        <w:t>nominations</w:t>
      </w:r>
      <w:r w:rsidR="00E05F51" w:rsidRPr="00E05F51">
        <w:rPr>
          <w:rFonts w:asciiTheme="minorHAnsi" w:hAnsiTheme="minorHAnsi" w:cstheme="minorHAnsi"/>
          <w:lang w:eastAsia="en-AU"/>
        </w:rPr>
        <w:t xml:space="preserve"> </w:t>
      </w:r>
      <w:r w:rsidR="00BB6AD7" w:rsidRPr="00E05F51">
        <w:rPr>
          <w:rFonts w:asciiTheme="minorHAnsi" w:hAnsiTheme="minorHAnsi" w:cstheme="minorHAnsi"/>
          <w:lang w:eastAsia="en-AU"/>
        </w:rPr>
        <w:t xml:space="preserve">received </w:t>
      </w:r>
      <w:r w:rsidR="00017199" w:rsidRPr="00E05F51">
        <w:rPr>
          <w:rFonts w:asciiTheme="minorHAnsi" w:hAnsiTheme="minorHAnsi" w:cstheme="minorHAnsi"/>
          <w:lang w:eastAsia="en-AU"/>
        </w:rPr>
        <w:t xml:space="preserve">by region and </w:t>
      </w:r>
      <w:r w:rsidR="0012466E" w:rsidRPr="00E05F51">
        <w:rPr>
          <w:rFonts w:asciiTheme="minorHAnsi" w:hAnsiTheme="minorHAnsi" w:cstheme="minorHAnsi"/>
          <w:lang w:eastAsia="en-AU"/>
        </w:rPr>
        <w:t xml:space="preserve">organisation </w:t>
      </w:r>
      <w:r w:rsidR="00017199" w:rsidRPr="00E05F51">
        <w:rPr>
          <w:rFonts w:asciiTheme="minorHAnsi" w:hAnsiTheme="minorHAnsi" w:cstheme="minorHAnsi"/>
          <w:lang w:eastAsia="en-AU"/>
        </w:rPr>
        <w:t>to date are</w:t>
      </w:r>
      <w:r w:rsidR="00017199" w:rsidRPr="00E05F51">
        <w:rPr>
          <w:rFonts w:asciiTheme="minorHAnsi" w:hAnsiTheme="minorHAnsi" w:cstheme="minorHAnsi"/>
        </w:rPr>
        <w:t xml:space="preserve">:  </w:t>
      </w:r>
    </w:p>
    <w:p w14:paraId="50011AAF" w14:textId="60674436" w:rsidR="00340373" w:rsidRPr="00E05F51" w:rsidRDefault="00340373" w:rsidP="00E05F51">
      <w:pPr>
        <w:pStyle w:val="ListParagraph"/>
        <w:numPr>
          <w:ilvl w:val="0"/>
          <w:numId w:val="21"/>
        </w:numPr>
        <w:ind w:left="851" w:hanging="425"/>
        <w:rPr>
          <w:rFonts w:asciiTheme="minorHAnsi" w:hAnsiTheme="minorHAnsi" w:cstheme="minorHAnsi"/>
        </w:rPr>
      </w:pPr>
      <w:r w:rsidRPr="00E05F51">
        <w:rPr>
          <w:rFonts w:asciiTheme="minorHAnsi" w:hAnsiTheme="minorHAnsi" w:cstheme="minorHAnsi"/>
        </w:rPr>
        <w:t>Africa: Kenya, South Africa, Tunisia</w:t>
      </w:r>
      <w:r w:rsidR="008432D0" w:rsidRPr="00E05F51">
        <w:rPr>
          <w:rFonts w:asciiTheme="minorHAnsi" w:hAnsiTheme="minorHAnsi" w:cstheme="minorHAnsi"/>
        </w:rPr>
        <w:t>, Algeria, Uganda</w:t>
      </w:r>
      <w:r w:rsidR="0009177D" w:rsidRPr="00E05F51">
        <w:rPr>
          <w:rFonts w:asciiTheme="minorHAnsi" w:hAnsiTheme="minorHAnsi" w:cstheme="minorHAnsi"/>
        </w:rPr>
        <w:t>, Chad, Mauritius</w:t>
      </w:r>
      <w:r w:rsidR="008432D0" w:rsidRPr="00E05F51">
        <w:rPr>
          <w:rFonts w:asciiTheme="minorHAnsi" w:hAnsiTheme="minorHAnsi" w:cstheme="minorHAnsi"/>
        </w:rPr>
        <w:t xml:space="preserve"> </w:t>
      </w:r>
    </w:p>
    <w:p w14:paraId="5569929A" w14:textId="0022F252" w:rsidR="00340373" w:rsidRPr="00E05F51" w:rsidRDefault="00340373" w:rsidP="00E05F51">
      <w:pPr>
        <w:pStyle w:val="ListParagraph"/>
        <w:numPr>
          <w:ilvl w:val="0"/>
          <w:numId w:val="21"/>
        </w:numPr>
        <w:ind w:left="851" w:hanging="425"/>
        <w:rPr>
          <w:rFonts w:asciiTheme="minorHAnsi" w:hAnsiTheme="minorHAnsi" w:cstheme="minorHAnsi"/>
        </w:rPr>
      </w:pPr>
      <w:r w:rsidRPr="00E05F51">
        <w:rPr>
          <w:rFonts w:asciiTheme="minorHAnsi" w:hAnsiTheme="minorHAnsi" w:cstheme="minorHAnsi"/>
        </w:rPr>
        <w:t>Asia: Bahr</w:t>
      </w:r>
      <w:r w:rsidR="002751FC" w:rsidRPr="00E05F51">
        <w:rPr>
          <w:rFonts w:asciiTheme="minorHAnsi" w:hAnsiTheme="minorHAnsi" w:cstheme="minorHAnsi"/>
        </w:rPr>
        <w:t>a</w:t>
      </w:r>
      <w:r w:rsidRPr="00E05F51">
        <w:rPr>
          <w:rFonts w:asciiTheme="minorHAnsi" w:hAnsiTheme="minorHAnsi" w:cstheme="minorHAnsi"/>
        </w:rPr>
        <w:t xml:space="preserve">in, </w:t>
      </w:r>
      <w:r w:rsidR="00AC5545" w:rsidRPr="00E05F51">
        <w:rPr>
          <w:rFonts w:asciiTheme="minorHAnsi" w:hAnsiTheme="minorHAnsi" w:cstheme="minorHAnsi"/>
        </w:rPr>
        <w:t xml:space="preserve">Bhutan, </w:t>
      </w:r>
      <w:r w:rsidRPr="00E05F51">
        <w:rPr>
          <w:rFonts w:asciiTheme="minorHAnsi" w:hAnsiTheme="minorHAnsi" w:cstheme="minorHAnsi"/>
        </w:rPr>
        <w:t>China</w:t>
      </w:r>
      <w:r w:rsidR="008432D0" w:rsidRPr="00E05F51">
        <w:rPr>
          <w:rFonts w:asciiTheme="minorHAnsi" w:hAnsiTheme="minorHAnsi" w:cstheme="minorHAnsi"/>
        </w:rPr>
        <w:t>, Iran</w:t>
      </w:r>
      <w:r w:rsidR="002106C6" w:rsidRPr="00E05F51">
        <w:rPr>
          <w:rFonts w:asciiTheme="minorHAnsi" w:hAnsiTheme="minorHAnsi" w:cstheme="minorHAnsi"/>
        </w:rPr>
        <w:t>, Oman</w:t>
      </w:r>
      <w:r w:rsidRPr="00E05F51">
        <w:rPr>
          <w:rFonts w:asciiTheme="minorHAnsi" w:hAnsiTheme="minorHAnsi" w:cstheme="minorHAnsi"/>
        </w:rPr>
        <w:t xml:space="preserve"> </w:t>
      </w:r>
      <w:r w:rsidR="00AC5545" w:rsidRPr="00E05F51">
        <w:rPr>
          <w:rFonts w:asciiTheme="minorHAnsi" w:hAnsiTheme="minorHAnsi" w:cstheme="minorHAnsi"/>
        </w:rPr>
        <w:t xml:space="preserve">(Japan TBC)  </w:t>
      </w:r>
    </w:p>
    <w:p w14:paraId="4E29EE6B" w14:textId="1AAC8F2E" w:rsidR="00340373" w:rsidRPr="00E05F51" w:rsidRDefault="00340373" w:rsidP="00E05F51">
      <w:pPr>
        <w:pStyle w:val="ListParagraph"/>
        <w:numPr>
          <w:ilvl w:val="0"/>
          <w:numId w:val="21"/>
        </w:numPr>
        <w:ind w:left="851" w:hanging="425"/>
        <w:rPr>
          <w:rFonts w:asciiTheme="minorHAnsi" w:hAnsiTheme="minorHAnsi" w:cstheme="minorHAnsi"/>
        </w:rPr>
      </w:pPr>
      <w:r w:rsidRPr="00E05F51">
        <w:rPr>
          <w:rFonts w:asciiTheme="minorHAnsi" w:hAnsiTheme="minorHAnsi" w:cstheme="minorHAnsi"/>
        </w:rPr>
        <w:lastRenderedPageBreak/>
        <w:t>Europe: Finland</w:t>
      </w:r>
      <w:r w:rsidR="0012466E" w:rsidRPr="00E05F51">
        <w:rPr>
          <w:rFonts w:asciiTheme="minorHAnsi" w:hAnsiTheme="minorHAnsi" w:cstheme="minorHAnsi"/>
        </w:rPr>
        <w:t xml:space="preserve">, </w:t>
      </w:r>
      <w:r w:rsidR="002106C6" w:rsidRPr="00E05F51">
        <w:rPr>
          <w:rFonts w:asciiTheme="minorHAnsi" w:hAnsiTheme="minorHAnsi" w:cstheme="minorHAnsi"/>
        </w:rPr>
        <w:t xml:space="preserve">Slovenia, </w:t>
      </w:r>
      <w:r w:rsidR="0012466E" w:rsidRPr="00E05F51">
        <w:rPr>
          <w:rFonts w:asciiTheme="minorHAnsi" w:hAnsiTheme="minorHAnsi" w:cstheme="minorHAnsi"/>
        </w:rPr>
        <w:t xml:space="preserve">Switzerland </w:t>
      </w:r>
    </w:p>
    <w:p w14:paraId="39AC5BDC" w14:textId="77777777" w:rsidR="00340373" w:rsidRPr="00E05F51" w:rsidRDefault="00340373" w:rsidP="00E05F51">
      <w:pPr>
        <w:pStyle w:val="ListParagraph"/>
        <w:numPr>
          <w:ilvl w:val="0"/>
          <w:numId w:val="21"/>
        </w:numPr>
        <w:ind w:left="851" w:hanging="425"/>
        <w:rPr>
          <w:rFonts w:asciiTheme="minorHAnsi" w:hAnsiTheme="minorHAnsi" w:cstheme="minorHAnsi"/>
          <w:lang w:val="it-CH"/>
        </w:rPr>
      </w:pPr>
      <w:r w:rsidRPr="00E05F51">
        <w:rPr>
          <w:rFonts w:asciiTheme="minorHAnsi" w:hAnsiTheme="minorHAnsi" w:cstheme="minorHAnsi"/>
          <w:lang w:val="it-CH"/>
        </w:rPr>
        <w:t>LAC: Brazil, Nicaragua</w:t>
      </w:r>
    </w:p>
    <w:p w14:paraId="244CCA5C" w14:textId="73432CDB" w:rsidR="00340373" w:rsidRPr="00E05F51" w:rsidRDefault="00340373" w:rsidP="00E05F51">
      <w:pPr>
        <w:pStyle w:val="ListParagraph"/>
        <w:numPr>
          <w:ilvl w:val="0"/>
          <w:numId w:val="21"/>
        </w:numPr>
        <w:ind w:left="851" w:hanging="425"/>
        <w:rPr>
          <w:rFonts w:asciiTheme="minorHAnsi" w:hAnsiTheme="minorHAnsi" w:cstheme="minorHAnsi"/>
          <w:lang w:val="it-CH"/>
        </w:rPr>
      </w:pPr>
      <w:r w:rsidRPr="00E05F51">
        <w:rPr>
          <w:rFonts w:asciiTheme="minorHAnsi" w:hAnsiTheme="minorHAnsi" w:cstheme="minorHAnsi"/>
          <w:lang w:val="it-CH"/>
        </w:rPr>
        <w:t xml:space="preserve">North America: </w:t>
      </w:r>
      <w:r w:rsidR="0012466E" w:rsidRPr="00E05F51">
        <w:rPr>
          <w:rFonts w:asciiTheme="minorHAnsi" w:hAnsiTheme="minorHAnsi" w:cstheme="minorHAnsi"/>
          <w:lang w:val="it-CH"/>
        </w:rPr>
        <w:t>Can</w:t>
      </w:r>
      <w:r w:rsidR="008432D0" w:rsidRPr="00E05F51">
        <w:rPr>
          <w:rFonts w:asciiTheme="minorHAnsi" w:hAnsiTheme="minorHAnsi" w:cstheme="minorHAnsi"/>
          <w:lang w:val="it-CH"/>
        </w:rPr>
        <w:t>a</w:t>
      </w:r>
      <w:r w:rsidR="0012466E" w:rsidRPr="00E05F51">
        <w:rPr>
          <w:rFonts w:asciiTheme="minorHAnsi" w:hAnsiTheme="minorHAnsi" w:cstheme="minorHAnsi"/>
          <w:lang w:val="it-CH"/>
        </w:rPr>
        <w:t>da</w:t>
      </w:r>
      <w:r w:rsidR="002106C6" w:rsidRPr="00E05F51">
        <w:rPr>
          <w:rFonts w:asciiTheme="minorHAnsi" w:hAnsiTheme="minorHAnsi" w:cstheme="minorHAnsi"/>
          <w:lang w:val="it-CH"/>
        </w:rPr>
        <w:t>, Mexico</w:t>
      </w:r>
      <w:r w:rsidR="0012466E" w:rsidRPr="00E05F51">
        <w:rPr>
          <w:rFonts w:asciiTheme="minorHAnsi" w:hAnsiTheme="minorHAnsi" w:cstheme="minorHAnsi"/>
          <w:lang w:val="it-CH"/>
        </w:rPr>
        <w:t xml:space="preserve"> </w:t>
      </w:r>
    </w:p>
    <w:p w14:paraId="4118A2BF" w14:textId="77777777" w:rsidR="008432D0" w:rsidRPr="00E05F51" w:rsidRDefault="00340373" w:rsidP="00E05F51">
      <w:pPr>
        <w:pStyle w:val="ListParagraph"/>
        <w:numPr>
          <w:ilvl w:val="0"/>
          <w:numId w:val="21"/>
        </w:numPr>
        <w:ind w:left="851" w:hanging="425"/>
        <w:rPr>
          <w:rFonts w:asciiTheme="minorHAnsi" w:hAnsiTheme="minorHAnsi" w:cstheme="minorHAnsi"/>
          <w:lang w:val="it-CH"/>
        </w:rPr>
      </w:pPr>
      <w:r w:rsidRPr="00E05F51">
        <w:rPr>
          <w:rFonts w:asciiTheme="minorHAnsi" w:hAnsiTheme="minorHAnsi" w:cstheme="minorHAnsi"/>
          <w:lang w:val="it-CH"/>
        </w:rPr>
        <w:t xml:space="preserve">Oceania: </w:t>
      </w:r>
      <w:r w:rsidR="008432D0" w:rsidRPr="00E05F51">
        <w:rPr>
          <w:rFonts w:asciiTheme="minorHAnsi" w:hAnsiTheme="minorHAnsi" w:cstheme="minorHAnsi"/>
          <w:lang w:val="it-CH"/>
        </w:rPr>
        <w:t>Australia</w:t>
      </w:r>
    </w:p>
    <w:p w14:paraId="4C604FAC" w14:textId="44C9839D" w:rsidR="00340373" w:rsidRPr="00E05F51" w:rsidRDefault="00340373" w:rsidP="00E05F51">
      <w:pPr>
        <w:pStyle w:val="ListParagraph"/>
        <w:numPr>
          <w:ilvl w:val="0"/>
          <w:numId w:val="21"/>
        </w:numPr>
        <w:ind w:left="851" w:hanging="425"/>
        <w:rPr>
          <w:rFonts w:asciiTheme="minorHAnsi" w:hAnsiTheme="minorHAnsi" w:cstheme="minorHAnsi"/>
          <w:lang w:val="it-CH"/>
        </w:rPr>
      </w:pPr>
      <w:r w:rsidRPr="00E05F51">
        <w:rPr>
          <w:rFonts w:asciiTheme="minorHAnsi" w:hAnsiTheme="minorHAnsi" w:cstheme="minorHAnsi"/>
          <w:lang w:val="it-CH"/>
        </w:rPr>
        <w:t>IOPs: IWMI, WWT</w:t>
      </w:r>
      <w:r w:rsidR="002751FC" w:rsidRPr="00E05F51">
        <w:rPr>
          <w:rFonts w:asciiTheme="minorHAnsi" w:hAnsiTheme="minorHAnsi" w:cstheme="minorHAnsi"/>
          <w:lang w:val="it-CH"/>
        </w:rPr>
        <w:t>, WI (TBC)</w:t>
      </w:r>
    </w:p>
    <w:p w14:paraId="25DD4AC9" w14:textId="1E17C777" w:rsidR="00340373" w:rsidRPr="00E05F51" w:rsidRDefault="00340373" w:rsidP="00E05F51">
      <w:pPr>
        <w:pStyle w:val="ListParagraph"/>
        <w:numPr>
          <w:ilvl w:val="0"/>
          <w:numId w:val="21"/>
        </w:numPr>
        <w:ind w:left="851" w:hanging="425"/>
        <w:rPr>
          <w:rFonts w:asciiTheme="minorHAnsi" w:hAnsiTheme="minorHAnsi" w:cstheme="minorHAnsi"/>
          <w:lang w:val="it-CH"/>
        </w:rPr>
      </w:pPr>
      <w:r w:rsidRPr="00E05F51">
        <w:rPr>
          <w:rFonts w:asciiTheme="minorHAnsi" w:hAnsiTheme="minorHAnsi" w:cstheme="minorHAnsi"/>
          <w:lang w:val="it-CH"/>
        </w:rPr>
        <w:t xml:space="preserve">STRP: </w:t>
      </w:r>
      <w:r w:rsidR="00750EBE" w:rsidRPr="00E05F51">
        <w:rPr>
          <w:rFonts w:asciiTheme="minorHAnsi" w:hAnsiTheme="minorHAnsi" w:cstheme="minorHAnsi"/>
          <w:lang w:val="it-CH"/>
        </w:rPr>
        <w:t xml:space="preserve">TBC </w:t>
      </w:r>
    </w:p>
    <w:p w14:paraId="62A1A6EB" w14:textId="66B4E4C4" w:rsidR="001B4E82" w:rsidRPr="00E05F51" w:rsidRDefault="00C34805" w:rsidP="00E05F51">
      <w:pPr>
        <w:pStyle w:val="ListParagraph"/>
        <w:numPr>
          <w:ilvl w:val="0"/>
          <w:numId w:val="21"/>
        </w:numPr>
        <w:ind w:left="851" w:hanging="425"/>
        <w:rPr>
          <w:rFonts w:asciiTheme="minorHAnsi" w:hAnsiTheme="minorHAnsi" w:cstheme="minorHAnsi"/>
          <w:lang w:val="it-CH"/>
        </w:rPr>
      </w:pPr>
      <w:r w:rsidRPr="00E05F51">
        <w:rPr>
          <w:rFonts w:asciiTheme="minorHAnsi" w:hAnsiTheme="minorHAnsi" w:cstheme="minorHAnsi"/>
          <w:lang w:val="it-CH"/>
        </w:rPr>
        <w:t xml:space="preserve">YEW: </w:t>
      </w:r>
      <w:r w:rsidR="001B4E82" w:rsidRPr="00E05F51">
        <w:rPr>
          <w:rFonts w:asciiTheme="minorHAnsi" w:hAnsiTheme="minorHAnsi" w:cstheme="minorHAnsi"/>
          <w:lang w:val="it-CH"/>
        </w:rPr>
        <w:t>TBC</w:t>
      </w:r>
    </w:p>
    <w:p w14:paraId="114BEE89" w14:textId="0545D24E" w:rsidR="00750EBE" w:rsidRDefault="00C34805" w:rsidP="00764930">
      <w:pPr>
        <w:rPr>
          <w:lang w:val="it-CH"/>
        </w:rPr>
      </w:pPr>
      <w:r>
        <w:rPr>
          <w:lang w:val="it-CH"/>
        </w:rPr>
        <w:t xml:space="preserve"> </w:t>
      </w:r>
    </w:p>
    <w:p w14:paraId="7561BBCC" w14:textId="60E1F881" w:rsidR="001B4E82" w:rsidRPr="006136B1" w:rsidRDefault="00764930" w:rsidP="00E05F51">
      <w:pPr>
        <w:pStyle w:val="ListParagraph"/>
        <w:numPr>
          <w:ilvl w:val="0"/>
          <w:numId w:val="25"/>
        </w:numPr>
        <w:spacing w:before="60" w:after="60"/>
        <w:ind w:left="426" w:hanging="426"/>
        <w:rPr>
          <w:rFonts w:asciiTheme="minorHAnsi" w:hAnsiTheme="minorHAnsi" w:cstheme="minorHAnsi"/>
        </w:rPr>
      </w:pPr>
      <w:r w:rsidRPr="006136B1">
        <w:rPr>
          <w:rFonts w:asciiTheme="minorHAnsi" w:hAnsiTheme="minorHAnsi" w:cstheme="minorHAnsi"/>
        </w:rPr>
        <w:t xml:space="preserve">The </w:t>
      </w:r>
      <w:r w:rsidR="000F2BF4" w:rsidRPr="006136B1">
        <w:rPr>
          <w:rFonts w:asciiTheme="minorHAnsi" w:hAnsiTheme="minorHAnsi" w:cstheme="minorHAnsi"/>
        </w:rPr>
        <w:t xml:space="preserve">nominations </w:t>
      </w:r>
      <w:r w:rsidR="00F37052" w:rsidRPr="006136B1">
        <w:rPr>
          <w:rFonts w:asciiTheme="minorHAnsi" w:hAnsiTheme="minorHAnsi" w:cstheme="minorHAnsi"/>
        </w:rPr>
        <w:t>provide</w:t>
      </w:r>
      <w:r w:rsidR="005F0642" w:rsidRPr="006136B1">
        <w:rPr>
          <w:rFonts w:asciiTheme="minorHAnsi" w:hAnsiTheme="minorHAnsi" w:cstheme="minorHAnsi"/>
        </w:rPr>
        <w:t xml:space="preserve"> </w:t>
      </w:r>
      <w:r w:rsidR="000F2BF4" w:rsidRPr="006136B1">
        <w:rPr>
          <w:rFonts w:asciiTheme="minorHAnsi" w:hAnsiTheme="minorHAnsi" w:cstheme="minorHAnsi"/>
        </w:rPr>
        <w:t xml:space="preserve">good </w:t>
      </w:r>
      <w:r w:rsidR="00F37052" w:rsidRPr="006136B1">
        <w:rPr>
          <w:rFonts w:asciiTheme="minorHAnsi" w:hAnsiTheme="minorHAnsi" w:cstheme="minorHAnsi"/>
        </w:rPr>
        <w:t>regional representation</w:t>
      </w:r>
      <w:r w:rsidR="000F2BF4" w:rsidRPr="006136B1">
        <w:rPr>
          <w:rFonts w:asciiTheme="minorHAnsi" w:hAnsiTheme="minorHAnsi" w:cstheme="minorHAnsi"/>
        </w:rPr>
        <w:t>, part</w:t>
      </w:r>
      <w:r w:rsidR="00C34805" w:rsidRPr="006136B1">
        <w:rPr>
          <w:rFonts w:asciiTheme="minorHAnsi" w:hAnsiTheme="minorHAnsi" w:cstheme="minorHAnsi"/>
        </w:rPr>
        <w:t xml:space="preserve">icularly </w:t>
      </w:r>
      <w:r w:rsidR="000F2BF4" w:rsidRPr="006136B1">
        <w:rPr>
          <w:rFonts w:asciiTheme="minorHAnsi" w:hAnsiTheme="minorHAnsi" w:cstheme="minorHAnsi"/>
        </w:rPr>
        <w:t>developing countries</w:t>
      </w:r>
      <w:r w:rsidR="00B91033" w:rsidRPr="006136B1">
        <w:rPr>
          <w:rFonts w:asciiTheme="minorHAnsi" w:hAnsiTheme="minorHAnsi" w:cstheme="minorHAnsi"/>
        </w:rPr>
        <w:t xml:space="preserve"> and</w:t>
      </w:r>
      <w:r w:rsidR="000F2BF4" w:rsidRPr="006136B1">
        <w:rPr>
          <w:rFonts w:asciiTheme="minorHAnsi" w:hAnsiTheme="minorHAnsi" w:cstheme="minorHAnsi"/>
        </w:rPr>
        <w:t xml:space="preserve"> </w:t>
      </w:r>
      <w:r w:rsidR="00B91033" w:rsidRPr="006136B1">
        <w:rPr>
          <w:rFonts w:asciiTheme="minorHAnsi" w:hAnsiTheme="minorHAnsi" w:cstheme="minorHAnsi"/>
        </w:rPr>
        <w:t xml:space="preserve">some </w:t>
      </w:r>
      <w:r w:rsidR="000F2BF4" w:rsidRPr="006136B1">
        <w:rPr>
          <w:rFonts w:asciiTheme="minorHAnsi" w:hAnsiTheme="minorHAnsi" w:cstheme="minorHAnsi"/>
        </w:rPr>
        <w:t>con</w:t>
      </w:r>
      <w:r w:rsidR="001B4E82" w:rsidRPr="006136B1">
        <w:rPr>
          <w:rFonts w:asciiTheme="minorHAnsi" w:hAnsiTheme="minorHAnsi" w:cstheme="minorHAnsi"/>
        </w:rPr>
        <w:t>t</w:t>
      </w:r>
      <w:r w:rsidR="000F2BF4" w:rsidRPr="006136B1">
        <w:rPr>
          <w:rFonts w:asciiTheme="minorHAnsi" w:hAnsiTheme="minorHAnsi" w:cstheme="minorHAnsi"/>
        </w:rPr>
        <w:t>i</w:t>
      </w:r>
      <w:r w:rsidR="001B4E82" w:rsidRPr="006136B1">
        <w:rPr>
          <w:rFonts w:asciiTheme="minorHAnsi" w:hAnsiTheme="minorHAnsi" w:cstheme="minorHAnsi"/>
        </w:rPr>
        <w:t>n</w:t>
      </w:r>
      <w:r w:rsidR="000F2BF4" w:rsidRPr="006136B1">
        <w:rPr>
          <w:rFonts w:asciiTheme="minorHAnsi" w:hAnsiTheme="minorHAnsi" w:cstheme="minorHAnsi"/>
        </w:rPr>
        <w:t xml:space="preserve">uity </w:t>
      </w:r>
      <w:r w:rsidR="001B4E82" w:rsidRPr="006136B1">
        <w:rPr>
          <w:rFonts w:asciiTheme="minorHAnsi" w:hAnsiTheme="minorHAnsi" w:cstheme="minorHAnsi"/>
        </w:rPr>
        <w:t xml:space="preserve">in membership </w:t>
      </w:r>
      <w:r w:rsidR="000F2BF4" w:rsidRPr="006136B1">
        <w:rPr>
          <w:rFonts w:asciiTheme="minorHAnsi" w:hAnsiTheme="minorHAnsi" w:cstheme="minorHAnsi"/>
        </w:rPr>
        <w:t xml:space="preserve">between the SPWG </w:t>
      </w:r>
      <w:r w:rsidR="002751FC" w:rsidRPr="006136B1">
        <w:rPr>
          <w:rFonts w:asciiTheme="minorHAnsi" w:hAnsiTheme="minorHAnsi" w:cstheme="minorHAnsi"/>
        </w:rPr>
        <w:t>for SP4</w:t>
      </w:r>
      <w:r w:rsidR="00B91033" w:rsidRPr="006136B1">
        <w:rPr>
          <w:rFonts w:asciiTheme="minorHAnsi" w:hAnsiTheme="minorHAnsi" w:cstheme="minorHAnsi"/>
        </w:rPr>
        <w:t>. This demonstrates</w:t>
      </w:r>
      <w:r w:rsidR="002751FC" w:rsidRPr="006136B1">
        <w:rPr>
          <w:rFonts w:asciiTheme="minorHAnsi" w:hAnsiTheme="minorHAnsi" w:cstheme="minorHAnsi"/>
        </w:rPr>
        <w:t xml:space="preserve"> </w:t>
      </w:r>
      <w:r w:rsidR="000F2BF4" w:rsidRPr="006136B1">
        <w:rPr>
          <w:rFonts w:asciiTheme="minorHAnsi" w:hAnsiTheme="minorHAnsi" w:cstheme="minorHAnsi"/>
        </w:rPr>
        <w:t xml:space="preserve">a high </w:t>
      </w:r>
      <w:r w:rsidR="005F0642" w:rsidRPr="006136B1">
        <w:rPr>
          <w:rFonts w:asciiTheme="minorHAnsi" w:hAnsiTheme="minorHAnsi" w:cstheme="minorHAnsi"/>
        </w:rPr>
        <w:t>level of</w:t>
      </w:r>
      <w:r w:rsidR="001B4E82" w:rsidRPr="006136B1">
        <w:rPr>
          <w:rFonts w:asciiTheme="minorHAnsi" w:hAnsiTheme="minorHAnsi" w:cstheme="minorHAnsi"/>
        </w:rPr>
        <w:t xml:space="preserve"> interest and</w:t>
      </w:r>
      <w:r w:rsidR="005F0642" w:rsidRPr="006136B1">
        <w:rPr>
          <w:rFonts w:asciiTheme="minorHAnsi" w:hAnsiTheme="minorHAnsi" w:cstheme="minorHAnsi"/>
        </w:rPr>
        <w:t xml:space="preserve"> engagement </w:t>
      </w:r>
      <w:r w:rsidR="00B91033" w:rsidRPr="006136B1">
        <w:rPr>
          <w:rFonts w:asciiTheme="minorHAnsi" w:hAnsiTheme="minorHAnsi" w:cstheme="minorHAnsi"/>
        </w:rPr>
        <w:t>i</w:t>
      </w:r>
      <w:r w:rsidR="005F0642" w:rsidRPr="006136B1">
        <w:rPr>
          <w:rFonts w:asciiTheme="minorHAnsi" w:hAnsiTheme="minorHAnsi" w:cstheme="minorHAnsi"/>
        </w:rPr>
        <w:t xml:space="preserve">n </w:t>
      </w:r>
      <w:r w:rsidR="001B4E82" w:rsidRPr="006136B1">
        <w:rPr>
          <w:rFonts w:asciiTheme="minorHAnsi" w:hAnsiTheme="minorHAnsi" w:cstheme="minorHAnsi"/>
        </w:rPr>
        <w:t>this i</w:t>
      </w:r>
      <w:r w:rsidR="005F0642" w:rsidRPr="006136B1">
        <w:rPr>
          <w:rFonts w:asciiTheme="minorHAnsi" w:hAnsiTheme="minorHAnsi" w:cstheme="minorHAnsi"/>
        </w:rPr>
        <w:t>mportant task</w:t>
      </w:r>
      <w:r w:rsidR="001B4E82" w:rsidRPr="006136B1">
        <w:rPr>
          <w:rFonts w:asciiTheme="minorHAnsi" w:hAnsiTheme="minorHAnsi" w:cstheme="minorHAnsi"/>
        </w:rPr>
        <w:t>.</w:t>
      </w:r>
    </w:p>
    <w:p w14:paraId="2700ED28" w14:textId="6996D26C" w:rsidR="00183C38" w:rsidRPr="006136B1" w:rsidRDefault="00183C38" w:rsidP="00E05F51">
      <w:pPr>
        <w:spacing w:before="60" w:after="60"/>
        <w:ind w:firstLine="0"/>
        <w:rPr>
          <w:rFonts w:asciiTheme="minorHAnsi" w:hAnsiTheme="minorHAnsi" w:cstheme="minorHAnsi"/>
        </w:rPr>
      </w:pPr>
    </w:p>
    <w:p w14:paraId="3E2F653B" w14:textId="1099A5AA" w:rsidR="00D4038D" w:rsidRPr="00E05F51" w:rsidRDefault="00A82AC4" w:rsidP="00E05F51">
      <w:pPr>
        <w:spacing w:before="60" w:after="60"/>
        <w:ind w:left="0" w:right="-188" w:firstLine="0"/>
        <w:rPr>
          <w:rFonts w:asciiTheme="minorHAnsi" w:hAnsiTheme="minorHAnsi" w:cstheme="minorHAnsi"/>
          <w:u w:val="single"/>
          <w:lang w:val="it-CH"/>
        </w:rPr>
      </w:pPr>
      <w:r w:rsidRPr="00E05F51">
        <w:rPr>
          <w:rFonts w:asciiTheme="minorHAnsi" w:hAnsiTheme="minorHAnsi" w:cstheme="minorHAnsi"/>
          <w:u w:val="single"/>
          <w:lang w:val="it-CH"/>
        </w:rPr>
        <w:t xml:space="preserve">Inaugural Meeting of the SP5WG </w:t>
      </w:r>
    </w:p>
    <w:p w14:paraId="25182162" w14:textId="03143E44" w:rsidR="005C550B" w:rsidRPr="00E05F51" w:rsidRDefault="00183C38"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6136B1">
        <w:rPr>
          <w:rFonts w:asciiTheme="minorHAnsi" w:hAnsiTheme="minorHAnsi" w:cstheme="minorHAnsi"/>
        </w:rPr>
        <w:t>The first meeting of the new WG was held on 23 May 2022</w:t>
      </w:r>
      <w:r w:rsidR="00037634" w:rsidRPr="006136B1">
        <w:rPr>
          <w:rFonts w:asciiTheme="minorHAnsi" w:hAnsiTheme="minorHAnsi" w:cstheme="minorHAnsi"/>
        </w:rPr>
        <w:t>,</w:t>
      </w:r>
      <w:r w:rsidRPr="006136B1">
        <w:rPr>
          <w:rFonts w:asciiTheme="minorHAnsi" w:hAnsiTheme="minorHAnsi" w:cstheme="minorHAnsi"/>
        </w:rPr>
        <w:t xml:space="preserve"> attended by </w:t>
      </w:r>
      <w:r w:rsidR="005C550B" w:rsidRPr="00E05F51">
        <w:rPr>
          <w:rFonts w:asciiTheme="minorHAnsi" w:hAnsiTheme="minorHAnsi" w:cstheme="minorHAnsi"/>
          <w:bCs/>
          <w:color w:val="000000" w:themeColor="text1"/>
        </w:rPr>
        <w:t>Australia, Bahrain, Bhutan, Brazil, Chad, China, Finland,</w:t>
      </w:r>
      <w:r w:rsidR="00585B44" w:rsidRPr="00E05F51">
        <w:rPr>
          <w:rFonts w:asciiTheme="minorHAnsi" w:hAnsiTheme="minorHAnsi" w:cstheme="minorHAnsi"/>
          <w:bCs/>
          <w:color w:val="000000" w:themeColor="text1"/>
        </w:rPr>
        <w:t xml:space="preserve"> Iran,</w:t>
      </w:r>
      <w:r w:rsidR="005C550B" w:rsidRPr="00E05F51">
        <w:rPr>
          <w:rFonts w:asciiTheme="minorHAnsi" w:hAnsiTheme="minorHAnsi" w:cstheme="minorHAnsi"/>
          <w:bCs/>
          <w:color w:val="000000" w:themeColor="text1"/>
        </w:rPr>
        <w:t xml:space="preserve"> Mexico, Slovenia, Uganda, </w:t>
      </w:r>
      <w:r w:rsidR="00FE289D" w:rsidRPr="00E05F51">
        <w:rPr>
          <w:rFonts w:asciiTheme="minorHAnsi" w:hAnsiTheme="minorHAnsi" w:cstheme="minorHAnsi"/>
          <w:bCs/>
          <w:color w:val="000000" w:themeColor="text1"/>
        </w:rPr>
        <w:t>the</w:t>
      </w:r>
      <w:r w:rsidR="005C550B" w:rsidRPr="00E05F51">
        <w:rPr>
          <w:rFonts w:asciiTheme="minorHAnsi" w:hAnsiTheme="minorHAnsi" w:cstheme="minorHAnsi"/>
          <w:bCs/>
          <w:color w:val="000000" w:themeColor="text1"/>
        </w:rPr>
        <w:t xml:space="preserve"> STRP, IWMI</w:t>
      </w:r>
      <w:r w:rsidR="00B91033" w:rsidRPr="00E05F51">
        <w:rPr>
          <w:rFonts w:asciiTheme="minorHAnsi" w:hAnsiTheme="minorHAnsi" w:cstheme="minorHAnsi"/>
          <w:bCs/>
          <w:color w:val="000000" w:themeColor="text1"/>
        </w:rPr>
        <w:t>,</w:t>
      </w:r>
      <w:r w:rsidR="005C550B" w:rsidRPr="00E05F51">
        <w:rPr>
          <w:rFonts w:asciiTheme="minorHAnsi" w:hAnsiTheme="minorHAnsi" w:cstheme="minorHAnsi"/>
          <w:bCs/>
          <w:color w:val="000000" w:themeColor="text1"/>
        </w:rPr>
        <w:t xml:space="preserve"> WWT</w:t>
      </w:r>
      <w:r w:rsidR="00FE289D" w:rsidRPr="00E05F51">
        <w:rPr>
          <w:rFonts w:asciiTheme="minorHAnsi" w:hAnsiTheme="minorHAnsi" w:cstheme="minorHAnsi"/>
          <w:bCs/>
          <w:color w:val="000000" w:themeColor="text1"/>
        </w:rPr>
        <w:t xml:space="preserve"> and YEW</w:t>
      </w:r>
      <w:r w:rsidR="005C550B" w:rsidRPr="00E05F51">
        <w:rPr>
          <w:rFonts w:asciiTheme="minorHAnsi" w:hAnsiTheme="minorHAnsi" w:cstheme="minorHAnsi"/>
          <w:bCs/>
          <w:color w:val="000000" w:themeColor="text1"/>
        </w:rPr>
        <w:t>.</w:t>
      </w:r>
      <w:r w:rsidR="00FE289D" w:rsidRPr="00E05F51">
        <w:rPr>
          <w:rFonts w:asciiTheme="minorHAnsi" w:hAnsiTheme="minorHAnsi" w:cstheme="minorHAnsi"/>
          <w:bCs/>
          <w:color w:val="000000" w:themeColor="text1"/>
        </w:rPr>
        <w:t xml:space="preserve"> </w:t>
      </w:r>
      <w:r w:rsidR="005C550B" w:rsidRPr="00E05F51">
        <w:rPr>
          <w:rFonts w:asciiTheme="minorHAnsi" w:hAnsiTheme="minorHAnsi" w:cstheme="minorHAnsi"/>
          <w:bCs/>
          <w:color w:val="000000" w:themeColor="text1"/>
        </w:rPr>
        <w:t xml:space="preserve">Switzerland </w:t>
      </w:r>
      <w:r w:rsidR="006136B1">
        <w:rPr>
          <w:rFonts w:asciiTheme="minorHAnsi" w:hAnsiTheme="minorHAnsi" w:cstheme="minorHAnsi"/>
          <w:bCs/>
          <w:color w:val="000000" w:themeColor="text1"/>
        </w:rPr>
        <w:t xml:space="preserve">and Iran </w:t>
      </w:r>
      <w:r w:rsidR="00FE289D" w:rsidRPr="00E05F51">
        <w:rPr>
          <w:rFonts w:asciiTheme="minorHAnsi" w:hAnsiTheme="minorHAnsi" w:cstheme="minorHAnsi"/>
          <w:bCs/>
          <w:color w:val="000000" w:themeColor="text1"/>
        </w:rPr>
        <w:t>expressed interest and w</w:t>
      </w:r>
      <w:r w:rsidR="006136B1">
        <w:rPr>
          <w:rFonts w:asciiTheme="minorHAnsi" w:hAnsiTheme="minorHAnsi" w:cstheme="minorHAnsi"/>
          <w:bCs/>
          <w:color w:val="000000" w:themeColor="text1"/>
        </w:rPr>
        <w:t>ere</w:t>
      </w:r>
      <w:r w:rsidR="00FE289D" w:rsidRPr="00E05F51">
        <w:rPr>
          <w:rFonts w:asciiTheme="minorHAnsi" w:hAnsiTheme="minorHAnsi" w:cstheme="minorHAnsi"/>
          <w:bCs/>
          <w:color w:val="000000" w:themeColor="text1"/>
        </w:rPr>
        <w:t xml:space="preserve"> accepted as </w:t>
      </w:r>
      <w:r w:rsidR="00585B44" w:rsidRPr="00E05F51">
        <w:rPr>
          <w:rFonts w:asciiTheme="minorHAnsi" w:hAnsiTheme="minorHAnsi" w:cstheme="minorHAnsi"/>
          <w:bCs/>
          <w:color w:val="000000" w:themeColor="text1"/>
        </w:rPr>
        <w:t xml:space="preserve">a </w:t>
      </w:r>
      <w:r w:rsidR="005C550B" w:rsidRPr="00E05F51">
        <w:rPr>
          <w:rFonts w:asciiTheme="minorHAnsi" w:hAnsiTheme="minorHAnsi" w:cstheme="minorHAnsi"/>
          <w:bCs/>
          <w:color w:val="000000" w:themeColor="text1"/>
        </w:rPr>
        <w:t>member of the WG</w:t>
      </w:r>
      <w:r w:rsidR="00B91033" w:rsidRPr="00E05F51">
        <w:rPr>
          <w:rFonts w:asciiTheme="minorHAnsi" w:hAnsiTheme="minorHAnsi" w:cstheme="minorHAnsi"/>
          <w:bCs/>
          <w:color w:val="000000" w:themeColor="text1"/>
        </w:rPr>
        <w:t>,</w:t>
      </w:r>
      <w:r w:rsidR="005C550B" w:rsidRPr="00E05F51">
        <w:rPr>
          <w:rFonts w:asciiTheme="minorHAnsi" w:hAnsiTheme="minorHAnsi" w:cstheme="minorHAnsi"/>
          <w:bCs/>
          <w:color w:val="000000" w:themeColor="text1"/>
        </w:rPr>
        <w:t xml:space="preserve"> </w:t>
      </w:r>
      <w:r w:rsidR="00585B44" w:rsidRPr="00E05F51">
        <w:rPr>
          <w:rFonts w:asciiTheme="minorHAnsi" w:hAnsiTheme="minorHAnsi" w:cstheme="minorHAnsi"/>
          <w:bCs/>
          <w:color w:val="000000" w:themeColor="text1"/>
        </w:rPr>
        <w:t xml:space="preserve">with </w:t>
      </w:r>
      <w:r w:rsidR="005C550B" w:rsidRPr="00E05F51">
        <w:rPr>
          <w:rFonts w:asciiTheme="minorHAnsi" w:hAnsiTheme="minorHAnsi" w:cstheme="minorHAnsi"/>
          <w:bCs/>
          <w:color w:val="000000" w:themeColor="text1"/>
        </w:rPr>
        <w:t xml:space="preserve">Japan </w:t>
      </w:r>
      <w:r w:rsidR="00585B44" w:rsidRPr="00E05F51">
        <w:rPr>
          <w:rFonts w:asciiTheme="minorHAnsi" w:hAnsiTheme="minorHAnsi" w:cstheme="minorHAnsi"/>
          <w:bCs/>
          <w:color w:val="000000" w:themeColor="text1"/>
        </w:rPr>
        <w:t>to con</w:t>
      </w:r>
      <w:r w:rsidR="00037634" w:rsidRPr="00E05F51">
        <w:rPr>
          <w:rFonts w:asciiTheme="minorHAnsi" w:hAnsiTheme="minorHAnsi" w:cstheme="minorHAnsi"/>
          <w:bCs/>
          <w:color w:val="000000" w:themeColor="text1"/>
        </w:rPr>
        <w:t xml:space="preserve">firm their </w:t>
      </w:r>
      <w:r w:rsidR="009C3F83" w:rsidRPr="00E05F51">
        <w:rPr>
          <w:rFonts w:asciiTheme="minorHAnsi" w:hAnsiTheme="minorHAnsi" w:cstheme="minorHAnsi"/>
          <w:bCs/>
          <w:color w:val="000000" w:themeColor="text1"/>
        </w:rPr>
        <w:t>potential partici</w:t>
      </w:r>
      <w:r w:rsidR="00037634" w:rsidRPr="00E05F51">
        <w:rPr>
          <w:rFonts w:asciiTheme="minorHAnsi" w:hAnsiTheme="minorHAnsi" w:cstheme="minorHAnsi"/>
          <w:bCs/>
          <w:color w:val="000000" w:themeColor="text1"/>
        </w:rPr>
        <w:t>pation.</w:t>
      </w:r>
    </w:p>
    <w:p w14:paraId="6EB4A42B" w14:textId="230AE921" w:rsidR="00037634" w:rsidRPr="00E05F51" w:rsidRDefault="00037634" w:rsidP="00E05F51">
      <w:pPr>
        <w:spacing w:before="60" w:after="60"/>
        <w:ind w:left="0" w:right="-188" w:firstLine="0"/>
        <w:rPr>
          <w:rFonts w:asciiTheme="minorHAnsi" w:hAnsiTheme="minorHAnsi" w:cstheme="minorHAnsi"/>
          <w:bCs/>
          <w:color w:val="000000" w:themeColor="text1"/>
        </w:rPr>
      </w:pPr>
    </w:p>
    <w:p w14:paraId="75801C10" w14:textId="0B695D50" w:rsidR="00D4038D" w:rsidRPr="00E05F51" w:rsidRDefault="00D4038D" w:rsidP="00E05F51">
      <w:pPr>
        <w:spacing w:before="60" w:after="60"/>
        <w:ind w:left="0" w:right="-188" w:firstLine="0"/>
        <w:rPr>
          <w:rFonts w:asciiTheme="minorHAnsi" w:hAnsiTheme="minorHAnsi" w:cstheme="minorHAnsi"/>
          <w:bCs/>
          <w:color w:val="000000" w:themeColor="text1"/>
          <w:u w:val="single"/>
        </w:rPr>
      </w:pPr>
      <w:r w:rsidRPr="00E05F51">
        <w:rPr>
          <w:rFonts w:asciiTheme="minorHAnsi" w:hAnsiTheme="minorHAnsi" w:cstheme="minorHAnsi"/>
          <w:bCs/>
          <w:color w:val="000000" w:themeColor="text1"/>
          <w:u w:val="single"/>
        </w:rPr>
        <w:t xml:space="preserve">Election of Chair </w:t>
      </w:r>
    </w:p>
    <w:p w14:paraId="749E52DA" w14:textId="32367BF4" w:rsidR="00037634" w:rsidRPr="00E05F51" w:rsidRDefault="00037634"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E05F51">
        <w:rPr>
          <w:rFonts w:asciiTheme="minorHAnsi" w:hAnsiTheme="minorHAnsi" w:cstheme="minorHAnsi"/>
          <w:bCs/>
          <w:color w:val="000000" w:themeColor="text1"/>
        </w:rPr>
        <w:t xml:space="preserve">The </w:t>
      </w:r>
      <w:r w:rsidR="009C3F83" w:rsidRPr="00E05F51">
        <w:rPr>
          <w:rFonts w:asciiTheme="minorHAnsi" w:hAnsiTheme="minorHAnsi" w:cstheme="minorHAnsi"/>
          <w:bCs/>
          <w:color w:val="000000" w:themeColor="text1"/>
        </w:rPr>
        <w:t xml:space="preserve">first </w:t>
      </w:r>
      <w:r w:rsidR="00F8609A" w:rsidRPr="00E05F51">
        <w:rPr>
          <w:rFonts w:asciiTheme="minorHAnsi" w:hAnsiTheme="minorHAnsi" w:cstheme="minorHAnsi"/>
          <w:bCs/>
          <w:color w:val="000000" w:themeColor="text1"/>
        </w:rPr>
        <w:t xml:space="preserve">item of </w:t>
      </w:r>
      <w:r w:rsidR="009C3F83" w:rsidRPr="00E05F51">
        <w:rPr>
          <w:rFonts w:asciiTheme="minorHAnsi" w:hAnsiTheme="minorHAnsi" w:cstheme="minorHAnsi"/>
          <w:bCs/>
          <w:color w:val="000000" w:themeColor="text1"/>
        </w:rPr>
        <w:t xml:space="preserve">business </w:t>
      </w:r>
      <w:r w:rsidR="00F8609A" w:rsidRPr="00E05F51">
        <w:rPr>
          <w:rFonts w:asciiTheme="minorHAnsi" w:hAnsiTheme="minorHAnsi" w:cstheme="minorHAnsi"/>
          <w:bCs/>
          <w:color w:val="000000" w:themeColor="text1"/>
        </w:rPr>
        <w:t>was to elect a</w:t>
      </w:r>
      <w:r w:rsidR="009C3F83" w:rsidRPr="00E05F51">
        <w:rPr>
          <w:rFonts w:asciiTheme="minorHAnsi" w:hAnsiTheme="minorHAnsi" w:cstheme="minorHAnsi"/>
          <w:bCs/>
          <w:color w:val="000000" w:themeColor="text1"/>
        </w:rPr>
        <w:t xml:space="preserve"> Chair and Vice Chair</w:t>
      </w:r>
      <w:r w:rsidR="00F8609A" w:rsidRPr="00E05F51">
        <w:rPr>
          <w:rFonts w:asciiTheme="minorHAnsi" w:hAnsiTheme="minorHAnsi" w:cstheme="minorHAnsi"/>
          <w:bCs/>
          <w:color w:val="000000" w:themeColor="text1"/>
        </w:rPr>
        <w:t xml:space="preserve"> for the SP5WG. The </w:t>
      </w:r>
      <w:r w:rsidRPr="00E05F51">
        <w:rPr>
          <w:rFonts w:asciiTheme="minorHAnsi" w:hAnsiTheme="minorHAnsi" w:cstheme="minorHAnsi"/>
          <w:bCs/>
          <w:color w:val="000000" w:themeColor="text1"/>
        </w:rPr>
        <w:t>Secretariat noted Australia</w:t>
      </w:r>
      <w:r w:rsidR="00F8609A" w:rsidRPr="00E05F51">
        <w:rPr>
          <w:rFonts w:asciiTheme="minorHAnsi" w:hAnsiTheme="minorHAnsi" w:cstheme="minorHAnsi"/>
          <w:bCs/>
          <w:color w:val="000000" w:themeColor="text1"/>
        </w:rPr>
        <w:t>’s</w:t>
      </w:r>
      <w:r w:rsidRPr="00E05F51">
        <w:rPr>
          <w:rFonts w:asciiTheme="minorHAnsi" w:hAnsiTheme="minorHAnsi" w:cstheme="minorHAnsi"/>
          <w:bCs/>
          <w:color w:val="000000" w:themeColor="text1"/>
        </w:rPr>
        <w:t xml:space="preserve"> nominatio</w:t>
      </w:r>
      <w:r w:rsidR="00C53959" w:rsidRPr="00E05F51">
        <w:rPr>
          <w:rFonts w:asciiTheme="minorHAnsi" w:hAnsiTheme="minorHAnsi" w:cstheme="minorHAnsi"/>
          <w:bCs/>
          <w:color w:val="000000" w:themeColor="text1"/>
        </w:rPr>
        <w:t>n</w:t>
      </w:r>
      <w:r w:rsidRPr="00E05F51">
        <w:rPr>
          <w:rFonts w:asciiTheme="minorHAnsi" w:hAnsiTheme="minorHAnsi" w:cstheme="minorHAnsi"/>
          <w:bCs/>
          <w:color w:val="000000" w:themeColor="text1"/>
        </w:rPr>
        <w:t xml:space="preserve"> </w:t>
      </w:r>
      <w:r w:rsidR="00C53959" w:rsidRPr="00E05F51">
        <w:rPr>
          <w:rFonts w:asciiTheme="minorHAnsi" w:hAnsiTheme="minorHAnsi" w:cstheme="minorHAnsi"/>
          <w:bCs/>
          <w:color w:val="000000" w:themeColor="text1"/>
        </w:rPr>
        <w:t>for</w:t>
      </w:r>
      <w:r w:rsidRPr="00E05F51">
        <w:rPr>
          <w:rFonts w:asciiTheme="minorHAnsi" w:hAnsiTheme="minorHAnsi" w:cstheme="minorHAnsi"/>
          <w:bCs/>
          <w:color w:val="000000" w:themeColor="text1"/>
        </w:rPr>
        <w:t xml:space="preserve"> the position of the Chair and called for other nominations f</w:t>
      </w:r>
      <w:r w:rsidR="007E3B4C" w:rsidRPr="00E05F51">
        <w:rPr>
          <w:rFonts w:asciiTheme="minorHAnsi" w:hAnsiTheme="minorHAnsi" w:cstheme="minorHAnsi"/>
          <w:bCs/>
          <w:color w:val="000000" w:themeColor="text1"/>
        </w:rPr>
        <w:t>o</w:t>
      </w:r>
      <w:r w:rsidRPr="00E05F51">
        <w:rPr>
          <w:rFonts w:asciiTheme="minorHAnsi" w:hAnsiTheme="minorHAnsi" w:cstheme="minorHAnsi"/>
          <w:bCs/>
          <w:color w:val="000000" w:themeColor="text1"/>
        </w:rPr>
        <w:t>r the Ch</w:t>
      </w:r>
      <w:r w:rsidR="007E3B4C" w:rsidRPr="00E05F51">
        <w:rPr>
          <w:rFonts w:asciiTheme="minorHAnsi" w:hAnsiTheme="minorHAnsi" w:cstheme="minorHAnsi"/>
          <w:bCs/>
          <w:color w:val="000000" w:themeColor="text1"/>
        </w:rPr>
        <w:t>ai</w:t>
      </w:r>
      <w:r w:rsidRPr="00E05F51">
        <w:rPr>
          <w:rFonts w:asciiTheme="minorHAnsi" w:hAnsiTheme="minorHAnsi" w:cstheme="minorHAnsi"/>
          <w:bCs/>
          <w:color w:val="000000" w:themeColor="text1"/>
        </w:rPr>
        <w:t xml:space="preserve">r and Vice </w:t>
      </w:r>
      <w:r w:rsidR="00822166" w:rsidRPr="00E05F51">
        <w:rPr>
          <w:rFonts w:asciiTheme="minorHAnsi" w:hAnsiTheme="minorHAnsi" w:cstheme="minorHAnsi"/>
          <w:bCs/>
          <w:color w:val="000000" w:themeColor="text1"/>
        </w:rPr>
        <w:t>Chair</w:t>
      </w:r>
      <w:r w:rsidR="003B238B" w:rsidRPr="00E05F51">
        <w:rPr>
          <w:rFonts w:asciiTheme="minorHAnsi" w:hAnsiTheme="minorHAnsi" w:cstheme="minorHAnsi"/>
          <w:bCs/>
          <w:color w:val="000000" w:themeColor="text1"/>
        </w:rPr>
        <w:t xml:space="preserve"> positions</w:t>
      </w:r>
      <w:r w:rsidR="00822166" w:rsidRPr="00E05F51">
        <w:rPr>
          <w:rFonts w:asciiTheme="minorHAnsi" w:hAnsiTheme="minorHAnsi" w:cstheme="minorHAnsi"/>
          <w:bCs/>
          <w:color w:val="000000" w:themeColor="text1"/>
        </w:rPr>
        <w:t xml:space="preserve">, with no further nominations received.   </w:t>
      </w:r>
      <w:r w:rsidRPr="00E05F51">
        <w:rPr>
          <w:rFonts w:asciiTheme="minorHAnsi" w:hAnsiTheme="minorHAnsi" w:cstheme="minorHAnsi"/>
          <w:bCs/>
          <w:color w:val="000000" w:themeColor="text1"/>
        </w:rPr>
        <w:t xml:space="preserve">   </w:t>
      </w:r>
    </w:p>
    <w:p w14:paraId="73AB3B4F" w14:textId="7F2681DD" w:rsidR="00FD1850" w:rsidRPr="00E05F51" w:rsidRDefault="003736C7" w:rsidP="003736C7">
      <w:pPr>
        <w:tabs>
          <w:tab w:val="left" w:pos="3310"/>
        </w:tabs>
        <w:spacing w:before="60" w:after="60"/>
        <w:ind w:left="426" w:right="-188" w:hanging="426"/>
        <w:rPr>
          <w:rFonts w:asciiTheme="minorHAnsi" w:hAnsiTheme="minorHAnsi" w:cstheme="minorHAnsi"/>
          <w:bCs/>
          <w:color w:val="000000" w:themeColor="text1"/>
        </w:rPr>
      </w:pPr>
      <w:r>
        <w:rPr>
          <w:rFonts w:asciiTheme="minorHAnsi" w:hAnsiTheme="minorHAnsi" w:cstheme="minorHAnsi"/>
          <w:bCs/>
          <w:color w:val="000000" w:themeColor="text1"/>
        </w:rPr>
        <w:tab/>
      </w:r>
      <w:r>
        <w:rPr>
          <w:rFonts w:asciiTheme="minorHAnsi" w:hAnsiTheme="minorHAnsi" w:cstheme="minorHAnsi"/>
          <w:bCs/>
          <w:color w:val="000000" w:themeColor="text1"/>
        </w:rPr>
        <w:tab/>
      </w:r>
    </w:p>
    <w:p w14:paraId="5E714CE1" w14:textId="35460157" w:rsidR="00182158" w:rsidRPr="00E05F51" w:rsidRDefault="00822166" w:rsidP="00E05F51">
      <w:pPr>
        <w:pStyle w:val="ListParagraph"/>
        <w:numPr>
          <w:ilvl w:val="0"/>
          <w:numId w:val="25"/>
        </w:numPr>
        <w:spacing w:before="60" w:after="60"/>
        <w:ind w:left="426" w:right="-188" w:hanging="426"/>
        <w:rPr>
          <w:rFonts w:asciiTheme="minorHAnsi" w:hAnsiTheme="minorHAnsi" w:cstheme="minorHAnsi"/>
          <w:bCs/>
        </w:rPr>
      </w:pPr>
      <w:r w:rsidRPr="00E05F51">
        <w:rPr>
          <w:rFonts w:asciiTheme="minorHAnsi" w:hAnsiTheme="minorHAnsi" w:cstheme="minorHAnsi"/>
          <w:bCs/>
          <w:color w:val="000000" w:themeColor="text1"/>
        </w:rPr>
        <w:t xml:space="preserve">Australia was confirmed </w:t>
      </w:r>
      <w:r w:rsidR="00831A21" w:rsidRPr="00E05F51">
        <w:rPr>
          <w:rFonts w:asciiTheme="minorHAnsi" w:hAnsiTheme="minorHAnsi" w:cstheme="minorHAnsi"/>
          <w:bCs/>
          <w:color w:val="000000" w:themeColor="text1"/>
        </w:rPr>
        <w:t>as Chair</w:t>
      </w:r>
      <w:r w:rsidR="0078217A" w:rsidRPr="00E05F51">
        <w:rPr>
          <w:rFonts w:asciiTheme="minorHAnsi" w:hAnsiTheme="minorHAnsi" w:cstheme="minorHAnsi"/>
          <w:bCs/>
          <w:color w:val="000000" w:themeColor="text1"/>
        </w:rPr>
        <w:t xml:space="preserve"> </w:t>
      </w:r>
      <w:r w:rsidR="00555B9C" w:rsidRPr="00E05F51">
        <w:rPr>
          <w:rFonts w:asciiTheme="minorHAnsi" w:hAnsiTheme="minorHAnsi" w:cstheme="minorHAnsi"/>
          <w:bCs/>
          <w:color w:val="000000" w:themeColor="text1"/>
        </w:rPr>
        <w:t>up to COP14</w:t>
      </w:r>
      <w:r w:rsidR="00FD1850" w:rsidRPr="00E05F51">
        <w:rPr>
          <w:rFonts w:asciiTheme="minorHAnsi" w:hAnsiTheme="minorHAnsi" w:cstheme="minorHAnsi"/>
          <w:bCs/>
          <w:color w:val="000000" w:themeColor="text1"/>
        </w:rPr>
        <w:t xml:space="preserve">. </w:t>
      </w:r>
      <w:r w:rsidR="0078217A" w:rsidRPr="00E05F51">
        <w:rPr>
          <w:rFonts w:asciiTheme="minorHAnsi" w:hAnsiTheme="minorHAnsi" w:cstheme="minorHAnsi"/>
          <w:bCs/>
          <w:color w:val="000000" w:themeColor="text1"/>
        </w:rPr>
        <w:t xml:space="preserve">The new Chair noted that </w:t>
      </w:r>
      <w:r w:rsidR="00FD1850" w:rsidRPr="00E05F51">
        <w:rPr>
          <w:rFonts w:asciiTheme="minorHAnsi" w:hAnsiTheme="minorHAnsi" w:cstheme="minorHAnsi"/>
          <w:bCs/>
        </w:rPr>
        <w:t>Australia is not able to continue as Oceania’s Regional Representative on Stan</w:t>
      </w:r>
      <w:r w:rsidR="00763572" w:rsidRPr="00E05F51">
        <w:rPr>
          <w:rFonts w:asciiTheme="minorHAnsi" w:hAnsiTheme="minorHAnsi" w:cstheme="minorHAnsi"/>
          <w:bCs/>
        </w:rPr>
        <w:t>d</w:t>
      </w:r>
      <w:r w:rsidR="00FD1850" w:rsidRPr="00E05F51">
        <w:rPr>
          <w:rFonts w:asciiTheme="minorHAnsi" w:hAnsiTheme="minorHAnsi" w:cstheme="minorHAnsi"/>
          <w:bCs/>
        </w:rPr>
        <w:t>in</w:t>
      </w:r>
      <w:r w:rsidR="00763572" w:rsidRPr="00E05F51">
        <w:rPr>
          <w:rFonts w:asciiTheme="minorHAnsi" w:hAnsiTheme="minorHAnsi" w:cstheme="minorHAnsi"/>
          <w:bCs/>
        </w:rPr>
        <w:t xml:space="preserve">g Committee </w:t>
      </w:r>
      <w:r w:rsidR="00FD1850" w:rsidRPr="00E05F51">
        <w:rPr>
          <w:rFonts w:asciiTheme="minorHAnsi" w:hAnsiTheme="minorHAnsi" w:cstheme="minorHAnsi"/>
          <w:bCs/>
        </w:rPr>
        <w:t>after COP14, as the term is limited to a maximum of two trienniums in accordance with Resolution XIII.4</w:t>
      </w:r>
      <w:r w:rsidR="00B56B13" w:rsidRPr="00E05F51">
        <w:rPr>
          <w:rFonts w:asciiTheme="minorHAnsi" w:hAnsiTheme="minorHAnsi" w:cstheme="minorHAnsi"/>
          <w:bCs/>
        </w:rPr>
        <w:t>.</w:t>
      </w:r>
    </w:p>
    <w:p w14:paraId="3CE6907A" w14:textId="283631ED" w:rsidR="009D75A5" w:rsidRPr="00E05F51" w:rsidRDefault="009D75A5" w:rsidP="00E05F51">
      <w:pPr>
        <w:spacing w:before="60" w:after="60"/>
        <w:ind w:left="0" w:right="-188" w:firstLine="0"/>
        <w:rPr>
          <w:rFonts w:asciiTheme="minorHAnsi" w:hAnsiTheme="minorHAnsi" w:cstheme="minorHAnsi"/>
          <w:bCs/>
        </w:rPr>
      </w:pPr>
    </w:p>
    <w:p w14:paraId="42260A7E" w14:textId="3E02DDDC" w:rsidR="00D4038D" w:rsidRPr="00E05F51" w:rsidRDefault="00D4038D" w:rsidP="00E05F51">
      <w:pPr>
        <w:spacing w:before="60" w:after="60"/>
        <w:ind w:left="0" w:right="-188" w:firstLine="0"/>
        <w:rPr>
          <w:rFonts w:asciiTheme="minorHAnsi" w:hAnsiTheme="minorHAnsi" w:cstheme="minorHAnsi"/>
          <w:bCs/>
          <w:u w:val="single"/>
        </w:rPr>
      </w:pPr>
      <w:r w:rsidRPr="00E05F51">
        <w:rPr>
          <w:rFonts w:asciiTheme="minorHAnsi" w:hAnsiTheme="minorHAnsi" w:cstheme="minorHAnsi"/>
          <w:bCs/>
          <w:u w:val="single"/>
        </w:rPr>
        <w:t xml:space="preserve">Terms of Reference </w:t>
      </w:r>
    </w:p>
    <w:p w14:paraId="5365D24C" w14:textId="0D28CC01" w:rsidR="003E1734" w:rsidRPr="00E05F51" w:rsidRDefault="00B80B5B" w:rsidP="00E05F51">
      <w:pPr>
        <w:pStyle w:val="ListParagraph"/>
        <w:numPr>
          <w:ilvl w:val="0"/>
          <w:numId w:val="25"/>
        </w:numPr>
        <w:spacing w:before="60" w:after="60"/>
        <w:ind w:left="426" w:right="-188" w:hanging="426"/>
        <w:rPr>
          <w:rFonts w:asciiTheme="minorHAnsi" w:hAnsiTheme="minorHAnsi" w:cstheme="minorHAnsi"/>
          <w:bCs/>
        </w:rPr>
      </w:pPr>
      <w:r w:rsidRPr="00E05F51">
        <w:rPr>
          <w:rFonts w:asciiTheme="minorHAnsi" w:hAnsiTheme="minorHAnsi" w:cstheme="minorHAnsi"/>
          <w:bCs/>
        </w:rPr>
        <w:t>A</w:t>
      </w:r>
      <w:r w:rsidR="0078217A" w:rsidRPr="00E05F51">
        <w:rPr>
          <w:rFonts w:asciiTheme="minorHAnsi" w:hAnsiTheme="minorHAnsi" w:cstheme="minorHAnsi"/>
          <w:bCs/>
        </w:rPr>
        <w:t xml:space="preserve"> draft terms of </w:t>
      </w:r>
      <w:r w:rsidR="00CA072C" w:rsidRPr="00E05F51">
        <w:rPr>
          <w:rFonts w:asciiTheme="minorHAnsi" w:hAnsiTheme="minorHAnsi" w:cstheme="minorHAnsi"/>
          <w:bCs/>
        </w:rPr>
        <w:t>reference</w:t>
      </w:r>
      <w:r w:rsidR="00226212" w:rsidRPr="00E05F51">
        <w:rPr>
          <w:rFonts w:asciiTheme="minorHAnsi" w:hAnsiTheme="minorHAnsi" w:cstheme="minorHAnsi"/>
          <w:bCs/>
        </w:rPr>
        <w:t xml:space="preserve"> </w:t>
      </w:r>
      <w:r w:rsidR="00CA072C" w:rsidRPr="00E05F51">
        <w:rPr>
          <w:rFonts w:asciiTheme="minorHAnsi" w:hAnsiTheme="minorHAnsi" w:cstheme="minorHAnsi"/>
          <w:bCs/>
        </w:rPr>
        <w:t xml:space="preserve">for the Working Group and </w:t>
      </w:r>
      <w:r w:rsidR="00D4038D" w:rsidRPr="00E05F51">
        <w:rPr>
          <w:rFonts w:asciiTheme="minorHAnsi" w:hAnsiTheme="minorHAnsi" w:cstheme="minorHAnsi"/>
          <w:bCs/>
        </w:rPr>
        <w:t xml:space="preserve">a </w:t>
      </w:r>
      <w:r w:rsidR="00CA072C" w:rsidRPr="00E05F51">
        <w:rPr>
          <w:rFonts w:asciiTheme="minorHAnsi" w:hAnsiTheme="minorHAnsi" w:cstheme="minorHAnsi"/>
          <w:bCs/>
        </w:rPr>
        <w:t>workplan</w:t>
      </w:r>
      <w:r w:rsidR="0078217A" w:rsidRPr="00E05F51">
        <w:rPr>
          <w:rFonts w:asciiTheme="minorHAnsi" w:hAnsiTheme="minorHAnsi" w:cstheme="minorHAnsi"/>
          <w:bCs/>
        </w:rPr>
        <w:t xml:space="preserve"> </w:t>
      </w:r>
      <w:r w:rsidR="00CA072C" w:rsidRPr="00E05F51">
        <w:rPr>
          <w:rFonts w:asciiTheme="minorHAnsi" w:hAnsiTheme="minorHAnsi" w:cstheme="minorHAnsi"/>
          <w:bCs/>
        </w:rPr>
        <w:t>to COP14</w:t>
      </w:r>
      <w:r w:rsidRPr="00E05F51">
        <w:rPr>
          <w:rFonts w:asciiTheme="minorHAnsi" w:hAnsiTheme="minorHAnsi" w:cstheme="minorHAnsi"/>
          <w:bCs/>
        </w:rPr>
        <w:t xml:space="preserve"> was circulated to WG </w:t>
      </w:r>
      <w:r w:rsidR="000835E1" w:rsidRPr="00E05F51">
        <w:rPr>
          <w:rFonts w:asciiTheme="minorHAnsi" w:hAnsiTheme="minorHAnsi" w:cstheme="minorHAnsi"/>
          <w:bCs/>
        </w:rPr>
        <w:t>members ahead of the meeting</w:t>
      </w:r>
      <w:r w:rsidR="00CA072C" w:rsidRPr="00E05F51">
        <w:rPr>
          <w:rFonts w:asciiTheme="minorHAnsi" w:hAnsiTheme="minorHAnsi" w:cstheme="minorHAnsi"/>
          <w:bCs/>
        </w:rPr>
        <w:t xml:space="preserve">. </w:t>
      </w:r>
      <w:r w:rsidR="007B4CEB" w:rsidRPr="00E05F51">
        <w:rPr>
          <w:rFonts w:asciiTheme="minorHAnsi" w:hAnsiTheme="minorHAnsi" w:cstheme="minorHAnsi"/>
          <w:bCs/>
        </w:rPr>
        <w:t xml:space="preserve">Australia </w:t>
      </w:r>
      <w:r w:rsidR="003B238B" w:rsidRPr="00E05F51">
        <w:rPr>
          <w:rFonts w:asciiTheme="minorHAnsi" w:hAnsiTheme="minorHAnsi" w:cstheme="minorHAnsi"/>
          <w:bCs/>
        </w:rPr>
        <w:t xml:space="preserve">presented </w:t>
      </w:r>
      <w:r w:rsidR="007B4CEB" w:rsidRPr="00E05F51">
        <w:rPr>
          <w:rFonts w:asciiTheme="minorHAnsi" w:hAnsiTheme="minorHAnsi" w:cstheme="minorHAnsi"/>
          <w:bCs/>
        </w:rPr>
        <w:t>the</w:t>
      </w:r>
      <w:r w:rsidR="003B238B" w:rsidRPr="00E05F51">
        <w:rPr>
          <w:rFonts w:asciiTheme="minorHAnsi" w:hAnsiTheme="minorHAnsi" w:cstheme="minorHAnsi"/>
          <w:bCs/>
        </w:rPr>
        <w:t>se</w:t>
      </w:r>
      <w:r w:rsidR="00F84A61" w:rsidRPr="00E05F51">
        <w:rPr>
          <w:rFonts w:asciiTheme="minorHAnsi" w:hAnsiTheme="minorHAnsi" w:cstheme="minorHAnsi"/>
          <w:bCs/>
        </w:rPr>
        <w:t xml:space="preserve"> </w:t>
      </w:r>
      <w:r w:rsidR="000D6408" w:rsidRPr="00E05F51">
        <w:rPr>
          <w:rFonts w:asciiTheme="minorHAnsi" w:hAnsiTheme="minorHAnsi" w:cstheme="minorHAnsi"/>
          <w:bCs/>
        </w:rPr>
        <w:t xml:space="preserve">terms of reference </w:t>
      </w:r>
      <w:r w:rsidR="003B238B" w:rsidRPr="00E05F51">
        <w:rPr>
          <w:rFonts w:asciiTheme="minorHAnsi" w:hAnsiTheme="minorHAnsi" w:cstheme="minorHAnsi"/>
          <w:bCs/>
        </w:rPr>
        <w:t xml:space="preserve">and noted </w:t>
      </w:r>
      <w:r w:rsidR="005E078F" w:rsidRPr="00E05F51">
        <w:rPr>
          <w:rFonts w:asciiTheme="minorHAnsi" w:hAnsiTheme="minorHAnsi" w:cstheme="minorHAnsi"/>
          <w:bCs/>
        </w:rPr>
        <w:t xml:space="preserve">that they </w:t>
      </w:r>
      <w:r w:rsidR="00D4038D" w:rsidRPr="00E05F51">
        <w:rPr>
          <w:rFonts w:asciiTheme="minorHAnsi" w:hAnsiTheme="minorHAnsi" w:cstheme="minorHAnsi"/>
          <w:bCs/>
        </w:rPr>
        <w:t xml:space="preserve">follow </w:t>
      </w:r>
      <w:r w:rsidR="00F84A61" w:rsidRPr="00E05F51">
        <w:rPr>
          <w:rFonts w:asciiTheme="minorHAnsi" w:hAnsiTheme="minorHAnsi" w:cstheme="minorHAnsi"/>
          <w:bCs/>
        </w:rPr>
        <w:t>th</w:t>
      </w:r>
      <w:r w:rsidR="000D6408" w:rsidRPr="00E05F51">
        <w:rPr>
          <w:rFonts w:asciiTheme="minorHAnsi" w:hAnsiTheme="minorHAnsi" w:cstheme="minorHAnsi"/>
          <w:bCs/>
        </w:rPr>
        <w:t xml:space="preserve">e </w:t>
      </w:r>
      <w:r w:rsidR="00483907" w:rsidRPr="00E05F51">
        <w:rPr>
          <w:rFonts w:asciiTheme="minorHAnsi" w:hAnsiTheme="minorHAnsi" w:cstheme="minorHAnsi"/>
          <w:bCs/>
        </w:rPr>
        <w:t xml:space="preserve">draft best practice </w:t>
      </w:r>
      <w:r w:rsidR="000D6408" w:rsidRPr="00E05F51">
        <w:rPr>
          <w:rFonts w:asciiTheme="minorHAnsi" w:hAnsiTheme="minorHAnsi" w:cstheme="minorHAnsi"/>
          <w:bCs/>
        </w:rPr>
        <w:t xml:space="preserve">Guideline </w:t>
      </w:r>
      <w:r w:rsidR="00D4038D" w:rsidRPr="00E05F51">
        <w:rPr>
          <w:rFonts w:asciiTheme="minorHAnsi" w:hAnsiTheme="minorHAnsi" w:cstheme="minorHAnsi"/>
          <w:bCs/>
        </w:rPr>
        <w:t xml:space="preserve">for working groups, </w:t>
      </w:r>
      <w:r w:rsidR="000D6408" w:rsidRPr="00E05F51">
        <w:rPr>
          <w:rFonts w:asciiTheme="minorHAnsi" w:hAnsiTheme="minorHAnsi" w:cstheme="minorHAnsi"/>
          <w:bCs/>
        </w:rPr>
        <w:t xml:space="preserve">prepared </w:t>
      </w:r>
      <w:r w:rsidR="003E1734" w:rsidRPr="00E05F51">
        <w:rPr>
          <w:rFonts w:asciiTheme="minorHAnsi" w:hAnsiTheme="minorHAnsi" w:cstheme="minorHAnsi"/>
          <w:bCs/>
        </w:rPr>
        <w:t>by the Effectivene</w:t>
      </w:r>
      <w:r w:rsidR="000D6408" w:rsidRPr="00E05F51">
        <w:rPr>
          <w:rFonts w:asciiTheme="minorHAnsi" w:hAnsiTheme="minorHAnsi" w:cstheme="minorHAnsi"/>
          <w:bCs/>
        </w:rPr>
        <w:t>s</w:t>
      </w:r>
      <w:r w:rsidR="003E1734" w:rsidRPr="00E05F51">
        <w:rPr>
          <w:rFonts w:asciiTheme="minorHAnsi" w:hAnsiTheme="minorHAnsi" w:cstheme="minorHAnsi"/>
          <w:bCs/>
        </w:rPr>
        <w:t>s Working Group</w:t>
      </w:r>
      <w:r w:rsidR="005E078F" w:rsidRPr="00E05F51">
        <w:rPr>
          <w:rFonts w:asciiTheme="minorHAnsi" w:hAnsiTheme="minorHAnsi" w:cstheme="minorHAnsi"/>
          <w:bCs/>
        </w:rPr>
        <w:t>,</w:t>
      </w:r>
      <w:r w:rsidR="003E1734" w:rsidRPr="00E05F51">
        <w:rPr>
          <w:rFonts w:asciiTheme="minorHAnsi" w:hAnsiTheme="minorHAnsi" w:cstheme="minorHAnsi"/>
          <w:bCs/>
        </w:rPr>
        <w:t xml:space="preserve"> </w:t>
      </w:r>
      <w:r w:rsidR="000835E1" w:rsidRPr="00E05F51">
        <w:rPr>
          <w:rFonts w:asciiTheme="minorHAnsi" w:hAnsiTheme="minorHAnsi" w:cstheme="minorHAnsi"/>
          <w:bCs/>
        </w:rPr>
        <w:t>cont</w:t>
      </w:r>
      <w:r w:rsidR="00CF7A45" w:rsidRPr="00E05F51">
        <w:rPr>
          <w:rFonts w:asciiTheme="minorHAnsi" w:hAnsiTheme="minorHAnsi" w:cstheme="minorHAnsi"/>
          <w:bCs/>
        </w:rPr>
        <w:t>aine</w:t>
      </w:r>
      <w:r w:rsidR="00483907" w:rsidRPr="00E05F51">
        <w:rPr>
          <w:rFonts w:asciiTheme="minorHAnsi" w:hAnsiTheme="minorHAnsi" w:cstheme="minorHAnsi"/>
          <w:bCs/>
        </w:rPr>
        <w:t>d</w:t>
      </w:r>
      <w:r w:rsidR="00CF7A45" w:rsidRPr="00E05F51">
        <w:rPr>
          <w:rFonts w:asciiTheme="minorHAnsi" w:hAnsiTheme="minorHAnsi" w:cstheme="minorHAnsi"/>
          <w:bCs/>
        </w:rPr>
        <w:t xml:space="preserve"> in Annex 1 to the </w:t>
      </w:r>
      <w:r w:rsidR="00CF7A45" w:rsidRPr="00E05F51">
        <w:rPr>
          <w:rFonts w:asciiTheme="minorHAnsi" w:hAnsiTheme="minorHAnsi" w:cstheme="minorHAnsi"/>
          <w:bCs/>
        </w:rPr>
        <w:t>DR (</w:t>
      </w:r>
      <w:r w:rsidR="00483907" w:rsidRPr="00E05F51">
        <w:rPr>
          <w:rFonts w:asciiTheme="minorHAnsi" w:hAnsiTheme="minorHAnsi" w:cstheme="minorHAnsi"/>
          <w:bCs/>
        </w:rPr>
        <w:t>SC59</w:t>
      </w:r>
      <w:r w:rsidR="005E078F" w:rsidRPr="00E05F51">
        <w:rPr>
          <w:rFonts w:asciiTheme="minorHAnsi" w:hAnsiTheme="minorHAnsi" w:cstheme="minorHAnsi"/>
          <w:bCs/>
        </w:rPr>
        <w:t>.</w:t>
      </w:r>
      <w:r w:rsidR="00483907" w:rsidRPr="00E05F51">
        <w:rPr>
          <w:rFonts w:asciiTheme="minorHAnsi" w:hAnsiTheme="minorHAnsi" w:cstheme="minorHAnsi"/>
          <w:bCs/>
        </w:rPr>
        <w:t xml:space="preserve">Doc 11) </w:t>
      </w:r>
    </w:p>
    <w:p w14:paraId="5BDB9EFA" w14:textId="77777777" w:rsidR="00FC4398" w:rsidRPr="00E05F51" w:rsidRDefault="00FC4398" w:rsidP="00E05F51">
      <w:pPr>
        <w:spacing w:before="60" w:after="60"/>
        <w:ind w:left="426" w:right="-188" w:hanging="426"/>
        <w:rPr>
          <w:rFonts w:asciiTheme="minorHAnsi" w:hAnsiTheme="minorHAnsi" w:cstheme="minorHAnsi"/>
          <w:bCs/>
        </w:rPr>
      </w:pPr>
    </w:p>
    <w:p w14:paraId="0DD6B6CC" w14:textId="06C3CBBE" w:rsidR="009D75A5" w:rsidRPr="00E05F51" w:rsidRDefault="003E1734" w:rsidP="00E05F51">
      <w:pPr>
        <w:pStyle w:val="ListParagraph"/>
        <w:numPr>
          <w:ilvl w:val="0"/>
          <w:numId w:val="25"/>
        </w:numPr>
        <w:spacing w:before="60" w:after="60"/>
        <w:ind w:left="426" w:right="-188" w:hanging="426"/>
        <w:rPr>
          <w:rFonts w:asciiTheme="minorHAnsi" w:hAnsiTheme="minorHAnsi" w:cstheme="minorHAnsi"/>
          <w:bCs/>
        </w:rPr>
      </w:pPr>
      <w:r w:rsidRPr="00E05F51">
        <w:rPr>
          <w:rFonts w:asciiTheme="minorHAnsi" w:hAnsiTheme="minorHAnsi" w:cstheme="minorHAnsi"/>
          <w:bCs/>
        </w:rPr>
        <w:t>Membe</w:t>
      </w:r>
      <w:r w:rsidR="00CA072C" w:rsidRPr="00E05F51">
        <w:rPr>
          <w:rFonts w:asciiTheme="minorHAnsi" w:hAnsiTheme="minorHAnsi" w:cstheme="minorHAnsi"/>
          <w:bCs/>
        </w:rPr>
        <w:t>rs noted th</w:t>
      </w:r>
      <w:r w:rsidR="003E23F9" w:rsidRPr="00E05F51">
        <w:rPr>
          <w:rFonts w:asciiTheme="minorHAnsi" w:hAnsiTheme="minorHAnsi" w:cstheme="minorHAnsi"/>
          <w:bCs/>
        </w:rPr>
        <w:t>e need</w:t>
      </w:r>
      <w:r w:rsidR="00CA072C" w:rsidRPr="00E05F51">
        <w:rPr>
          <w:rFonts w:asciiTheme="minorHAnsi" w:hAnsiTheme="minorHAnsi" w:cstheme="minorHAnsi"/>
          <w:bCs/>
        </w:rPr>
        <w:t xml:space="preserve"> to align </w:t>
      </w:r>
      <w:r w:rsidR="00297419" w:rsidRPr="00E05F51">
        <w:rPr>
          <w:rFonts w:asciiTheme="minorHAnsi" w:hAnsiTheme="minorHAnsi" w:cstheme="minorHAnsi"/>
          <w:bCs/>
        </w:rPr>
        <w:t xml:space="preserve">the terms of reference </w:t>
      </w:r>
      <w:r w:rsidR="00CA072C" w:rsidRPr="00E05F51">
        <w:rPr>
          <w:rFonts w:asciiTheme="minorHAnsi" w:hAnsiTheme="minorHAnsi" w:cstheme="minorHAnsi"/>
          <w:bCs/>
        </w:rPr>
        <w:t xml:space="preserve">with the </w:t>
      </w:r>
      <w:r w:rsidR="00226212" w:rsidRPr="00E05F51">
        <w:rPr>
          <w:rFonts w:asciiTheme="minorHAnsi" w:hAnsiTheme="minorHAnsi" w:cstheme="minorHAnsi"/>
          <w:bCs/>
        </w:rPr>
        <w:t xml:space="preserve">final </w:t>
      </w:r>
      <w:r w:rsidR="00CA072C" w:rsidRPr="00E05F51">
        <w:rPr>
          <w:rFonts w:asciiTheme="minorHAnsi" w:hAnsiTheme="minorHAnsi" w:cstheme="minorHAnsi"/>
          <w:bCs/>
        </w:rPr>
        <w:t xml:space="preserve">text </w:t>
      </w:r>
      <w:r w:rsidR="00226212" w:rsidRPr="00E05F51">
        <w:rPr>
          <w:rFonts w:asciiTheme="minorHAnsi" w:hAnsiTheme="minorHAnsi" w:cstheme="minorHAnsi"/>
          <w:bCs/>
        </w:rPr>
        <w:t>of the</w:t>
      </w:r>
      <w:r w:rsidR="00297419" w:rsidRPr="00E05F51">
        <w:rPr>
          <w:rFonts w:asciiTheme="minorHAnsi" w:hAnsiTheme="minorHAnsi" w:cstheme="minorHAnsi"/>
          <w:bCs/>
        </w:rPr>
        <w:t xml:space="preserve"> DR decided by St</w:t>
      </w:r>
      <w:r w:rsidR="007B4CEB" w:rsidRPr="00E05F51">
        <w:rPr>
          <w:rFonts w:asciiTheme="minorHAnsi" w:hAnsiTheme="minorHAnsi" w:cstheme="minorHAnsi"/>
          <w:bCs/>
        </w:rPr>
        <w:t>a</w:t>
      </w:r>
      <w:r w:rsidR="00297419" w:rsidRPr="00E05F51">
        <w:rPr>
          <w:rFonts w:asciiTheme="minorHAnsi" w:hAnsiTheme="minorHAnsi" w:cstheme="minorHAnsi"/>
          <w:bCs/>
        </w:rPr>
        <w:t>nding Commit</w:t>
      </w:r>
      <w:r w:rsidR="007B4CEB" w:rsidRPr="00E05F51">
        <w:rPr>
          <w:rFonts w:asciiTheme="minorHAnsi" w:hAnsiTheme="minorHAnsi" w:cstheme="minorHAnsi"/>
          <w:bCs/>
        </w:rPr>
        <w:t>t</w:t>
      </w:r>
      <w:r w:rsidR="00297419" w:rsidRPr="00E05F51">
        <w:rPr>
          <w:rFonts w:asciiTheme="minorHAnsi" w:hAnsiTheme="minorHAnsi" w:cstheme="minorHAnsi"/>
          <w:bCs/>
        </w:rPr>
        <w:t>e</w:t>
      </w:r>
      <w:r w:rsidR="007B4CEB" w:rsidRPr="00E05F51">
        <w:rPr>
          <w:rFonts w:asciiTheme="minorHAnsi" w:hAnsiTheme="minorHAnsi" w:cstheme="minorHAnsi"/>
          <w:bCs/>
        </w:rPr>
        <w:t>e</w:t>
      </w:r>
      <w:r w:rsidR="00D63B62" w:rsidRPr="00E05F51">
        <w:rPr>
          <w:rFonts w:asciiTheme="minorHAnsi" w:hAnsiTheme="minorHAnsi" w:cstheme="minorHAnsi"/>
          <w:bCs/>
        </w:rPr>
        <w:t xml:space="preserve"> 59</w:t>
      </w:r>
      <w:r w:rsidR="00FC7735" w:rsidRPr="00E05F51">
        <w:rPr>
          <w:rFonts w:asciiTheme="minorHAnsi" w:hAnsiTheme="minorHAnsi" w:cstheme="minorHAnsi"/>
          <w:bCs/>
        </w:rPr>
        <w:t>. T</w:t>
      </w:r>
      <w:r w:rsidR="00FC4398" w:rsidRPr="00E05F51">
        <w:rPr>
          <w:rFonts w:asciiTheme="minorHAnsi" w:hAnsiTheme="minorHAnsi" w:cstheme="minorHAnsi"/>
          <w:bCs/>
        </w:rPr>
        <w:t xml:space="preserve">his has been addressed in recommendation </w:t>
      </w:r>
      <w:r w:rsidR="00680822" w:rsidRPr="00E05F51">
        <w:rPr>
          <w:rFonts w:asciiTheme="minorHAnsi" w:hAnsiTheme="minorHAnsi" w:cstheme="minorHAnsi"/>
          <w:bCs/>
        </w:rPr>
        <w:t xml:space="preserve">b. </w:t>
      </w:r>
      <w:r w:rsidR="00FC4398" w:rsidRPr="00E05F51">
        <w:rPr>
          <w:rFonts w:asciiTheme="minorHAnsi" w:hAnsiTheme="minorHAnsi" w:cstheme="minorHAnsi"/>
          <w:bCs/>
        </w:rPr>
        <w:t>above</w:t>
      </w:r>
      <w:r w:rsidR="00680822" w:rsidRPr="00E05F51">
        <w:rPr>
          <w:rFonts w:asciiTheme="minorHAnsi" w:hAnsiTheme="minorHAnsi" w:cstheme="minorHAnsi"/>
          <w:bCs/>
        </w:rPr>
        <w:t>.</w:t>
      </w:r>
      <w:r w:rsidR="00297419" w:rsidRPr="00E05F51">
        <w:rPr>
          <w:rFonts w:asciiTheme="minorHAnsi" w:hAnsiTheme="minorHAnsi" w:cstheme="minorHAnsi"/>
          <w:bCs/>
        </w:rPr>
        <w:t xml:space="preserve"> </w:t>
      </w:r>
      <w:r w:rsidR="00A60989" w:rsidRPr="00E05F51">
        <w:rPr>
          <w:rFonts w:asciiTheme="minorHAnsi" w:hAnsiTheme="minorHAnsi" w:cstheme="minorHAnsi"/>
          <w:bCs/>
        </w:rPr>
        <w:t>Brazil and China</w:t>
      </w:r>
      <w:r w:rsidR="00395C45" w:rsidRPr="00E05F51">
        <w:rPr>
          <w:rFonts w:asciiTheme="minorHAnsi" w:hAnsiTheme="minorHAnsi" w:cstheme="minorHAnsi"/>
          <w:bCs/>
        </w:rPr>
        <w:t xml:space="preserve"> foreshadowed </w:t>
      </w:r>
      <w:r w:rsidR="00A60989" w:rsidRPr="00E05F51">
        <w:rPr>
          <w:rFonts w:asciiTheme="minorHAnsi" w:hAnsiTheme="minorHAnsi" w:cstheme="minorHAnsi"/>
          <w:bCs/>
        </w:rPr>
        <w:t xml:space="preserve"> </w:t>
      </w:r>
      <w:r w:rsidR="003C3120" w:rsidRPr="00E05F51">
        <w:rPr>
          <w:rFonts w:asciiTheme="minorHAnsi" w:hAnsiTheme="minorHAnsi" w:cstheme="minorHAnsi"/>
          <w:bCs/>
        </w:rPr>
        <w:t xml:space="preserve">for the information of WG members, </w:t>
      </w:r>
      <w:r w:rsidR="00FC7735" w:rsidRPr="00E05F51">
        <w:rPr>
          <w:rFonts w:asciiTheme="minorHAnsi" w:hAnsiTheme="minorHAnsi" w:cstheme="minorHAnsi"/>
          <w:bCs/>
        </w:rPr>
        <w:t xml:space="preserve">their proposed </w:t>
      </w:r>
      <w:r w:rsidR="00315B89" w:rsidRPr="00E05F51">
        <w:rPr>
          <w:rFonts w:asciiTheme="minorHAnsi" w:hAnsiTheme="minorHAnsi" w:cstheme="minorHAnsi"/>
          <w:bCs/>
        </w:rPr>
        <w:t>am</w:t>
      </w:r>
      <w:r w:rsidR="00CA5703" w:rsidRPr="00E05F51">
        <w:rPr>
          <w:rFonts w:asciiTheme="minorHAnsi" w:hAnsiTheme="minorHAnsi" w:cstheme="minorHAnsi"/>
          <w:bCs/>
        </w:rPr>
        <w:t>e</w:t>
      </w:r>
      <w:r w:rsidR="00315B89" w:rsidRPr="00E05F51">
        <w:rPr>
          <w:rFonts w:asciiTheme="minorHAnsi" w:hAnsiTheme="minorHAnsi" w:cstheme="minorHAnsi"/>
          <w:bCs/>
        </w:rPr>
        <w:t>n</w:t>
      </w:r>
      <w:r w:rsidR="00CA5703" w:rsidRPr="00E05F51">
        <w:rPr>
          <w:rFonts w:asciiTheme="minorHAnsi" w:hAnsiTheme="minorHAnsi" w:cstheme="minorHAnsi"/>
          <w:bCs/>
        </w:rPr>
        <w:t>d</w:t>
      </w:r>
      <w:r w:rsidR="00315B89" w:rsidRPr="00E05F51">
        <w:rPr>
          <w:rFonts w:asciiTheme="minorHAnsi" w:hAnsiTheme="minorHAnsi" w:cstheme="minorHAnsi"/>
          <w:bCs/>
        </w:rPr>
        <w:t>men</w:t>
      </w:r>
      <w:r w:rsidR="00CA5703" w:rsidRPr="00E05F51">
        <w:rPr>
          <w:rFonts w:asciiTheme="minorHAnsi" w:hAnsiTheme="minorHAnsi" w:cstheme="minorHAnsi"/>
          <w:bCs/>
        </w:rPr>
        <w:t xml:space="preserve">ts to the </w:t>
      </w:r>
      <w:r w:rsidR="00410E09" w:rsidRPr="00E05F51">
        <w:rPr>
          <w:rFonts w:asciiTheme="minorHAnsi" w:hAnsiTheme="minorHAnsi" w:cstheme="minorHAnsi"/>
          <w:bCs/>
        </w:rPr>
        <w:t xml:space="preserve">text of the </w:t>
      </w:r>
      <w:r w:rsidR="00CA5703" w:rsidRPr="00E05F51">
        <w:rPr>
          <w:rFonts w:asciiTheme="minorHAnsi" w:hAnsiTheme="minorHAnsi" w:cstheme="minorHAnsi"/>
          <w:bCs/>
        </w:rPr>
        <w:t>DR th</w:t>
      </w:r>
      <w:r w:rsidR="003C3120" w:rsidRPr="00E05F51">
        <w:rPr>
          <w:rFonts w:asciiTheme="minorHAnsi" w:hAnsiTheme="minorHAnsi" w:cstheme="minorHAnsi"/>
          <w:bCs/>
        </w:rPr>
        <w:t xml:space="preserve">at </w:t>
      </w:r>
      <w:r w:rsidR="00CA5703" w:rsidRPr="00E05F51">
        <w:rPr>
          <w:rFonts w:asciiTheme="minorHAnsi" w:hAnsiTheme="minorHAnsi" w:cstheme="minorHAnsi"/>
          <w:bCs/>
        </w:rPr>
        <w:t>will be propos</w:t>
      </w:r>
      <w:r w:rsidR="003C3120" w:rsidRPr="00E05F51">
        <w:rPr>
          <w:rFonts w:asciiTheme="minorHAnsi" w:hAnsiTheme="minorHAnsi" w:cstheme="minorHAnsi"/>
          <w:bCs/>
        </w:rPr>
        <w:t>ed</w:t>
      </w:r>
      <w:r w:rsidR="00410E09" w:rsidRPr="00E05F51">
        <w:rPr>
          <w:rFonts w:asciiTheme="minorHAnsi" w:hAnsiTheme="minorHAnsi" w:cstheme="minorHAnsi"/>
          <w:bCs/>
        </w:rPr>
        <w:t xml:space="preserve"> in the Plenary</w:t>
      </w:r>
      <w:r w:rsidR="003C3120" w:rsidRPr="00E05F51">
        <w:rPr>
          <w:rFonts w:asciiTheme="minorHAnsi" w:hAnsiTheme="minorHAnsi" w:cstheme="minorHAnsi"/>
          <w:bCs/>
        </w:rPr>
        <w:t xml:space="preserve"> session </w:t>
      </w:r>
      <w:r w:rsidR="00C569CD" w:rsidRPr="00E05F51">
        <w:rPr>
          <w:rFonts w:asciiTheme="minorHAnsi" w:hAnsiTheme="minorHAnsi" w:cstheme="minorHAnsi"/>
          <w:bCs/>
        </w:rPr>
        <w:t>on the Report of the SPWG (Agenda Item 10)</w:t>
      </w:r>
      <w:r w:rsidR="00CA5703" w:rsidRPr="00E05F51">
        <w:rPr>
          <w:rFonts w:asciiTheme="minorHAnsi" w:hAnsiTheme="minorHAnsi" w:cstheme="minorHAnsi"/>
          <w:bCs/>
        </w:rPr>
        <w:t xml:space="preserve">. </w:t>
      </w:r>
      <w:r w:rsidR="00315B89" w:rsidRPr="00E05F51">
        <w:rPr>
          <w:rFonts w:asciiTheme="minorHAnsi" w:hAnsiTheme="minorHAnsi" w:cstheme="minorHAnsi"/>
          <w:bCs/>
        </w:rPr>
        <w:t xml:space="preserve"> </w:t>
      </w:r>
    </w:p>
    <w:p w14:paraId="05F90344" w14:textId="3CFEED64" w:rsidR="00410E09" w:rsidRPr="00E05F51" w:rsidRDefault="00410E09" w:rsidP="00E05F51">
      <w:pPr>
        <w:spacing w:before="60" w:after="60"/>
        <w:ind w:left="426" w:right="-188" w:hanging="426"/>
        <w:rPr>
          <w:rFonts w:asciiTheme="minorHAnsi" w:hAnsiTheme="minorHAnsi" w:cstheme="minorHAnsi"/>
          <w:bCs/>
        </w:rPr>
      </w:pPr>
    </w:p>
    <w:p w14:paraId="1AE5FD2E" w14:textId="5E873EF2" w:rsidR="00410E09" w:rsidRPr="00E05F51" w:rsidRDefault="00410E09" w:rsidP="00E05F51">
      <w:pPr>
        <w:pStyle w:val="ListParagraph"/>
        <w:numPr>
          <w:ilvl w:val="0"/>
          <w:numId w:val="25"/>
        </w:numPr>
        <w:spacing w:before="60" w:after="60"/>
        <w:ind w:left="426" w:right="-188" w:hanging="426"/>
        <w:rPr>
          <w:rFonts w:asciiTheme="minorHAnsi" w:hAnsiTheme="minorHAnsi" w:cstheme="minorHAnsi"/>
          <w:bCs/>
        </w:rPr>
      </w:pPr>
      <w:r w:rsidRPr="00E05F51">
        <w:rPr>
          <w:rFonts w:asciiTheme="minorHAnsi" w:hAnsiTheme="minorHAnsi" w:cstheme="minorHAnsi"/>
          <w:bCs/>
        </w:rPr>
        <w:t xml:space="preserve">Australia noted </w:t>
      </w:r>
      <w:r w:rsidR="009447A3" w:rsidRPr="00E05F51">
        <w:rPr>
          <w:rFonts w:asciiTheme="minorHAnsi" w:hAnsiTheme="minorHAnsi" w:cstheme="minorHAnsi"/>
          <w:bCs/>
        </w:rPr>
        <w:t xml:space="preserve">the emphasis on inclusivity </w:t>
      </w:r>
      <w:r w:rsidR="00D621A7" w:rsidRPr="00E05F51">
        <w:rPr>
          <w:rFonts w:asciiTheme="minorHAnsi" w:hAnsiTheme="minorHAnsi" w:cstheme="minorHAnsi"/>
          <w:bCs/>
        </w:rPr>
        <w:t xml:space="preserve">and enabling participation </w:t>
      </w:r>
      <w:r w:rsidR="005F173C" w:rsidRPr="00E05F51">
        <w:rPr>
          <w:rFonts w:asciiTheme="minorHAnsi" w:hAnsiTheme="minorHAnsi" w:cstheme="minorHAnsi"/>
          <w:bCs/>
        </w:rPr>
        <w:t xml:space="preserve">in the </w:t>
      </w:r>
      <w:r w:rsidR="00D82931" w:rsidRPr="00E05F51">
        <w:rPr>
          <w:rFonts w:asciiTheme="minorHAnsi" w:hAnsiTheme="minorHAnsi" w:cstheme="minorHAnsi"/>
          <w:bCs/>
        </w:rPr>
        <w:t>proposed compos</w:t>
      </w:r>
      <w:r w:rsidR="00346D1E" w:rsidRPr="00E05F51">
        <w:rPr>
          <w:rFonts w:asciiTheme="minorHAnsi" w:hAnsiTheme="minorHAnsi" w:cstheme="minorHAnsi"/>
          <w:bCs/>
        </w:rPr>
        <w:t>i</w:t>
      </w:r>
      <w:r w:rsidR="00D82931" w:rsidRPr="00E05F51">
        <w:rPr>
          <w:rFonts w:asciiTheme="minorHAnsi" w:hAnsiTheme="minorHAnsi" w:cstheme="minorHAnsi"/>
          <w:bCs/>
        </w:rPr>
        <w:t>tion and regional repre</w:t>
      </w:r>
      <w:r w:rsidR="00346D1E" w:rsidRPr="00E05F51">
        <w:rPr>
          <w:rFonts w:asciiTheme="minorHAnsi" w:hAnsiTheme="minorHAnsi" w:cstheme="minorHAnsi"/>
          <w:bCs/>
        </w:rPr>
        <w:t>se</w:t>
      </w:r>
      <w:r w:rsidR="00D82931" w:rsidRPr="00E05F51">
        <w:rPr>
          <w:rFonts w:asciiTheme="minorHAnsi" w:hAnsiTheme="minorHAnsi" w:cstheme="minorHAnsi"/>
          <w:bCs/>
        </w:rPr>
        <w:t>ntation on the WG and its operational structure</w:t>
      </w:r>
      <w:r w:rsidR="00346D1E" w:rsidRPr="00E05F51">
        <w:rPr>
          <w:rFonts w:asciiTheme="minorHAnsi" w:hAnsiTheme="minorHAnsi" w:cstheme="minorHAnsi"/>
          <w:bCs/>
        </w:rPr>
        <w:t>.</w:t>
      </w:r>
      <w:r w:rsidR="00D82931" w:rsidRPr="00E05F51">
        <w:rPr>
          <w:rFonts w:asciiTheme="minorHAnsi" w:hAnsiTheme="minorHAnsi" w:cstheme="minorHAnsi"/>
          <w:bCs/>
        </w:rPr>
        <w:t xml:space="preserve"> </w:t>
      </w:r>
      <w:r w:rsidR="009447A3" w:rsidRPr="00E05F51">
        <w:rPr>
          <w:rFonts w:asciiTheme="minorHAnsi" w:hAnsiTheme="minorHAnsi" w:cstheme="minorHAnsi"/>
          <w:bCs/>
        </w:rPr>
        <w:t xml:space="preserve"> </w:t>
      </w:r>
    </w:p>
    <w:p w14:paraId="0586B896" w14:textId="03B1FB2B" w:rsidR="00D4038D" w:rsidRPr="00E05F51" w:rsidRDefault="00D4038D" w:rsidP="00E05F51">
      <w:pPr>
        <w:spacing w:before="60" w:after="60"/>
        <w:ind w:left="0" w:right="-188" w:firstLine="0"/>
        <w:rPr>
          <w:rFonts w:asciiTheme="minorHAnsi" w:hAnsiTheme="minorHAnsi" w:cstheme="minorHAnsi"/>
          <w:bCs/>
        </w:rPr>
      </w:pPr>
    </w:p>
    <w:p w14:paraId="5DFD5C7D" w14:textId="11C08F08" w:rsidR="00E67BA0" w:rsidRPr="00E05F51" w:rsidRDefault="00E67BA0" w:rsidP="00E05F51">
      <w:pPr>
        <w:spacing w:before="60" w:after="60"/>
        <w:ind w:left="0" w:right="-188" w:firstLine="0"/>
        <w:rPr>
          <w:rFonts w:asciiTheme="minorHAnsi" w:hAnsiTheme="minorHAnsi" w:cstheme="minorHAnsi"/>
          <w:bCs/>
          <w:u w:val="single"/>
        </w:rPr>
      </w:pPr>
      <w:r w:rsidRPr="00E05F51">
        <w:rPr>
          <w:rFonts w:asciiTheme="minorHAnsi" w:hAnsiTheme="minorHAnsi" w:cstheme="minorHAnsi"/>
          <w:bCs/>
          <w:u w:val="single"/>
        </w:rPr>
        <w:t>Workplan to COP14</w:t>
      </w:r>
    </w:p>
    <w:p w14:paraId="3E78B6B4" w14:textId="3C7FD7BB" w:rsidR="000A5120" w:rsidRPr="00E05F51" w:rsidRDefault="00225833"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E05F51">
        <w:rPr>
          <w:rFonts w:asciiTheme="minorHAnsi" w:hAnsiTheme="minorHAnsi" w:cstheme="minorHAnsi"/>
          <w:bCs/>
          <w:color w:val="000000" w:themeColor="text1"/>
        </w:rPr>
        <w:t>T</w:t>
      </w:r>
      <w:r w:rsidR="007D77BA" w:rsidRPr="00E05F51">
        <w:rPr>
          <w:rFonts w:asciiTheme="minorHAnsi" w:hAnsiTheme="minorHAnsi" w:cstheme="minorHAnsi"/>
          <w:bCs/>
          <w:color w:val="000000" w:themeColor="text1"/>
        </w:rPr>
        <w:t xml:space="preserve">he new WG </w:t>
      </w:r>
      <w:r w:rsidRPr="00E05F51">
        <w:rPr>
          <w:rFonts w:asciiTheme="minorHAnsi" w:hAnsiTheme="minorHAnsi" w:cstheme="minorHAnsi"/>
          <w:bCs/>
          <w:color w:val="000000" w:themeColor="text1"/>
        </w:rPr>
        <w:t xml:space="preserve">will </w:t>
      </w:r>
      <w:r w:rsidR="00E23CC4" w:rsidRPr="00E05F51">
        <w:rPr>
          <w:rFonts w:asciiTheme="minorHAnsi" w:hAnsiTheme="minorHAnsi" w:cstheme="minorHAnsi"/>
          <w:bCs/>
          <w:color w:val="000000" w:themeColor="text1"/>
        </w:rPr>
        <w:t xml:space="preserve">focus </w:t>
      </w:r>
      <w:r w:rsidR="002A0884" w:rsidRPr="00E05F51">
        <w:rPr>
          <w:rFonts w:asciiTheme="minorHAnsi" w:hAnsiTheme="minorHAnsi" w:cstheme="minorHAnsi"/>
          <w:bCs/>
          <w:color w:val="000000" w:themeColor="text1"/>
        </w:rPr>
        <w:t>on</w:t>
      </w:r>
      <w:r w:rsidRPr="00E05F51">
        <w:rPr>
          <w:rFonts w:asciiTheme="minorHAnsi" w:hAnsiTheme="minorHAnsi" w:cstheme="minorHAnsi"/>
          <w:bCs/>
          <w:color w:val="000000" w:themeColor="text1"/>
        </w:rPr>
        <w:t xml:space="preserve"> the</w:t>
      </w:r>
      <w:r w:rsidR="002A0884" w:rsidRPr="00E05F51">
        <w:rPr>
          <w:rFonts w:asciiTheme="minorHAnsi" w:hAnsiTheme="minorHAnsi" w:cstheme="minorHAnsi"/>
          <w:bCs/>
          <w:color w:val="000000" w:themeColor="text1"/>
        </w:rPr>
        <w:t xml:space="preserve"> d</w:t>
      </w:r>
      <w:r w:rsidR="00F66379" w:rsidRPr="00E05F51">
        <w:rPr>
          <w:rFonts w:asciiTheme="minorHAnsi" w:hAnsiTheme="minorHAnsi" w:cstheme="minorHAnsi"/>
          <w:bCs/>
          <w:color w:val="000000" w:themeColor="text1"/>
        </w:rPr>
        <w:t xml:space="preserve">esign </w:t>
      </w:r>
      <w:r w:rsidR="007902F8" w:rsidRPr="00E05F51">
        <w:rPr>
          <w:rFonts w:asciiTheme="minorHAnsi" w:hAnsiTheme="minorHAnsi" w:cstheme="minorHAnsi"/>
          <w:bCs/>
          <w:color w:val="000000" w:themeColor="text1"/>
        </w:rPr>
        <w:t xml:space="preserve">of </w:t>
      </w:r>
      <w:r w:rsidR="00F66379" w:rsidRPr="00E05F51">
        <w:rPr>
          <w:rFonts w:asciiTheme="minorHAnsi" w:hAnsiTheme="minorHAnsi" w:cstheme="minorHAnsi"/>
          <w:bCs/>
          <w:color w:val="000000" w:themeColor="text1"/>
        </w:rPr>
        <w:t xml:space="preserve">a program </w:t>
      </w:r>
      <w:r w:rsidR="00877257" w:rsidRPr="00E05F51">
        <w:rPr>
          <w:rFonts w:asciiTheme="minorHAnsi" w:hAnsiTheme="minorHAnsi" w:cstheme="minorHAnsi"/>
          <w:bCs/>
          <w:color w:val="000000" w:themeColor="text1"/>
        </w:rPr>
        <w:t>o</w:t>
      </w:r>
      <w:r w:rsidR="00F66379" w:rsidRPr="00E05F51">
        <w:rPr>
          <w:rFonts w:asciiTheme="minorHAnsi" w:hAnsiTheme="minorHAnsi" w:cstheme="minorHAnsi"/>
          <w:bCs/>
          <w:color w:val="000000" w:themeColor="text1"/>
        </w:rPr>
        <w:t>f c</w:t>
      </w:r>
      <w:r w:rsidR="00877257" w:rsidRPr="00E05F51">
        <w:rPr>
          <w:rFonts w:asciiTheme="minorHAnsi" w:hAnsiTheme="minorHAnsi" w:cstheme="minorHAnsi"/>
          <w:bCs/>
          <w:color w:val="000000" w:themeColor="text1"/>
        </w:rPr>
        <w:t>o</w:t>
      </w:r>
      <w:r w:rsidR="00F66379" w:rsidRPr="00E05F51">
        <w:rPr>
          <w:rFonts w:asciiTheme="minorHAnsi" w:hAnsiTheme="minorHAnsi" w:cstheme="minorHAnsi"/>
          <w:bCs/>
          <w:color w:val="000000" w:themeColor="text1"/>
        </w:rPr>
        <w:t>nsul</w:t>
      </w:r>
      <w:r w:rsidR="00877257" w:rsidRPr="00E05F51">
        <w:rPr>
          <w:rFonts w:asciiTheme="minorHAnsi" w:hAnsiTheme="minorHAnsi" w:cstheme="minorHAnsi"/>
          <w:bCs/>
          <w:color w:val="000000" w:themeColor="text1"/>
        </w:rPr>
        <w:t>t</w:t>
      </w:r>
      <w:r w:rsidR="00F66379" w:rsidRPr="00E05F51">
        <w:rPr>
          <w:rFonts w:asciiTheme="minorHAnsi" w:hAnsiTheme="minorHAnsi" w:cstheme="minorHAnsi"/>
          <w:bCs/>
          <w:color w:val="000000" w:themeColor="text1"/>
        </w:rPr>
        <w:t xml:space="preserve">ation </w:t>
      </w:r>
      <w:r w:rsidR="00877257" w:rsidRPr="00E05F51">
        <w:rPr>
          <w:rFonts w:asciiTheme="minorHAnsi" w:hAnsiTheme="minorHAnsi" w:cstheme="minorHAnsi"/>
          <w:bCs/>
          <w:color w:val="000000" w:themeColor="text1"/>
        </w:rPr>
        <w:t xml:space="preserve">for SP5 </w:t>
      </w:r>
      <w:r w:rsidR="002A0884" w:rsidRPr="00E05F51">
        <w:rPr>
          <w:rFonts w:asciiTheme="minorHAnsi" w:hAnsiTheme="minorHAnsi" w:cstheme="minorHAnsi"/>
          <w:bCs/>
          <w:color w:val="000000" w:themeColor="text1"/>
        </w:rPr>
        <w:t xml:space="preserve">ahead of and </w:t>
      </w:r>
      <w:r w:rsidR="00F2041E" w:rsidRPr="00E05F51">
        <w:rPr>
          <w:rFonts w:asciiTheme="minorHAnsi" w:hAnsiTheme="minorHAnsi" w:cstheme="minorHAnsi"/>
          <w:bCs/>
          <w:color w:val="000000" w:themeColor="text1"/>
        </w:rPr>
        <w:t xml:space="preserve">as part of </w:t>
      </w:r>
      <w:r w:rsidR="007D77BA" w:rsidRPr="00E05F51">
        <w:rPr>
          <w:rFonts w:asciiTheme="minorHAnsi" w:hAnsiTheme="minorHAnsi" w:cstheme="minorHAnsi"/>
          <w:bCs/>
          <w:color w:val="000000" w:themeColor="text1"/>
        </w:rPr>
        <w:t xml:space="preserve">a </w:t>
      </w:r>
      <w:r w:rsidR="00E23CC4" w:rsidRPr="00E05F51">
        <w:rPr>
          <w:rFonts w:asciiTheme="minorHAnsi" w:hAnsiTheme="minorHAnsi" w:cstheme="minorHAnsi"/>
          <w:bCs/>
          <w:color w:val="000000" w:themeColor="text1"/>
        </w:rPr>
        <w:t>focused side</w:t>
      </w:r>
      <w:r w:rsidR="007D77BA" w:rsidRPr="00E05F51">
        <w:rPr>
          <w:rFonts w:asciiTheme="minorHAnsi" w:hAnsiTheme="minorHAnsi" w:cstheme="minorHAnsi"/>
          <w:bCs/>
          <w:color w:val="000000" w:themeColor="text1"/>
        </w:rPr>
        <w:t xml:space="preserve"> event during COP14</w:t>
      </w:r>
      <w:r w:rsidR="007902F8" w:rsidRPr="00E05F51">
        <w:rPr>
          <w:rFonts w:asciiTheme="minorHAnsi" w:hAnsiTheme="minorHAnsi" w:cstheme="minorHAnsi"/>
          <w:bCs/>
          <w:color w:val="000000" w:themeColor="text1"/>
        </w:rPr>
        <w:t xml:space="preserve">. The WG will be assisted </w:t>
      </w:r>
      <w:r w:rsidR="00AC202B" w:rsidRPr="00E05F51">
        <w:rPr>
          <w:rFonts w:asciiTheme="minorHAnsi" w:hAnsiTheme="minorHAnsi" w:cstheme="minorHAnsi"/>
          <w:bCs/>
          <w:color w:val="000000" w:themeColor="text1"/>
        </w:rPr>
        <w:t xml:space="preserve">in this task </w:t>
      </w:r>
      <w:r w:rsidR="00B81FA5" w:rsidRPr="00E05F51">
        <w:rPr>
          <w:rFonts w:asciiTheme="minorHAnsi" w:hAnsiTheme="minorHAnsi" w:cstheme="minorHAnsi"/>
          <w:bCs/>
          <w:color w:val="000000" w:themeColor="text1"/>
        </w:rPr>
        <w:t>by professional</w:t>
      </w:r>
      <w:r w:rsidR="007D77BA" w:rsidRPr="00E05F51">
        <w:rPr>
          <w:rFonts w:asciiTheme="minorHAnsi" w:hAnsiTheme="minorHAnsi" w:cstheme="minorHAnsi"/>
          <w:bCs/>
          <w:color w:val="000000" w:themeColor="text1"/>
        </w:rPr>
        <w:t xml:space="preserve"> facilitat</w:t>
      </w:r>
      <w:r w:rsidR="00B81FA5" w:rsidRPr="00E05F51">
        <w:rPr>
          <w:rFonts w:asciiTheme="minorHAnsi" w:hAnsiTheme="minorHAnsi" w:cstheme="minorHAnsi"/>
          <w:bCs/>
          <w:color w:val="000000" w:themeColor="text1"/>
        </w:rPr>
        <w:t>ors</w:t>
      </w:r>
      <w:r w:rsidR="00F2041E" w:rsidRPr="00E05F51">
        <w:rPr>
          <w:rFonts w:asciiTheme="minorHAnsi" w:hAnsiTheme="minorHAnsi" w:cstheme="minorHAnsi"/>
          <w:bCs/>
          <w:color w:val="000000" w:themeColor="text1"/>
        </w:rPr>
        <w:t xml:space="preserve"> </w:t>
      </w:r>
      <w:r w:rsidR="00AC202B" w:rsidRPr="00E05F51">
        <w:rPr>
          <w:rFonts w:asciiTheme="minorHAnsi" w:hAnsiTheme="minorHAnsi" w:cstheme="minorHAnsi"/>
          <w:bCs/>
          <w:color w:val="000000" w:themeColor="text1"/>
        </w:rPr>
        <w:t xml:space="preserve">and work closely with the </w:t>
      </w:r>
      <w:r w:rsidRPr="00E05F51">
        <w:rPr>
          <w:rFonts w:asciiTheme="minorHAnsi" w:hAnsiTheme="minorHAnsi" w:cstheme="minorHAnsi"/>
          <w:bCs/>
          <w:color w:val="000000" w:themeColor="text1"/>
        </w:rPr>
        <w:t xml:space="preserve">host country and </w:t>
      </w:r>
      <w:r w:rsidR="00AC202B" w:rsidRPr="00E05F51">
        <w:rPr>
          <w:rFonts w:asciiTheme="minorHAnsi" w:hAnsiTheme="minorHAnsi" w:cstheme="minorHAnsi"/>
          <w:bCs/>
          <w:color w:val="000000" w:themeColor="text1"/>
        </w:rPr>
        <w:t>Subgroup on COP14</w:t>
      </w:r>
      <w:r w:rsidRPr="00E05F51">
        <w:rPr>
          <w:rFonts w:asciiTheme="minorHAnsi" w:hAnsiTheme="minorHAnsi" w:cstheme="minorHAnsi"/>
          <w:bCs/>
          <w:color w:val="000000" w:themeColor="text1"/>
        </w:rPr>
        <w:t>.</w:t>
      </w:r>
      <w:r w:rsidR="00AC202B" w:rsidRPr="00E05F51">
        <w:rPr>
          <w:rFonts w:asciiTheme="minorHAnsi" w:hAnsiTheme="minorHAnsi" w:cstheme="minorHAnsi"/>
          <w:bCs/>
          <w:color w:val="000000" w:themeColor="text1"/>
        </w:rPr>
        <w:t xml:space="preserve"> </w:t>
      </w:r>
      <w:r w:rsidRPr="00E05F51">
        <w:rPr>
          <w:rFonts w:asciiTheme="minorHAnsi" w:hAnsiTheme="minorHAnsi" w:cstheme="minorHAnsi"/>
          <w:bCs/>
          <w:color w:val="000000" w:themeColor="text1"/>
        </w:rPr>
        <w:t>A budget has been approved by SC for this interim work of the WG.</w:t>
      </w:r>
    </w:p>
    <w:p w14:paraId="02610EB7" w14:textId="7CA5DCB8" w:rsidR="000A5120" w:rsidRPr="00E05F51" w:rsidRDefault="000A5120" w:rsidP="00E05F51">
      <w:pPr>
        <w:spacing w:before="60" w:after="60"/>
        <w:ind w:left="0" w:right="-188" w:firstLine="0"/>
        <w:rPr>
          <w:rFonts w:asciiTheme="minorHAnsi" w:hAnsiTheme="minorHAnsi" w:cstheme="minorHAnsi"/>
          <w:bCs/>
          <w:color w:val="000000" w:themeColor="text1"/>
          <w:u w:val="single"/>
        </w:rPr>
      </w:pPr>
    </w:p>
    <w:p w14:paraId="44DB817F" w14:textId="54639040" w:rsidR="00B73357" w:rsidRPr="00E05F51" w:rsidRDefault="00C85B37" w:rsidP="00E05F51">
      <w:pPr>
        <w:spacing w:before="60" w:after="60"/>
        <w:ind w:left="0" w:right="-188" w:firstLine="0"/>
        <w:rPr>
          <w:rFonts w:asciiTheme="minorHAnsi" w:hAnsiTheme="minorHAnsi" w:cstheme="minorHAnsi"/>
          <w:bCs/>
          <w:u w:val="single"/>
          <w:lang w:val="en-ZA" w:eastAsia="ko-KR"/>
        </w:rPr>
      </w:pPr>
      <w:r w:rsidRPr="00E05F51">
        <w:rPr>
          <w:rFonts w:asciiTheme="minorHAnsi" w:hAnsiTheme="minorHAnsi" w:cstheme="minorHAnsi"/>
          <w:bCs/>
          <w:u w:val="single"/>
          <w:lang w:val="en-ZA" w:eastAsia="ko-KR"/>
        </w:rPr>
        <w:lastRenderedPageBreak/>
        <w:t xml:space="preserve">Strategic Framework to inform SP5 </w:t>
      </w:r>
      <w:r w:rsidR="00225833" w:rsidRPr="00E05F51">
        <w:rPr>
          <w:rFonts w:asciiTheme="minorHAnsi" w:hAnsiTheme="minorHAnsi" w:cstheme="minorHAnsi"/>
          <w:bCs/>
          <w:u w:val="single"/>
          <w:lang w:val="en-ZA" w:eastAsia="ko-KR"/>
        </w:rPr>
        <w:t xml:space="preserve">- </w:t>
      </w:r>
      <w:r w:rsidRPr="00E05F51">
        <w:rPr>
          <w:rFonts w:asciiTheme="minorHAnsi" w:hAnsiTheme="minorHAnsi" w:cstheme="minorHAnsi"/>
          <w:bCs/>
          <w:u w:val="single"/>
          <w:lang w:val="en-ZA" w:eastAsia="ko-KR"/>
        </w:rPr>
        <w:t>draft t</w:t>
      </w:r>
      <w:r w:rsidR="001814B3" w:rsidRPr="00E05F51">
        <w:rPr>
          <w:rFonts w:asciiTheme="minorHAnsi" w:hAnsiTheme="minorHAnsi" w:cstheme="minorHAnsi"/>
          <w:bCs/>
          <w:u w:val="single"/>
          <w:lang w:val="en-ZA" w:eastAsia="ko-KR"/>
        </w:rPr>
        <w:t>e</w:t>
      </w:r>
      <w:r w:rsidRPr="00E05F51">
        <w:rPr>
          <w:rFonts w:asciiTheme="minorHAnsi" w:hAnsiTheme="minorHAnsi" w:cstheme="minorHAnsi"/>
          <w:bCs/>
          <w:u w:val="single"/>
          <w:lang w:val="en-ZA" w:eastAsia="ko-KR"/>
        </w:rPr>
        <w:t xml:space="preserve">xt for Wuhan </w:t>
      </w:r>
      <w:r w:rsidR="00A43FE6" w:rsidRPr="00E05F51">
        <w:rPr>
          <w:rFonts w:asciiTheme="minorHAnsi" w:hAnsiTheme="minorHAnsi" w:cstheme="minorHAnsi"/>
          <w:bCs/>
          <w:u w:val="single"/>
          <w:lang w:val="en-ZA" w:eastAsia="ko-KR"/>
        </w:rPr>
        <w:t>D</w:t>
      </w:r>
      <w:r w:rsidRPr="00E05F51">
        <w:rPr>
          <w:rFonts w:asciiTheme="minorHAnsi" w:hAnsiTheme="minorHAnsi" w:cstheme="minorHAnsi"/>
          <w:bCs/>
          <w:u w:val="single"/>
          <w:lang w:val="en-ZA" w:eastAsia="ko-KR"/>
        </w:rPr>
        <w:t xml:space="preserve">eclaration  </w:t>
      </w:r>
    </w:p>
    <w:p w14:paraId="4F961278" w14:textId="20CDCD48" w:rsidR="008C0D06" w:rsidRPr="00E05F51" w:rsidRDefault="00073C7A" w:rsidP="00E05F51">
      <w:pPr>
        <w:pStyle w:val="ListParagraph"/>
        <w:numPr>
          <w:ilvl w:val="0"/>
          <w:numId w:val="25"/>
        </w:numPr>
        <w:spacing w:before="60" w:after="60"/>
        <w:ind w:left="426" w:right="-188" w:hanging="426"/>
        <w:rPr>
          <w:rFonts w:asciiTheme="minorHAnsi" w:hAnsiTheme="minorHAnsi" w:cstheme="minorHAnsi"/>
          <w:bCs/>
          <w:color w:val="000000" w:themeColor="text1"/>
        </w:rPr>
      </w:pPr>
      <w:r w:rsidRPr="00E05F51">
        <w:rPr>
          <w:rFonts w:asciiTheme="minorHAnsi" w:hAnsiTheme="minorHAnsi" w:cstheme="minorHAnsi"/>
          <w:bCs/>
          <w:color w:val="000000" w:themeColor="text1"/>
        </w:rPr>
        <w:t>Australia presented t</w:t>
      </w:r>
      <w:r w:rsidR="00B73357" w:rsidRPr="00E05F51">
        <w:rPr>
          <w:rFonts w:asciiTheme="minorHAnsi" w:hAnsiTheme="minorHAnsi" w:cstheme="minorHAnsi"/>
          <w:bCs/>
          <w:color w:val="000000" w:themeColor="text1"/>
        </w:rPr>
        <w:t xml:space="preserve">he </w:t>
      </w:r>
      <w:r w:rsidR="001B57E5" w:rsidRPr="00E05F51">
        <w:rPr>
          <w:rFonts w:asciiTheme="minorHAnsi" w:hAnsiTheme="minorHAnsi" w:cstheme="minorHAnsi"/>
          <w:bCs/>
          <w:color w:val="000000" w:themeColor="text1"/>
        </w:rPr>
        <w:t xml:space="preserve">zero </w:t>
      </w:r>
      <w:r w:rsidR="00B73357" w:rsidRPr="00E05F51">
        <w:rPr>
          <w:rFonts w:asciiTheme="minorHAnsi" w:hAnsiTheme="minorHAnsi" w:cstheme="minorHAnsi"/>
          <w:bCs/>
          <w:color w:val="000000" w:themeColor="text1"/>
        </w:rPr>
        <w:t>d</w:t>
      </w:r>
      <w:r w:rsidR="000A5120" w:rsidRPr="00E05F51">
        <w:rPr>
          <w:rFonts w:asciiTheme="minorHAnsi" w:hAnsiTheme="minorHAnsi" w:cstheme="minorHAnsi"/>
          <w:bCs/>
          <w:color w:val="000000" w:themeColor="text1"/>
        </w:rPr>
        <w:t xml:space="preserve">raft </w:t>
      </w:r>
      <w:r w:rsidR="00C85B37" w:rsidRPr="00E05F51">
        <w:rPr>
          <w:rFonts w:asciiTheme="minorHAnsi" w:hAnsiTheme="minorHAnsi" w:cstheme="minorHAnsi"/>
          <w:bCs/>
          <w:color w:val="000000" w:themeColor="text1"/>
        </w:rPr>
        <w:t>text</w:t>
      </w:r>
      <w:r w:rsidR="008C0D06" w:rsidRPr="00E05F51">
        <w:rPr>
          <w:rFonts w:asciiTheme="minorHAnsi" w:hAnsiTheme="minorHAnsi" w:cstheme="minorHAnsi"/>
          <w:bCs/>
          <w:color w:val="000000" w:themeColor="text1"/>
        </w:rPr>
        <w:t>:</w:t>
      </w:r>
    </w:p>
    <w:p w14:paraId="4B4F783C" w14:textId="54D40825" w:rsidR="008C0D06" w:rsidRPr="00E05F51" w:rsidRDefault="008C0D06" w:rsidP="00E05F51">
      <w:pPr>
        <w:pStyle w:val="ListParagraph"/>
        <w:numPr>
          <w:ilvl w:val="0"/>
          <w:numId w:val="23"/>
        </w:numPr>
        <w:spacing w:before="60" w:after="60"/>
        <w:ind w:right="-188"/>
        <w:contextualSpacing w:val="0"/>
        <w:rPr>
          <w:rFonts w:asciiTheme="minorHAnsi" w:hAnsiTheme="minorHAnsi" w:cstheme="minorHAnsi"/>
          <w:bCs/>
          <w:color w:val="000000" w:themeColor="text1"/>
        </w:rPr>
      </w:pPr>
      <w:r w:rsidRPr="00E05F51">
        <w:rPr>
          <w:rFonts w:asciiTheme="minorHAnsi" w:hAnsiTheme="minorHAnsi" w:cstheme="minorHAnsi"/>
          <w:bCs/>
          <w:color w:val="000000" w:themeColor="text1"/>
        </w:rPr>
        <w:t>Reaffirming wise use as the central principle underpinning the Ramsar Convention and critical to ensuring conserva</w:t>
      </w:r>
      <w:r w:rsidR="00B73357" w:rsidRPr="00E05F51">
        <w:rPr>
          <w:rFonts w:asciiTheme="minorHAnsi" w:hAnsiTheme="minorHAnsi" w:cstheme="minorHAnsi"/>
          <w:bCs/>
          <w:color w:val="000000" w:themeColor="text1"/>
        </w:rPr>
        <w:t>tion</w:t>
      </w:r>
      <w:r w:rsidRPr="00E05F51">
        <w:rPr>
          <w:rFonts w:asciiTheme="minorHAnsi" w:hAnsiTheme="minorHAnsi" w:cstheme="minorHAnsi"/>
          <w:bCs/>
          <w:color w:val="000000" w:themeColor="text1"/>
        </w:rPr>
        <w:t xml:space="preserve"> of wetlands and their ecosystem services for current and future generations.</w:t>
      </w:r>
    </w:p>
    <w:p w14:paraId="42C46C30" w14:textId="33E85A38" w:rsidR="008C0D06" w:rsidRPr="00E05F51" w:rsidRDefault="008C0D06" w:rsidP="00E05F51">
      <w:pPr>
        <w:pStyle w:val="ListParagraph"/>
        <w:numPr>
          <w:ilvl w:val="0"/>
          <w:numId w:val="23"/>
        </w:numPr>
        <w:spacing w:before="60" w:after="60"/>
        <w:ind w:right="-188"/>
        <w:contextualSpacing w:val="0"/>
        <w:rPr>
          <w:rFonts w:asciiTheme="minorHAnsi" w:hAnsiTheme="minorHAnsi" w:cstheme="minorHAnsi"/>
          <w:bCs/>
          <w:color w:val="000000" w:themeColor="text1"/>
        </w:rPr>
      </w:pPr>
      <w:r w:rsidRPr="00E05F51">
        <w:rPr>
          <w:rFonts w:asciiTheme="minorHAnsi" w:hAnsiTheme="minorHAnsi" w:cstheme="minorHAnsi"/>
          <w:bCs/>
          <w:color w:val="000000" w:themeColor="text1"/>
        </w:rPr>
        <w:t xml:space="preserve">Positioning the wise use of wetlands in the context of </w:t>
      </w:r>
      <w:r w:rsidR="00E86DD1" w:rsidRPr="00E05F51">
        <w:rPr>
          <w:rFonts w:asciiTheme="minorHAnsi" w:hAnsiTheme="minorHAnsi" w:cstheme="minorHAnsi"/>
          <w:bCs/>
          <w:color w:val="000000" w:themeColor="text1"/>
        </w:rPr>
        <w:t xml:space="preserve">the </w:t>
      </w:r>
      <w:r w:rsidRPr="00E05F51">
        <w:rPr>
          <w:rFonts w:asciiTheme="minorHAnsi" w:hAnsiTheme="minorHAnsi" w:cstheme="minorHAnsi"/>
          <w:bCs/>
          <w:color w:val="000000" w:themeColor="text1"/>
        </w:rPr>
        <w:t>urgent global challenges we face – to reverse biodiversity loss and mitigate global climate change.</w:t>
      </w:r>
    </w:p>
    <w:p w14:paraId="047757D7" w14:textId="21966D05" w:rsidR="008C0D06" w:rsidRPr="00E05F51" w:rsidRDefault="008C0D06" w:rsidP="00E05F51">
      <w:pPr>
        <w:pStyle w:val="ListParagraph"/>
        <w:numPr>
          <w:ilvl w:val="0"/>
          <w:numId w:val="23"/>
        </w:numPr>
        <w:spacing w:before="60" w:after="60"/>
        <w:ind w:right="-188"/>
        <w:contextualSpacing w:val="0"/>
        <w:rPr>
          <w:rFonts w:asciiTheme="minorHAnsi" w:hAnsiTheme="minorHAnsi" w:cstheme="minorHAnsi"/>
          <w:bCs/>
          <w:color w:val="000000" w:themeColor="text1"/>
        </w:rPr>
      </w:pPr>
      <w:r w:rsidRPr="00E05F51">
        <w:rPr>
          <w:rFonts w:asciiTheme="minorHAnsi" w:hAnsiTheme="minorHAnsi" w:cstheme="minorHAnsi"/>
          <w:bCs/>
          <w:color w:val="000000" w:themeColor="text1"/>
        </w:rPr>
        <w:t xml:space="preserve">Building a broad coalition of </w:t>
      </w:r>
      <w:r w:rsidR="00B73357" w:rsidRPr="00E05F51">
        <w:rPr>
          <w:rFonts w:asciiTheme="minorHAnsi" w:hAnsiTheme="minorHAnsi" w:cstheme="minorHAnsi"/>
          <w:bCs/>
          <w:color w:val="000000" w:themeColor="text1"/>
        </w:rPr>
        <w:t xml:space="preserve">relevant </w:t>
      </w:r>
      <w:r w:rsidRPr="00E05F51">
        <w:rPr>
          <w:rFonts w:asciiTheme="minorHAnsi" w:hAnsiTheme="minorHAnsi" w:cstheme="minorHAnsi"/>
          <w:bCs/>
          <w:color w:val="000000" w:themeColor="text1"/>
        </w:rPr>
        <w:t>actors and diverse voices through genuine engagement and collaboration, to set the framework to 2030 and beyond.</w:t>
      </w:r>
    </w:p>
    <w:p w14:paraId="717183E2" w14:textId="77777777" w:rsidR="008C0D06" w:rsidRPr="00E05F51" w:rsidRDefault="008C0D06" w:rsidP="00E05F51">
      <w:pPr>
        <w:spacing w:before="60" w:after="60"/>
        <w:ind w:left="0" w:right="-188" w:firstLine="0"/>
        <w:rPr>
          <w:rFonts w:asciiTheme="minorHAnsi" w:hAnsiTheme="minorHAnsi" w:cstheme="minorHAnsi"/>
          <w:bCs/>
          <w:color w:val="000000" w:themeColor="text1"/>
        </w:rPr>
      </w:pPr>
    </w:p>
    <w:p w14:paraId="736FD396" w14:textId="1F3B626A" w:rsidR="008D00AA" w:rsidRPr="00E05F51" w:rsidRDefault="00E86DD1" w:rsidP="00E05F51">
      <w:pPr>
        <w:pStyle w:val="ListParagraph"/>
        <w:numPr>
          <w:ilvl w:val="0"/>
          <w:numId w:val="25"/>
        </w:numPr>
        <w:spacing w:before="60" w:after="60"/>
        <w:ind w:left="426" w:right="-188" w:hanging="426"/>
        <w:rPr>
          <w:rFonts w:asciiTheme="minorHAnsi" w:hAnsiTheme="minorHAnsi" w:cstheme="minorHAnsi"/>
          <w:lang w:eastAsia="en-AU"/>
        </w:rPr>
      </w:pPr>
      <w:r w:rsidRPr="00E05F51">
        <w:rPr>
          <w:rFonts w:asciiTheme="minorHAnsi" w:hAnsiTheme="minorHAnsi" w:cstheme="minorHAnsi"/>
          <w:lang w:eastAsia="en-AU"/>
        </w:rPr>
        <w:t xml:space="preserve">The Chair indicated there will be a number of opportunities for WG members to refine the text. </w:t>
      </w:r>
    </w:p>
    <w:p w14:paraId="560BA5D4" w14:textId="17E59F5E" w:rsidR="008D00AA" w:rsidRPr="00E05F51" w:rsidRDefault="008D00AA" w:rsidP="00E05F51">
      <w:pPr>
        <w:spacing w:before="60" w:after="60"/>
        <w:ind w:left="0" w:right="-188" w:firstLine="0"/>
        <w:rPr>
          <w:rFonts w:asciiTheme="minorHAnsi" w:hAnsiTheme="minorHAnsi" w:cstheme="minorHAnsi"/>
          <w:color w:val="1F3864"/>
          <w:lang w:eastAsia="en-AU"/>
        </w:rPr>
      </w:pPr>
    </w:p>
    <w:p w14:paraId="5F1F9B75" w14:textId="5A9BCE30" w:rsidR="008D00AA" w:rsidRPr="00E05F51" w:rsidRDefault="008D00AA" w:rsidP="00E05F51">
      <w:pPr>
        <w:spacing w:before="60" w:after="60"/>
        <w:ind w:left="0" w:right="-188" w:firstLine="0"/>
        <w:rPr>
          <w:rFonts w:asciiTheme="minorHAnsi" w:hAnsiTheme="minorHAnsi" w:cstheme="minorHAnsi"/>
          <w:color w:val="1F3864"/>
          <w:lang w:eastAsia="en-AU"/>
        </w:rPr>
      </w:pPr>
    </w:p>
    <w:p w14:paraId="2641FCDA" w14:textId="4C8E02DF" w:rsidR="008D00AA" w:rsidRPr="00E05F51" w:rsidRDefault="008D00AA" w:rsidP="00E05F51">
      <w:pPr>
        <w:spacing w:before="60" w:after="60"/>
        <w:ind w:left="0" w:right="-188" w:firstLine="0"/>
        <w:rPr>
          <w:rFonts w:asciiTheme="minorHAnsi" w:hAnsiTheme="minorHAnsi" w:cstheme="minorHAnsi"/>
          <w:color w:val="1F3864"/>
          <w:lang w:eastAsia="en-AU"/>
        </w:rPr>
      </w:pPr>
    </w:p>
    <w:p w14:paraId="7F111061" w14:textId="4CAE649B" w:rsidR="008D00AA" w:rsidRPr="00E05F51" w:rsidRDefault="008D00AA" w:rsidP="00E05F51">
      <w:pPr>
        <w:spacing w:before="60" w:after="60"/>
        <w:ind w:left="0" w:right="-188" w:firstLine="0"/>
        <w:rPr>
          <w:rFonts w:asciiTheme="minorHAnsi" w:hAnsiTheme="minorHAnsi" w:cstheme="minorHAnsi"/>
          <w:color w:val="1F3864"/>
          <w:lang w:eastAsia="en-AU"/>
        </w:rPr>
      </w:pPr>
    </w:p>
    <w:p w14:paraId="59566274" w14:textId="620BD54E" w:rsidR="008D00AA" w:rsidRPr="00E05F51" w:rsidRDefault="008D00AA" w:rsidP="00E05F51">
      <w:pPr>
        <w:spacing w:before="60" w:after="60"/>
        <w:ind w:left="0" w:right="-188" w:firstLine="0"/>
        <w:rPr>
          <w:rFonts w:asciiTheme="minorHAnsi" w:hAnsiTheme="minorHAnsi" w:cstheme="minorHAnsi"/>
          <w:color w:val="1F3864"/>
          <w:lang w:eastAsia="en-AU"/>
        </w:rPr>
      </w:pPr>
    </w:p>
    <w:p w14:paraId="7B02F104" w14:textId="3AE524EF" w:rsidR="008D00AA" w:rsidRPr="00E05F51" w:rsidRDefault="008D00AA" w:rsidP="00E05F51">
      <w:pPr>
        <w:spacing w:before="60" w:after="60"/>
        <w:ind w:left="0" w:right="-188" w:firstLine="0"/>
        <w:rPr>
          <w:rFonts w:asciiTheme="minorHAnsi" w:hAnsiTheme="minorHAnsi" w:cstheme="minorHAnsi"/>
          <w:color w:val="1F3864"/>
          <w:lang w:eastAsia="en-AU"/>
        </w:rPr>
      </w:pPr>
    </w:p>
    <w:p w14:paraId="03C6AFAE" w14:textId="784E6B4B" w:rsidR="008D00AA" w:rsidRPr="00E05F51" w:rsidRDefault="008D00AA" w:rsidP="00E05F51">
      <w:pPr>
        <w:spacing w:before="60" w:after="60"/>
        <w:ind w:left="0" w:right="-188" w:firstLine="0"/>
        <w:rPr>
          <w:rFonts w:asciiTheme="minorHAnsi" w:hAnsiTheme="minorHAnsi" w:cstheme="minorHAnsi"/>
          <w:color w:val="1F3864"/>
          <w:lang w:eastAsia="en-AU"/>
        </w:rPr>
      </w:pPr>
    </w:p>
    <w:p w14:paraId="73770837" w14:textId="38831C71" w:rsidR="008D00AA" w:rsidRPr="00E05F51" w:rsidRDefault="008D00AA" w:rsidP="00E05F51">
      <w:pPr>
        <w:spacing w:before="60" w:after="60"/>
        <w:ind w:left="0" w:right="-188" w:firstLine="0"/>
        <w:rPr>
          <w:rFonts w:asciiTheme="minorHAnsi" w:hAnsiTheme="minorHAnsi" w:cstheme="minorHAnsi"/>
          <w:color w:val="1F3864"/>
          <w:lang w:eastAsia="en-AU"/>
        </w:rPr>
      </w:pPr>
    </w:p>
    <w:p w14:paraId="18E6FBA3" w14:textId="705054DC" w:rsidR="008D00AA" w:rsidRPr="00E05F51" w:rsidRDefault="008D00AA" w:rsidP="00E05F51">
      <w:pPr>
        <w:spacing w:before="60" w:after="60"/>
        <w:ind w:left="0" w:right="-188" w:firstLine="0"/>
        <w:rPr>
          <w:rFonts w:asciiTheme="minorHAnsi" w:hAnsiTheme="minorHAnsi" w:cstheme="minorHAnsi"/>
          <w:color w:val="1F3864"/>
          <w:lang w:eastAsia="en-AU"/>
        </w:rPr>
      </w:pPr>
    </w:p>
    <w:p w14:paraId="54D4620C" w14:textId="72C25660" w:rsidR="008D00AA" w:rsidRPr="00E05F51" w:rsidRDefault="008D00AA" w:rsidP="00E05F51">
      <w:pPr>
        <w:spacing w:before="60" w:after="60"/>
        <w:ind w:left="0" w:right="-188" w:firstLine="0"/>
        <w:rPr>
          <w:rFonts w:asciiTheme="minorHAnsi" w:hAnsiTheme="minorHAnsi" w:cstheme="minorHAnsi"/>
          <w:color w:val="1F3864"/>
          <w:lang w:eastAsia="en-AU"/>
        </w:rPr>
      </w:pPr>
    </w:p>
    <w:p w14:paraId="24788FEC" w14:textId="40360BB4" w:rsidR="008D00AA" w:rsidRPr="00E05F51" w:rsidRDefault="008D00AA" w:rsidP="00E05F51">
      <w:pPr>
        <w:spacing w:before="60" w:after="60"/>
        <w:ind w:left="0" w:right="-188" w:firstLine="0"/>
        <w:rPr>
          <w:rFonts w:asciiTheme="minorHAnsi" w:hAnsiTheme="minorHAnsi" w:cstheme="minorHAnsi"/>
          <w:color w:val="1F3864"/>
          <w:lang w:eastAsia="en-AU"/>
        </w:rPr>
      </w:pPr>
    </w:p>
    <w:p w14:paraId="746BD05B" w14:textId="67251656" w:rsidR="008D00AA" w:rsidRPr="00E05F51" w:rsidRDefault="008D00AA" w:rsidP="00E05F51">
      <w:pPr>
        <w:spacing w:before="60" w:after="60"/>
        <w:ind w:left="0" w:right="-188" w:firstLine="0"/>
        <w:rPr>
          <w:rFonts w:asciiTheme="minorHAnsi" w:hAnsiTheme="minorHAnsi" w:cstheme="minorHAnsi"/>
          <w:color w:val="1F3864"/>
          <w:lang w:eastAsia="en-AU"/>
        </w:rPr>
      </w:pPr>
    </w:p>
    <w:p w14:paraId="14D6D502" w14:textId="10B6798F" w:rsidR="008D00AA" w:rsidRPr="00E05F51" w:rsidRDefault="008D00AA" w:rsidP="00E05F51">
      <w:pPr>
        <w:spacing w:before="60" w:after="60"/>
        <w:ind w:left="0" w:right="-188" w:firstLine="0"/>
        <w:rPr>
          <w:rFonts w:asciiTheme="minorHAnsi" w:hAnsiTheme="minorHAnsi" w:cstheme="minorHAnsi"/>
          <w:color w:val="1F3864"/>
          <w:lang w:eastAsia="en-AU"/>
        </w:rPr>
      </w:pPr>
    </w:p>
    <w:p w14:paraId="43620F88" w14:textId="23FAB12B" w:rsidR="008D00AA" w:rsidRPr="00E05F51" w:rsidRDefault="008D00AA" w:rsidP="00E05F51">
      <w:pPr>
        <w:spacing w:before="60" w:after="60"/>
        <w:ind w:left="0" w:right="-188" w:firstLine="0"/>
        <w:rPr>
          <w:rFonts w:asciiTheme="minorHAnsi" w:hAnsiTheme="minorHAnsi" w:cstheme="minorHAnsi"/>
          <w:color w:val="1F3864"/>
          <w:lang w:eastAsia="en-AU"/>
        </w:rPr>
      </w:pPr>
    </w:p>
    <w:p w14:paraId="636B9383" w14:textId="31070113" w:rsidR="008D00AA" w:rsidRPr="00E05F51" w:rsidRDefault="008D00AA" w:rsidP="00E05F51">
      <w:pPr>
        <w:spacing w:before="60" w:after="60"/>
        <w:ind w:left="0" w:right="-188" w:firstLine="0"/>
        <w:rPr>
          <w:rFonts w:asciiTheme="minorHAnsi" w:hAnsiTheme="minorHAnsi" w:cstheme="minorHAnsi"/>
          <w:color w:val="1F3864"/>
          <w:lang w:eastAsia="en-AU"/>
        </w:rPr>
      </w:pPr>
    </w:p>
    <w:p w14:paraId="74C112BC" w14:textId="2DF8B886" w:rsidR="008D00AA" w:rsidRPr="00E05F51" w:rsidRDefault="008D00AA" w:rsidP="00E05F51">
      <w:pPr>
        <w:spacing w:before="60" w:after="60"/>
        <w:ind w:left="0" w:right="-188" w:firstLine="0"/>
        <w:rPr>
          <w:rFonts w:asciiTheme="minorHAnsi" w:hAnsiTheme="minorHAnsi" w:cstheme="minorHAnsi"/>
          <w:color w:val="1F3864"/>
          <w:lang w:eastAsia="en-AU"/>
        </w:rPr>
      </w:pPr>
    </w:p>
    <w:p w14:paraId="39CBBAD5" w14:textId="57CB4229" w:rsidR="008D00AA" w:rsidRPr="00E05F51" w:rsidRDefault="008D00AA" w:rsidP="00E05F51">
      <w:pPr>
        <w:spacing w:before="60" w:after="60"/>
        <w:ind w:left="0" w:right="-188" w:firstLine="0"/>
        <w:rPr>
          <w:rFonts w:asciiTheme="minorHAnsi" w:hAnsiTheme="minorHAnsi" w:cstheme="minorHAnsi"/>
          <w:color w:val="1F3864"/>
          <w:lang w:eastAsia="en-AU"/>
        </w:rPr>
      </w:pPr>
    </w:p>
    <w:p w14:paraId="2BB6155C" w14:textId="035E2492" w:rsidR="008D00AA" w:rsidRPr="00E05F51" w:rsidRDefault="008D00AA" w:rsidP="00E05F51">
      <w:pPr>
        <w:spacing w:before="60" w:after="60"/>
        <w:ind w:left="0" w:right="-188" w:firstLine="0"/>
        <w:rPr>
          <w:rFonts w:asciiTheme="minorHAnsi" w:hAnsiTheme="minorHAnsi" w:cstheme="minorHAnsi"/>
          <w:color w:val="1F3864"/>
          <w:lang w:eastAsia="en-AU"/>
        </w:rPr>
      </w:pPr>
    </w:p>
    <w:p w14:paraId="4DADA6B7" w14:textId="19E1A4BB" w:rsidR="008D00AA" w:rsidRPr="00E05F51" w:rsidRDefault="008D00AA" w:rsidP="00E05F51">
      <w:pPr>
        <w:spacing w:before="60" w:after="60"/>
        <w:ind w:left="0" w:right="-188" w:firstLine="0"/>
        <w:rPr>
          <w:rFonts w:asciiTheme="minorHAnsi" w:hAnsiTheme="minorHAnsi" w:cstheme="minorHAnsi"/>
          <w:color w:val="1F3864"/>
          <w:lang w:eastAsia="en-AU"/>
        </w:rPr>
      </w:pPr>
    </w:p>
    <w:p w14:paraId="00796325" w14:textId="4BDD2150" w:rsidR="008D00AA" w:rsidRPr="00E05F51" w:rsidRDefault="008D00AA" w:rsidP="00E05F51">
      <w:pPr>
        <w:spacing w:before="60" w:after="60"/>
        <w:ind w:left="0" w:right="-188" w:firstLine="0"/>
        <w:rPr>
          <w:rFonts w:asciiTheme="minorHAnsi" w:hAnsiTheme="minorHAnsi" w:cstheme="minorHAnsi"/>
          <w:color w:val="1F3864"/>
          <w:lang w:eastAsia="en-AU"/>
        </w:rPr>
      </w:pPr>
    </w:p>
    <w:p w14:paraId="7D53CD9B" w14:textId="1303ACEC" w:rsidR="008D00AA" w:rsidRPr="00E05F51" w:rsidRDefault="008D00AA" w:rsidP="00E05F51">
      <w:pPr>
        <w:spacing w:before="60" w:after="60"/>
        <w:ind w:left="0" w:right="-188" w:firstLine="0"/>
        <w:rPr>
          <w:rFonts w:asciiTheme="minorHAnsi" w:hAnsiTheme="minorHAnsi" w:cstheme="minorHAnsi"/>
          <w:color w:val="1F3864"/>
          <w:lang w:eastAsia="en-AU"/>
        </w:rPr>
      </w:pPr>
    </w:p>
    <w:p w14:paraId="0F0D85B8" w14:textId="14CFAF39" w:rsidR="008D00AA" w:rsidRPr="00E05F51" w:rsidRDefault="008D00AA" w:rsidP="00E05F51">
      <w:pPr>
        <w:spacing w:before="60" w:after="60"/>
        <w:ind w:left="0" w:right="-188" w:firstLine="0"/>
        <w:rPr>
          <w:rFonts w:asciiTheme="minorHAnsi" w:hAnsiTheme="minorHAnsi" w:cstheme="minorHAnsi"/>
          <w:color w:val="1F3864"/>
          <w:lang w:eastAsia="en-AU"/>
        </w:rPr>
      </w:pPr>
    </w:p>
    <w:p w14:paraId="7E81ED34" w14:textId="5975D961" w:rsidR="008D00AA" w:rsidRPr="00E05F51" w:rsidRDefault="008D00AA" w:rsidP="00E05F51">
      <w:pPr>
        <w:spacing w:before="60" w:after="60"/>
        <w:ind w:left="0" w:right="-188" w:firstLine="0"/>
        <w:rPr>
          <w:rFonts w:asciiTheme="minorHAnsi" w:hAnsiTheme="minorHAnsi" w:cstheme="minorHAnsi"/>
          <w:color w:val="1F3864"/>
          <w:lang w:eastAsia="en-AU"/>
        </w:rPr>
      </w:pPr>
    </w:p>
    <w:p w14:paraId="192130E3" w14:textId="295D355B" w:rsidR="008D00AA" w:rsidRPr="00E05F51" w:rsidRDefault="008D00AA" w:rsidP="00E05F51">
      <w:pPr>
        <w:spacing w:before="60" w:after="60"/>
        <w:ind w:left="0" w:right="-188" w:firstLine="0"/>
        <w:rPr>
          <w:rFonts w:asciiTheme="minorHAnsi" w:hAnsiTheme="minorHAnsi" w:cstheme="minorHAnsi"/>
          <w:color w:val="1F3864"/>
          <w:lang w:eastAsia="en-AU"/>
        </w:rPr>
      </w:pPr>
    </w:p>
    <w:p w14:paraId="77D4A312" w14:textId="3380E087" w:rsidR="008D00AA" w:rsidRPr="00E05F51" w:rsidRDefault="008D00AA" w:rsidP="00E05F51">
      <w:pPr>
        <w:spacing w:before="60" w:after="60"/>
        <w:ind w:left="0" w:right="-188" w:firstLine="0"/>
        <w:rPr>
          <w:rFonts w:asciiTheme="minorHAnsi" w:hAnsiTheme="minorHAnsi" w:cstheme="minorHAnsi"/>
          <w:color w:val="1F3864"/>
          <w:lang w:eastAsia="en-AU"/>
        </w:rPr>
      </w:pPr>
    </w:p>
    <w:p w14:paraId="72325F9A" w14:textId="118A7881" w:rsidR="008D00AA" w:rsidRPr="00E05F51" w:rsidRDefault="008D00AA" w:rsidP="00E05F51">
      <w:pPr>
        <w:spacing w:before="60" w:after="60"/>
        <w:ind w:left="0" w:right="-188" w:firstLine="0"/>
        <w:rPr>
          <w:rFonts w:asciiTheme="minorHAnsi" w:hAnsiTheme="minorHAnsi" w:cstheme="minorHAnsi"/>
          <w:color w:val="1F3864"/>
          <w:lang w:eastAsia="en-AU"/>
        </w:rPr>
      </w:pPr>
    </w:p>
    <w:p w14:paraId="083DB386" w14:textId="421CDA2C" w:rsidR="008D00AA" w:rsidRPr="00E05F51" w:rsidRDefault="008D00AA" w:rsidP="00E05F51">
      <w:pPr>
        <w:spacing w:before="60" w:after="60"/>
        <w:ind w:left="0" w:right="-188" w:firstLine="0"/>
        <w:rPr>
          <w:rFonts w:asciiTheme="minorHAnsi" w:hAnsiTheme="minorHAnsi" w:cstheme="minorHAnsi"/>
          <w:color w:val="1F3864"/>
          <w:lang w:eastAsia="en-AU"/>
        </w:rPr>
      </w:pPr>
    </w:p>
    <w:p w14:paraId="67EA9031" w14:textId="2CAA8936" w:rsidR="008D00AA" w:rsidRPr="00E05F51" w:rsidRDefault="008D00AA" w:rsidP="00E05F51">
      <w:pPr>
        <w:spacing w:before="60" w:after="60"/>
        <w:ind w:left="0" w:right="-188" w:firstLine="0"/>
        <w:rPr>
          <w:rFonts w:asciiTheme="minorHAnsi" w:hAnsiTheme="minorHAnsi" w:cstheme="minorHAnsi"/>
          <w:color w:val="1F3864"/>
          <w:lang w:eastAsia="en-AU"/>
        </w:rPr>
      </w:pPr>
    </w:p>
    <w:p w14:paraId="255E9531" w14:textId="388E3199" w:rsidR="008D00AA" w:rsidRPr="00E05F51" w:rsidRDefault="008D00AA" w:rsidP="00E05F51">
      <w:pPr>
        <w:spacing w:before="60" w:after="60"/>
        <w:ind w:left="0" w:right="-188" w:firstLine="0"/>
        <w:rPr>
          <w:rFonts w:asciiTheme="minorHAnsi" w:hAnsiTheme="minorHAnsi" w:cstheme="minorHAnsi"/>
          <w:color w:val="1F3864"/>
          <w:lang w:eastAsia="en-AU"/>
        </w:rPr>
      </w:pPr>
    </w:p>
    <w:p w14:paraId="42118848" w14:textId="35A619DC" w:rsidR="008D00AA" w:rsidRPr="00E05F51" w:rsidRDefault="008D00AA" w:rsidP="00E05F51">
      <w:pPr>
        <w:spacing w:before="60" w:after="60"/>
        <w:ind w:left="0" w:right="-188" w:firstLine="0"/>
        <w:rPr>
          <w:rFonts w:asciiTheme="minorHAnsi" w:hAnsiTheme="minorHAnsi" w:cstheme="minorHAnsi"/>
          <w:color w:val="1F3864"/>
          <w:lang w:eastAsia="en-AU"/>
        </w:rPr>
      </w:pPr>
    </w:p>
    <w:p w14:paraId="403ACF62" w14:textId="2B32C0DD" w:rsidR="008D00AA" w:rsidRPr="00E05F51" w:rsidRDefault="008D00AA" w:rsidP="00E05F51">
      <w:pPr>
        <w:spacing w:before="60" w:after="60"/>
        <w:ind w:left="0" w:right="-188" w:firstLine="0"/>
        <w:rPr>
          <w:rFonts w:asciiTheme="minorHAnsi" w:hAnsiTheme="minorHAnsi" w:cstheme="minorHAnsi"/>
          <w:color w:val="1F3864"/>
          <w:lang w:eastAsia="en-AU"/>
        </w:rPr>
      </w:pPr>
    </w:p>
    <w:p w14:paraId="551DA517" w14:textId="6D535625" w:rsidR="008D00AA" w:rsidRPr="00E05F51" w:rsidRDefault="008D00AA" w:rsidP="00E05F51">
      <w:pPr>
        <w:spacing w:before="60" w:after="60"/>
        <w:ind w:left="0" w:right="-188" w:firstLine="0"/>
        <w:rPr>
          <w:rFonts w:asciiTheme="minorHAnsi" w:hAnsiTheme="minorHAnsi" w:cstheme="minorHAnsi"/>
          <w:color w:val="1F3864"/>
          <w:lang w:eastAsia="en-AU"/>
        </w:rPr>
      </w:pPr>
    </w:p>
    <w:p w14:paraId="2B011EAC" w14:textId="282F5432" w:rsidR="00182158" w:rsidRPr="00453CD2" w:rsidRDefault="008D00AA" w:rsidP="00C10139">
      <w:pPr>
        <w:ind w:left="0" w:right="-188" w:firstLine="0"/>
        <w:rPr>
          <w:rFonts w:ascii="Arial" w:hAnsi="Arial" w:cs="Arial"/>
          <w:b/>
          <w:bCs/>
          <w:color w:val="1F3864"/>
          <w:sz w:val="20"/>
          <w:szCs w:val="20"/>
          <w:lang w:eastAsia="en-AU"/>
        </w:rPr>
      </w:pPr>
      <w:r>
        <w:rPr>
          <w:rFonts w:ascii="Arial" w:hAnsi="Arial" w:cs="Arial"/>
          <w:b/>
          <w:bCs/>
          <w:color w:val="1F3864"/>
          <w:sz w:val="20"/>
          <w:szCs w:val="20"/>
          <w:lang w:eastAsia="en-AU"/>
        </w:rPr>
        <w:lastRenderedPageBreak/>
        <w:t xml:space="preserve">Annex 1 </w:t>
      </w:r>
    </w:p>
    <w:p w14:paraId="53981280" w14:textId="4AE3D5F3" w:rsidR="002A6DB9" w:rsidRDefault="002A6DB9" w:rsidP="0010521C">
      <w:pPr>
        <w:spacing w:after="160" w:line="259" w:lineRule="auto"/>
        <w:ind w:left="0" w:firstLine="0"/>
        <w:jc w:val="center"/>
        <w:rPr>
          <w:rFonts w:cs="Calibri"/>
          <w:b/>
          <w:bCs/>
          <w:color w:val="000000" w:themeColor="text1"/>
        </w:rPr>
      </w:pPr>
    </w:p>
    <w:p w14:paraId="75A9F072" w14:textId="513E5937" w:rsidR="006D3695" w:rsidRDefault="006D3695" w:rsidP="002A6DB9">
      <w:pPr>
        <w:ind w:left="0" w:firstLine="0"/>
        <w:jc w:val="center"/>
        <w:rPr>
          <w:rFonts w:cstheme="minorHAnsi"/>
          <w:b/>
          <w:lang w:val="en-ZA" w:eastAsia="ko-KR"/>
        </w:rPr>
      </w:pPr>
      <w:r w:rsidRPr="006D3695">
        <w:rPr>
          <w:rFonts w:cstheme="minorHAnsi"/>
          <w:b/>
          <w:lang w:val="en-ZA" w:eastAsia="ko-KR"/>
        </w:rPr>
        <w:t>Strategic Plan Working Group for SP5</w:t>
      </w:r>
    </w:p>
    <w:p w14:paraId="5FF17C54" w14:textId="77777777" w:rsidR="006D3695" w:rsidRPr="006D3695" w:rsidRDefault="006D3695" w:rsidP="002A6DB9">
      <w:pPr>
        <w:ind w:left="0" w:firstLine="0"/>
        <w:jc w:val="center"/>
        <w:rPr>
          <w:rFonts w:cs="Calibri"/>
          <w:b/>
          <w:color w:val="000000" w:themeColor="text1"/>
        </w:rPr>
      </w:pPr>
    </w:p>
    <w:p w14:paraId="66D81204" w14:textId="12CB21D0" w:rsidR="000D099C" w:rsidRDefault="000D099C" w:rsidP="002A6DB9">
      <w:pPr>
        <w:ind w:left="0" w:firstLine="0"/>
        <w:jc w:val="center"/>
        <w:rPr>
          <w:rFonts w:cstheme="minorHAnsi"/>
          <w:u w:val="single"/>
        </w:rPr>
      </w:pPr>
      <w:r w:rsidRPr="00EE2FAF">
        <w:rPr>
          <w:rFonts w:cs="Calibri"/>
          <w:b/>
          <w:bCs/>
          <w:color w:val="000000" w:themeColor="text1"/>
        </w:rPr>
        <w:t xml:space="preserve">Terms of Reference </w:t>
      </w:r>
      <w:r w:rsidR="00BD247D">
        <w:rPr>
          <w:rFonts w:cs="Calibri"/>
          <w:b/>
          <w:bCs/>
          <w:color w:val="000000" w:themeColor="text1"/>
        </w:rPr>
        <w:t>and Work Plan to COP14</w:t>
      </w:r>
    </w:p>
    <w:p w14:paraId="218411D8" w14:textId="77777777" w:rsidR="000D099C" w:rsidRDefault="000D099C" w:rsidP="0010521C">
      <w:pPr>
        <w:ind w:left="0" w:firstLine="0"/>
        <w:jc w:val="center"/>
        <w:rPr>
          <w:rFonts w:cstheme="minorHAnsi"/>
          <w:u w:val="single"/>
        </w:rPr>
      </w:pPr>
    </w:p>
    <w:p w14:paraId="23FB39EB" w14:textId="4628AB5E" w:rsidR="005C0568" w:rsidRPr="005C0568" w:rsidRDefault="002B39E5" w:rsidP="00B12592">
      <w:pPr>
        <w:ind w:left="0" w:firstLine="0"/>
        <w:rPr>
          <w:rFonts w:cstheme="minorHAnsi"/>
          <w:u w:val="single"/>
        </w:rPr>
      </w:pPr>
      <w:r>
        <w:rPr>
          <w:rFonts w:cstheme="minorHAnsi"/>
          <w:u w:val="single"/>
        </w:rPr>
        <w:t xml:space="preserve">1. </w:t>
      </w:r>
      <w:r w:rsidR="005C0568" w:rsidRPr="005C0568">
        <w:rPr>
          <w:rFonts w:cstheme="minorHAnsi"/>
          <w:u w:val="single"/>
        </w:rPr>
        <w:t>Background</w:t>
      </w:r>
    </w:p>
    <w:p w14:paraId="5ADF3FE5" w14:textId="77777777" w:rsidR="005C0568" w:rsidRDefault="005C0568" w:rsidP="00B12592">
      <w:pPr>
        <w:ind w:left="0" w:firstLine="0"/>
        <w:rPr>
          <w:rFonts w:cstheme="minorHAnsi"/>
        </w:rPr>
      </w:pPr>
    </w:p>
    <w:p w14:paraId="79595B1A" w14:textId="1267F672" w:rsidR="00B12592" w:rsidRPr="006822AC" w:rsidRDefault="006E3139" w:rsidP="00B12592">
      <w:pPr>
        <w:ind w:left="0" w:firstLine="0"/>
        <w:rPr>
          <w:rFonts w:cstheme="minorHAnsi"/>
        </w:rPr>
      </w:pPr>
      <w:r>
        <w:rPr>
          <w:rFonts w:cs="Calibri"/>
        </w:rPr>
        <w:t>T</w:t>
      </w:r>
      <w:r w:rsidR="00694C12">
        <w:rPr>
          <w:rFonts w:cs="Calibri"/>
        </w:rPr>
        <w:t>he Strategic Plan Working Group</w:t>
      </w:r>
      <w:r>
        <w:rPr>
          <w:rFonts w:cs="Calibri"/>
        </w:rPr>
        <w:t xml:space="preserve"> </w:t>
      </w:r>
      <w:r w:rsidR="00694C12">
        <w:rPr>
          <w:rFonts w:cs="Calibri"/>
        </w:rPr>
        <w:t xml:space="preserve">for </w:t>
      </w:r>
      <w:r w:rsidR="00727016">
        <w:rPr>
          <w:rFonts w:cs="Calibri"/>
        </w:rPr>
        <w:t xml:space="preserve">the </w:t>
      </w:r>
      <w:r w:rsidR="00694C12">
        <w:rPr>
          <w:rFonts w:cs="Calibri"/>
        </w:rPr>
        <w:t>review of SP4 recommended to S</w:t>
      </w:r>
      <w:r w:rsidR="00B12592" w:rsidRPr="002C37C8">
        <w:rPr>
          <w:rFonts w:cs="Calibri"/>
        </w:rPr>
        <w:t xml:space="preserve">tanding Committee </w:t>
      </w:r>
      <w:r w:rsidR="00694C12">
        <w:rPr>
          <w:rFonts w:cs="Calibri"/>
        </w:rPr>
        <w:t xml:space="preserve">(59) in June 2021, </w:t>
      </w:r>
      <w:r w:rsidR="00B12592">
        <w:rPr>
          <w:rFonts w:cs="Calibri"/>
        </w:rPr>
        <w:t xml:space="preserve">that a new </w:t>
      </w:r>
      <w:r w:rsidR="00B12592" w:rsidRPr="002C37C8">
        <w:rPr>
          <w:rFonts w:cs="Calibri"/>
        </w:rPr>
        <w:t>Working Group</w:t>
      </w:r>
      <w:r w:rsidR="00B12592">
        <w:rPr>
          <w:rFonts w:cs="Calibri"/>
        </w:rPr>
        <w:t xml:space="preserve"> be established </w:t>
      </w:r>
      <w:r w:rsidR="00B12592" w:rsidRPr="002C37C8">
        <w:rPr>
          <w:rFonts w:cs="Calibri"/>
        </w:rPr>
        <w:t xml:space="preserve">ahead of COP14, </w:t>
      </w:r>
      <w:r w:rsidR="00B12592">
        <w:rPr>
          <w:rFonts w:cs="Calibri"/>
        </w:rPr>
        <w:t xml:space="preserve">to </w:t>
      </w:r>
      <w:r w:rsidR="00B12592" w:rsidRPr="002C37C8">
        <w:rPr>
          <w:rFonts w:cs="Calibri"/>
        </w:rPr>
        <w:t>ensure there is sufficient time to develop</w:t>
      </w:r>
      <w:r w:rsidR="00B12592">
        <w:rPr>
          <w:rFonts w:cs="Calibri"/>
        </w:rPr>
        <w:t xml:space="preserve"> the</w:t>
      </w:r>
      <w:r w:rsidR="00B12592" w:rsidRPr="002C37C8">
        <w:rPr>
          <w:rFonts w:cs="Calibri"/>
        </w:rPr>
        <w:t xml:space="preserve"> new strategic plan</w:t>
      </w:r>
      <w:r w:rsidR="00B12592">
        <w:rPr>
          <w:rFonts w:cs="Calibri"/>
        </w:rPr>
        <w:t xml:space="preserve"> for adoption at COP15 in 2024.</w:t>
      </w:r>
      <w:r w:rsidR="00B12592">
        <w:rPr>
          <w:rStyle w:val="FootnoteReference"/>
          <w:rFonts w:cs="Calibri"/>
        </w:rPr>
        <w:footnoteReference w:id="1"/>
      </w:r>
      <w:r w:rsidR="00B12592" w:rsidRPr="002C37C8">
        <w:rPr>
          <w:rFonts w:cs="Calibri"/>
        </w:rPr>
        <w:t xml:space="preserve"> </w:t>
      </w:r>
      <w:r w:rsidR="00B12592">
        <w:rPr>
          <w:rFonts w:cs="Calibri"/>
        </w:rPr>
        <w:t xml:space="preserve">  St</w:t>
      </w:r>
      <w:r w:rsidR="00B12592" w:rsidRPr="006822AC">
        <w:rPr>
          <w:rFonts w:cstheme="minorHAnsi"/>
        </w:rPr>
        <w:t xml:space="preserve">anding Committee </w:t>
      </w:r>
      <w:r w:rsidR="00E9534C">
        <w:rPr>
          <w:rFonts w:cstheme="minorHAnsi"/>
        </w:rPr>
        <w:t>through D</w:t>
      </w:r>
      <w:r w:rsidR="00B12592" w:rsidRPr="006822AC">
        <w:rPr>
          <w:rFonts w:cstheme="minorHAnsi"/>
        </w:rPr>
        <w:t>ecision 59-20</w:t>
      </w:r>
      <w:r w:rsidR="00F81683">
        <w:rPr>
          <w:rFonts w:cstheme="minorHAnsi"/>
        </w:rPr>
        <w:t xml:space="preserve"> agreed</w:t>
      </w:r>
      <w:r w:rsidR="00B12592" w:rsidRPr="006822AC">
        <w:rPr>
          <w:rFonts w:cstheme="minorHAnsi"/>
        </w:rPr>
        <w:t xml:space="preserve">: </w:t>
      </w:r>
    </w:p>
    <w:p w14:paraId="7408F22C" w14:textId="1E1A1413" w:rsidR="00B12592" w:rsidRPr="006822AC" w:rsidRDefault="00727016" w:rsidP="00B12592">
      <w:pPr>
        <w:pStyle w:val="ListParagraph"/>
        <w:numPr>
          <w:ilvl w:val="0"/>
          <w:numId w:val="16"/>
        </w:numPr>
        <w:rPr>
          <w:rFonts w:cstheme="minorHAnsi"/>
        </w:rPr>
      </w:pPr>
      <w:r>
        <w:rPr>
          <w:rFonts w:cstheme="minorHAnsi"/>
        </w:rPr>
        <w:t>t</w:t>
      </w:r>
      <w:r w:rsidR="00F81683">
        <w:rPr>
          <w:rFonts w:cstheme="minorHAnsi"/>
        </w:rPr>
        <w:t xml:space="preserve">o </w:t>
      </w:r>
      <w:r w:rsidR="00B12592" w:rsidRPr="006822AC">
        <w:rPr>
          <w:rFonts w:cstheme="minorHAnsi"/>
        </w:rPr>
        <w:t>establish a new working group with membership from Contracting Parties, the STRP and International Organization Partners, to commence preparation of the Fifth Strategic Plan of the Ramsar Convention</w:t>
      </w:r>
      <w:r w:rsidR="00B12592">
        <w:rPr>
          <w:rFonts w:cstheme="minorHAnsi"/>
        </w:rPr>
        <w:t xml:space="preserve">; </w:t>
      </w:r>
      <w:r w:rsidR="00B12592" w:rsidRPr="006822AC">
        <w:rPr>
          <w:rFonts w:cstheme="minorHAnsi"/>
        </w:rPr>
        <w:t xml:space="preserve"> </w:t>
      </w:r>
    </w:p>
    <w:p w14:paraId="163F7A66" w14:textId="77777777" w:rsidR="00B12592" w:rsidRPr="006822AC" w:rsidRDefault="00B12592" w:rsidP="00B12592">
      <w:pPr>
        <w:pStyle w:val="ListParagraph"/>
        <w:numPr>
          <w:ilvl w:val="0"/>
          <w:numId w:val="16"/>
        </w:numPr>
        <w:rPr>
          <w:rFonts w:cstheme="minorHAnsi"/>
        </w:rPr>
      </w:pPr>
      <w:r w:rsidRPr="006822AC">
        <w:rPr>
          <w:rFonts w:cstheme="minorHAnsi"/>
        </w:rPr>
        <w:t>the terms of reference and work plan to be agreed intersessionally, and be designed to accommodate the key elements and any additional priority elements and modalities for the Fifth Strategic Plan that may be agreed at COP14</w:t>
      </w:r>
      <w:r>
        <w:rPr>
          <w:rFonts w:cstheme="minorHAnsi"/>
        </w:rPr>
        <w:t xml:space="preserve">; </w:t>
      </w:r>
      <w:r w:rsidRPr="006822AC">
        <w:rPr>
          <w:rFonts w:cstheme="minorHAnsi"/>
        </w:rPr>
        <w:t xml:space="preserve"> </w:t>
      </w:r>
    </w:p>
    <w:p w14:paraId="1C474AA3" w14:textId="77777777" w:rsidR="00B12592" w:rsidRPr="006822AC" w:rsidRDefault="00B12592" w:rsidP="00B12592">
      <w:pPr>
        <w:pStyle w:val="ListParagraph"/>
        <w:numPr>
          <w:ilvl w:val="0"/>
          <w:numId w:val="16"/>
        </w:numPr>
        <w:rPr>
          <w:rFonts w:cstheme="minorHAnsi"/>
        </w:rPr>
      </w:pPr>
      <w:r w:rsidRPr="006822AC">
        <w:rPr>
          <w:rFonts w:cstheme="minorHAnsi"/>
        </w:rPr>
        <w:t>Encourage the participation of members of the Working Group on the Review of the Fourth Strategic Plan in the new working group, for continuity purposes</w:t>
      </w:r>
    </w:p>
    <w:p w14:paraId="65CDA8BF" w14:textId="77777777" w:rsidR="00B12592" w:rsidRDefault="00B12592" w:rsidP="00EE2FAF"/>
    <w:p w14:paraId="17A04522" w14:textId="77777777" w:rsidR="00F81683" w:rsidRDefault="00EE2FAF" w:rsidP="00EE2FAF">
      <w:r>
        <w:t xml:space="preserve">In early 2022, the Secretariat issued a call for nominations of members for the new Working Group. </w:t>
      </w:r>
    </w:p>
    <w:p w14:paraId="558ECEB9" w14:textId="3464569D" w:rsidR="00EE2FAF" w:rsidRDefault="007C55DD" w:rsidP="00F81683">
      <w:pPr>
        <w:ind w:left="0" w:firstLine="1"/>
      </w:pPr>
      <w:r>
        <w:t>T</w:t>
      </w:r>
      <w:r w:rsidR="00EE2FAF">
        <w:t xml:space="preserve">he following Parties </w:t>
      </w:r>
      <w:r w:rsidR="00727016">
        <w:t xml:space="preserve">nominated </w:t>
      </w:r>
      <w:r w:rsidR="00EE2FAF">
        <w:t xml:space="preserve">to become members of the new Working Group to prepare SP5 during the period leading up to COP15: Algeria, Australia, Bahrain, Brazil, Canada, Chad, China, Finland, Kenya, Mauritius, Mexico, Nicaragua, Oman, Slovenia, South </w:t>
      </w:r>
      <w:r w:rsidR="00231611">
        <w:t>Africa,</w:t>
      </w:r>
      <w:r w:rsidR="00EE2FAF">
        <w:t xml:space="preserve"> and Tunisia, plus the International Water Management Institute and the Wildfowl and Wetlands Trust on behalf of the Convention’s International Organization Partners and an expert of the STRP.</w:t>
      </w:r>
    </w:p>
    <w:p w14:paraId="4D8D5456" w14:textId="5D7C1721" w:rsidR="00F81683" w:rsidRDefault="00F81683" w:rsidP="00F81683">
      <w:pPr>
        <w:ind w:left="0" w:firstLine="1"/>
      </w:pPr>
    </w:p>
    <w:p w14:paraId="1542C8B6" w14:textId="21540470" w:rsidR="005C0568" w:rsidRPr="005C0568" w:rsidRDefault="002B39E5" w:rsidP="005C0568">
      <w:pPr>
        <w:ind w:left="0" w:firstLine="1"/>
        <w:rPr>
          <w:u w:val="single"/>
        </w:rPr>
      </w:pPr>
      <w:r>
        <w:rPr>
          <w:u w:val="single"/>
        </w:rPr>
        <w:t xml:space="preserve">2. </w:t>
      </w:r>
      <w:r w:rsidR="000D099C">
        <w:rPr>
          <w:u w:val="single"/>
        </w:rPr>
        <w:t xml:space="preserve">Purpose </w:t>
      </w:r>
      <w:r w:rsidR="003C4C49" w:rsidRPr="005C0568">
        <w:rPr>
          <w:u w:val="single"/>
        </w:rPr>
        <w:t xml:space="preserve">of the SPWG for SP5 </w:t>
      </w:r>
    </w:p>
    <w:p w14:paraId="1F7F4CD7" w14:textId="6EA040D7" w:rsidR="005C0568" w:rsidRDefault="005C0568" w:rsidP="005C0568">
      <w:pPr>
        <w:ind w:left="0" w:firstLine="1"/>
      </w:pPr>
    </w:p>
    <w:p w14:paraId="61CD6C21" w14:textId="4513C84F" w:rsidR="00E63EEF" w:rsidRPr="003F4334" w:rsidRDefault="000D099C" w:rsidP="00454279">
      <w:pPr>
        <w:pStyle w:val="Default"/>
        <w:spacing w:line="276" w:lineRule="auto"/>
        <w:rPr>
          <w:sz w:val="22"/>
          <w:szCs w:val="22"/>
        </w:rPr>
      </w:pPr>
      <w:r w:rsidRPr="003F4334">
        <w:rPr>
          <w:sz w:val="22"/>
          <w:szCs w:val="22"/>
        </w:rPr>
        <w:t xml:space="preserve">The Strategic Plan Working Group </w:t>
      </w:r>
      <w:r w:rsidR="0009693B">
        <w:rPr>
          <w:sz w:val="22"/>
          <w:szCs w:val="22"/>
        </w:rPr>
        <w:t xml:space="preserve">for SP5 </w:t>
      </w:r>
      <w:r w:rsidR="00E63EEF" w:rsidRPr="003F4334">
        <w:rPr>
          <w:sz w:val="22"/>
          <w:szCs w:val="22"/>
        </w:rPr>
        <w:t xml:space="preserve">established by the Standing Committee </w:t>
      </w:r>
      <w:r w:rsidR="00BF7A1C">
        <w:rPr>
          <w:sz w:val="22"/>
          <w:szCs w:val="22"/>
        </w:rPr>
        <w:t>(Decision SC9-20</w:t>
      </w:r>
      <w:r w:rsidR="00341F2D">
        <w:rPr>
          <w:sz w:val="22"/>
          <w:szCs w:val="22"/>
        </w:rPr>
        <w:t xml:space="preserve">) </w:t>
      </w:r>
      <w:r w:rsidR="00E63EEF" w:rsidRPr="003F4334">
        <w:rPr>
          <w:sz w:val="22"/>
          <w:szCs w:val="22"/>
        </w:rPr>
        <w:t xml:space="preserve">is to: </w:t>
      </w:r>
    </w:p>
    <w:p w14:paraId="4CE0C4FC" w14:textId="65F1CFBC" w:rsidR="00E0405B" w:rsidRPr="003F4334" w:rsidRDefault="00E63EEF" w:rsidP="00E0405B">
      <w:pPr>
        <w:pStyle w:val="Default"/>
        <w:spacing w:line="276" w:lineRule="auto"/>
        <w:ind w:left="567"/>
        <w:rPr>
          <w:sz w:val="22"/>
          <w:szCs w:val="22"/>
        </w:rPr>
      </w:pPr>
      <w:r w:rsidRPr="003F4334">
        <w:rPr>
          <w:sz w:val="22"/>
          <w:szCs w:val="22"/>
        </w:rPr>
        <w:t xml:space="preserve">a) </w:t>
      </w:r>
      <w:r w:rsidR="00070ADD" w:rsidRPr="003F4334">
        <w:rPr>
          <w:sz w:val="22"/>
          <w:szCs w:val="22"/>
        </w:rPr>
        <w:t xml:space="preserve">develop </w:t>
      </w:r>
      <w:r w:rsidRPr="003F4334">
        <w:rPr>
          <w:sz w:val="22"/>
          <w:szCs w:val="22"/>
        </w:rPr>
        <w:t>for consideration at C</w:t>
      </w:r>
      <w:r w:rsidR="00070ADD" w:rsidRPr="003F4334">
        <w:rPr>
          <w:sz w:val="22"/>
          <w:szCs w:val="22"/>
        </w:rPr>
        <w:t>OP15</w:t>
      </w:r>
      <w:r w:rsidRPr="003F4334">
        <w:rPr>
          <w:sz w:val="22"/>
          <w:szCs w:val="22"/>
        </w:rPr>
        <w:t xml:space="preserve">, the </w:t>
      </w:r>
      <w:r w:rsidR="00070ADD" w:rsidRPr="003F4334">
        <w:rPr>
          <w:sz w:val="22"/>
          <w:szCs w:val="22"/>
        </w:rPr>
        <w:t xml:space="preserve">fifth </w:t>
      </w:r>
      <w:r w:rsidRPr="003F4334">
        <w:rPr>
          <w:sz w:val="22"/>
          <w:szCs w:val="22"/>
        </w:rPr>
        <w:t>Ramsar Strategic Plan 20</w:t>
      </w:r>
      <w:r w:rsidR="00070ADD" w:rsidRPr="003F4334">
        <w:rPr>
          <w:sz w:val="22"/>
          <w:szCs w:val="22"/>
        </w:rPr>
        <w:t>25</w:t>
      </w:r>
      <w:r w:rsidRPr="003F4334">
        <w:rPr>
          <w:sz w:val="22"/>
          <w:szCs w:val="22"/>
        </w:rPr>
        <w:t>-20</w:t>
      </w:r>
      <w:r w:rsidR="00070ADD" w:rsidRPr="003F4334">
        <w:rPr>
          <w:sz w:val="22"/>
          <w:szCs w:val="22"/>
        </w:rPr>
        <w:t>30</w:t>
      </w:r>
      <w:r w:rsidRPr="003F4334">
        <w:rPr>
          <w:sz w:val="22"/>
          <w:szCs w:val="22"/>
        </w:rPr>
        <w:t>, taking account of</w:t>
      </w:r>
      <w:r w:rsidR="00E0405B" w:rsidRPr="003F4334">
        <w:rPr>
          <w:sz w:val="22"/>
          <w:szCs w:val="22"/>
        </w:rPr>
        <w:t>:</w:t>
      </w:r>
    </w:p>
    <w:p w14:paraId="1FFB5174" w14:textId="3182BDA4" w:rsidR="00E63EEF" w:rsidRDefault="00070ADD" w:rsidP="005875C7">
      <w:pPr>
        <w:pStyle w:val="Default"/>
        <w:spacing w:line="276" w:lineRule="auto"/>
        <w:ind w:left="993"/>
        <w:rPr>
          <w:sz w:val="22"/>
          <w:szCs w:val="22"/>
        </w:rPr>
      </w:pPr>
      <w:r w:rsidRPr="004F26ED">
        <w:rPr>
          <w:sz w:val="22"/>
          <w:szCs w:val="22"/>
        </w:rPr>
        <w:t xml:space="preserve"> </w:t>
      </w:r>
      <w:r w:rsidR="00E63EEF" w:rsidRPr="004F26ED">
        <w:rPr>
          <w:sz w:val="22"/>
          <w:szCs w:val="22"/>
        </w:rPr>
        <w:t xml:space="preserve">i) </w:t>
      </w:r>
      <w:r w:rsidR="00A75387" w:rsidRPr="004F26ED">
        <w:rPr>
          <w:sz w:val="22"/>
          <w:szCs w:val="22"/>
        </w:rPr>
        <w:t>i</w:t>
      </w:r>
      <w:r w:rsidR="00E63EEF" w:rsidRPr="004F26ED">
        <w:rPr>
          <w:sz w:val="22"/>
          <w:szCs w:val="22"/>
        </w:rPr>
        <w:t>nput from Contracting Parties;</w:t>
      </w:r>
      <w:r w:rsidR="00D3723B" w:rsidRPr="004F26ED">
        <w:rPr>
          <w:sz w:val="22"/>
          <w:szCs w:val="22"/>
        </w:rPr>
        <w:t xml:space="preserve"> </w:t>
      </w:r>
      <w:r w:rsidR="00454279" w:rsidRPr="004F26ED">
        <w:rPr>
          <w:sz w:val="22"/>
          <w:szCs w:val="22"/>
        </w:rPr>
        <w:t>Convention bodies</w:t>
      </w:r>
      <w:r w:rsidR="00D3723B" w:rsidRPr="004F26ED">
        <w:rPr>
          <w:sz w:val="22"/>
          <w:szCs w:val="22"/>
        </w:rPr>
        <w:t xml:space="preserve">, </w:t>
      </w:r>
      <w:r w:rsidR="00454279" w:rsidRPr="004F26ED">
        <w:rPr>
          <w:sz w:val="22"/>
          <w:szCs w:val="22"/>
        </w:rPr>
        <w:t>working groups and IOPs</w:t>
      </w:r>
      <w:r w:rsidR="00A75387" w:rsidRPr="004F26ED">
        <w:rPr>
          <w:sz w:val="22"/>
          <w:szCs w:val="22"/>
        </w:rPr>
        <w:t xml:space="preserve">, </w:t>
      </w:r>
      <w:r w:rsidR="00454279" w:rsidRPr="004F26ED">
        <w:rPr>
          <w:sz w:val="22"/>
          <w:szCs w:val="22"/>
        </w:rPr>
        <w:t xml:space="preserve"> </w:t>
      </w:r>
    </w:p>
    <w:p w14:paraId="7FB215BD" w14:textId="4EC87178" w:rsidR="00341F2D" w:rsidRPr="004F26ED" w:rsidRDefault="00341F2D" w:rsidP="005875C7">
      <w:pPr>
        <w:pStyle w:val="Default"/>
        <w:spacing w:line="276" w:lineRule="auto"/>
        <w:ind w:left="993"/>
        <w:rPr>
          <w:sz w:val="22"/>
          <w:szCs w:val="22"/>
        </w:rPr>
      </w:pPr>
      <w:r>
        <w:rPr>
          <w:sz w:val="22"/>
          <w:szCs w:val="22"/>
        </w:rPr>
        <w:t>ii) the outcomes of the review of the fourth Strategic Plan</w:t>
      </w:r>
      <w:r w:rsidR="00727016">
        <w:rPr>
          <w:sz w:val="22"/>
          <w:szCs w:val="22"/>
        </w:rPr>
        <w:t>,</w:t>
      </w:r>
      <w:r>
        <w:rPr>
          <w:sz w:val="22"/>
          <w:szCs w:val="22"/>
        </w:rPr>
        <w:t xml:space="preserve">    </w:t>
      </w:r>
    </w:p>
    <w:p w14:paraId="1602F273" w14:textId="30B07634" w:rsidR="00A627BB" w:rsidRPr="004F26ED" w:rsidRDefault="00E63EEF" w:rsidP="005875C7">
      <w:pPr>
        <w:pStyle w:val="Default"/>
        <w:spacing w:line="276" w:lineRule="auto"/>
        <w:ind w:left="993"/>
        <w:rPr>
          <w:sz w:val="22"/>
          <w:szCs w:val="22"/>
        </w:rPr>
      </w:pPr>
      <w:r w:rsidRPr="004F26ED">
        <w:rPr>
          <w:sz w:val="22"/>
          <w:szCs w:val="22"/>
        </w:rPr>
        <w:t xml:space="preserve">ii) </w:t>
      </w:r>
      <w:r w:rsidR="00A627BB" w:rsidRPr="004F26ED">
        <w:rPr>
          <w:sz w:val="22"/>
          <w:szCs w:val="22"/>
        </w:rPr>
        <w:t xml:space="preserve">the basic elements for development of the plan </w:t>
      </w:r>
      <w:r w:rsidR="005875C7">
        <w:rPr>
          <w:sz w:val="22"/>
          <w:szCs w:val="22"/>
        </w:rPr>
        <w:t xml:space="preserve">[to be </w:t>
      </w:r>
      <w:r w:rsidR="00A627BB" w:rsidRPr="004F26ED">
        <w:rPr>
          <w:sz w:val="22"/>
          <w:szCs w:val="22"/>
        </w:rPr>
        <w:t>agreed at COP14</w:t>
      </w:r>
      <w:r w:rsidR="005875C7">
        <w:rPr>
          <w:sz w:val="22"/>
          <w:szCs w:val="22"/>
        </w:rPr>
        <w:t>]</w:t>
      </w:r>
      <w:r w:rsidR="00A627BB" w:rsidRPr="004F26ED">
        <w:rPr>
          <w:sz w:val="22"/>
          <w:szCs w:val="22"/>
        </w:rPr>
        <w:t xml:space="preserve">  </w:t>
      </w:r>
    </w:p>
    <w:p w14:paraId="3A92C15D" w14:textId="77777777" w:rsidR="004F26ED" w:rsidRPr="004F26ED" w:rsidRDefault="001F553C" w:rsidP="005875C7">
      <w:pPr>
        <w:pStyle w:val="Default"/>
        <w:spacing w:line="276" w:lineRule="auto"/>
        <w:ind w:left="1440"/>
        <w:rPr>
          <w:sz w:val="22"/>
          <w:szCs w:val="22"/>
        </w:rPr>
      </w:pPr>
      <w:r w:rsidRPr="004F26ED">
        <w:rPr>
          <w:sz w:val="22"/>
          <w:szCs w:val="22"/>
        </w:rPr>
        <w:t xml:space="preserve">[the Goals of the fourth Ramsar Strategic Plan be retained in the fifth Ramsar Strategic Plan, to maintain consistency and continuity in reporting, and that targets and actions be framed to deliver critical wetland contributions to meet global environmental challenges over the implementation period of the new Plan; </w:t>
      </w:r>
    </w:p>
    <w:p w14:paraId="2A01DDA7" w14:textId="77777777" w:rsidR="004F26ED" w:rsidRPr="004F26ED" w:rsidRDefault="001F553C" w:rsidP="005875C7">
      <w:pPr>
        <w:pStyle w:val="Default"/>
        <w:spacing w:line="276" w:lineRule="auto"/>
        <w:ind w:left="1440"/>
        <w:rPr>
          <w:sz w:val="22"/>
          <w:szCs w:val="22"/>
        </w:rPr>
      </w:pPr>
      <w:r w:rsidRPr="004F26ED">
        <w:rPr>
          <w:sz w:val="22"/>
          <w:szCs w:val="22"/>
        </w:rPr>
        <w:t xml:space="preserve">informed by the Special Edition of the Global Wetland Outlook, the Secretariat’s analysis of the national reports to COP14, as well as key elements external to the Convention, Sustainable Development Goals, Global Biodiversity Framework, the UN Decade of Restoration, and any relevant work of IPBES or the IPCC; </w:t>
      </w:r>
    </w:p>
    <w:p w14:paraId="53862BA2" w14:textId="4CB42603" w:rsidR="004F26ED" w:rsidRPr="004F26ED" w:rsidRDefault="005875C7" w:rsidP="005875C7">
      <w:pPr>
        <w:pStyle w:val="Default"/>
        <w:spacing w:line="276" w:lineRule="auto"/>
        <w:ind w:left="1440"/>
        <w:rPr>
          <w:sz w:val="22"/>
          <w:szCs w:val="22"/>
        </w:rPr>
      </w:pPr>
      <w:r>
        <w:rPr>
          <w:sz w:val="22"/>
          <w:szCs w:val="22"/>
        </w:rPr>
        <w:lastRenderedPageBreak/>
        <w:t xml:space="preserve">recognises </w:t>
      </w:r>
      <w:r w:rsidR="001F553C" w:rsidRPr="004F26ED">
        <w:rPr>
          <w:sz w:val="22"/>
          <w:szCs w:val="22"/>
        </w:rPr>
        <w:t xml:space="preserve">the critical role of young people, women, Indigenous and local communities, and the business sector in providing solutions to global environmental challenges by wetland conservation and management; </w:t>
      </w:r>
    </w:p>
    <w:p w14:paraId="2EE085F2" w14:textId="7C56E7EC" w:rsidR="001F553C" w:rsidRPr="004F26ED" w:rsidRDefault="001F553C" w:rsidP="002A6DB9">
      <w:pPr>
        <w:pStyle w:val="Default"/>
        <w:spacing w:line="276" w:lineRule="auto"/>
        <w:ind w:left="1440"/>
        <w:rPr>
          <w:sz w:val="22"/>
          <w:szCs w:val="22"/>
        </w:rPr>
      </w:pPr>
      <w:r w:rsidRPr="004F26ED">
        <w:rPr>
          <w:sz w:val="22"/>
          <w:szCs w:val="22"/>
        </w:rPr>
        <w:t>use</w:t>
      </w:r>
      <w:r w:rsidR="005875C7">
        <w:rPr>
          <w:sz w:val="22"/>
          <w:szCs w:val="22"/>
        </w:rPr>
        <w:t>s</w:t>
      </w:r>
      <w:r w:rsidRPr="004F26ED">
        <w:rPr>
          <w:sz w:val="22"/>
          <w:szCs w:val="22"/>
        </w:rPr>
        <w:t xml:space="preserve"> the thematic Annexes to the fourth Strategic Plan in the framing and development of the fifth Strategic Plan</w:t>
      </w:r>
      <w:r w:rsidR="004F26ED" w:rsidRPr="004F26ED">
        <w:rPr>
          <w:sz w:val="22"/>
          <w:szCs w:val="22"/>
        </w:rPr>
        <w:t>]</w:t>
      </w:r>
    </w:p>
    <w:p w14:paraId="0B4789E7" w14:textId="4A532A66" w:rsidR="00BC5B13" w:rsidRDefault="00454279" w:rsidP="00E0405B">
      <w:pPr>
        <w:spacing w:line="276" w:lineRule="auto"/>
        <w:ind w:left="567" w:firstLine="1"/>
      </w:pPr>
      <w:r>
        <w:t>b</w:t>
      </w:r>
      <w:r w:rsidR="00E63EEF">
        <w:t xml:space="preserve">) </w:t>
      </w:r>
      <w:r w:rsidR="000C6727">
        <w:t xml:space="preserve">develop </w:t>
      </w:r>
      <w:r w:rsidR="00C8062F">
        <w:t xml:space="preserve">a comprehensive </w:t>
      </w:r>
      <w:r w:rsidR="000C6727">
        <w:t>pr</w:t>
      </w:r>
      <w:r w:rsidR="001F553C">
        <w:t>o</w:t>
      </w:r>
      <w:r w:rsidR="000C6727">
        <w:t>gra</w:t>
      </w:r>
      <w:r w:rsidR="001F553C">
        <w:t xml:space="preserve">m </w:t>
      </w:r>
      <w:r w:rsidR="000C6727">
        <w:t>of consul</w:t>
      </w:r>
      <w:r w:rsidR="001F553C">
        <w:t>t</w:t>
      </w:r>
      <w:r w:rsidR="000C6727">
        <w:t xml:space="preserve">ation </w:t>
      </w:r>
      <w:r w:rsidR="008B4904">
        <w:t xml:space="preserve">and engagement </w:t>
      </w:r>
      <w:r w:rsidR="001F553C">
        <w:t xml:space="preserve">for SP5 </w:t>
      </w:r>
      <w:r w:rsidR="00FA7C56">
        <w:t xml:space="preserve">that is tailored to the needs of the Contracting Parties, Parties and their regions, </w:t>
      </w:r>
      <w:r w:rsidR="00C8062F">
        <w:t xml:space="preserve">and </w:t>
      </w:r>
      <w:r w:rsidR="00FA7C56">
        <w:t>other Convention bodies, IOPs and external stakeholders</w:t>
      </w:r>
      <w:r w:rsidR="008B4904">
        <w:t>;</w:t>
      </w:r>
      <w:r w:rsidR="00BC5B13">
        <w:t xml:space="preserve"> </w:t>
      </w:r>
    </w:p>
    <w:p w14:paraId="738E68CA" w14:textId="13D6BB08" w:rsidR="002B39E5" w:rsidRDefault="002B39E5" w:rsidP="00E0405B">
      <w:pPr>
        <w:spacing w:line="276" w:lineRule="auto"/>
        <w:ind w:left="567" w:firstLine="1"/>
      </w:pPr>
      <w:r>
        <w:t>c)</w:t>
      </w:r>
      <w:r w:rsidR="00C869B1">
        <w:t xml:space="preserve"> appoint facilitators to undertake </w:t>
      </w:r>
      <w:r w:rsidR="00E56948">
        <w:t xml:space="preserve">preparatory engagement prior to COP14 and </w:t>
      </w:r>
      <w:r w:rsidR="00514F7A">
        <w:t xml:space="preserve">facilitate a program of engagement with key stakeholders at COP14, </w:t>
      </w:r>
      <w:r w:rsidR="00E56948">
        <w:t xml:space="preserve">  </w:t>
      </w:r>
      <w:r w:rsidR="00C869B1">
        <w:t xml:space="preserve"> </w:t>
      </w:r>
    </w:p>
    <w:p w14:paraId="14E45A0A" w14:textId="42C7285B" w:rsidR="000D099C" w:rsidRDefault="002B39E5" w:rsidP="00E0405B">
      <w:pPr>
        <w:spacing w:line="276" w:lineRule="auto"/>
        <w:ind w:left="567" w:firstLine="1"/>
      </w:pPr>
      <w:r>
        <w:t>d</w:t>
      </w:r>
      <w:r w:rsidR="00BC5B13">
        <w:t xml:space="preserve">) </w:t>
      </w:r>
      <w:r w:rsidR="00E63EEF">
        <w:t>regularly report its progress to the Standing Committee</w:t>
      </w:r>
      <w:r w:rsidR="008B4904">
        <w:t>.</w:t>
      </w:r>
    </w:p>
    <w:p w14:paraId="5F757701" w14:textId="38634372" w:rsidR="00AA124C" w:rsidRDefault="00AA124C" w:rsidP="00E0405B">
      <w:pPr>
        <w:spacing w:line="276" w:lineRule="auto"/>
        <w:ind w:left="567" w:firstLine="1"/>
      </w:pPr>
    </w:p>
    <w:p w14:paraId="531F3D56" w14:textId="42FBF7F5" w:rsidR="00AA124C" w:rsidRDefault="00AA124C" w:rsidP="003F4334">
      <w:pPr>
        <w:spacing w:line="276" w:lineRule="auto"/>
        <w:ind w:left="0" w:firstLine="1"/>
      </w:pPr>
      <w:r>
        <w:t>The Secretariat</w:t>
      </w:r>
      <w:r w:rsidR="003F4334">
        <w:t>.</w:t>
      </w:r>
      <w:r>
        <w:t xml:space="preserve"> shall </w:t>
      </w:r>
      <w:r w:rsidR="00255A61">
        <w:t xml:space="preserve">under the guidance of the Working Group, </w:t>
      </w:r>
      <w:r w:rsidR="003F4334">
        <w:t xml:space="preserve">assist with </w:t>
      </w:r>
      <w:r>
        <w:t>contract</w:t>
      </w:r>
      <w:r w:rsidR="003F4334">
        <w:t>ing</w:t>
      </w:r>
      <w:r>
        <w:t xml:space="preserve"> appropriate consultant</w:t>
      </w:r>
      <w:r w:rsidR="003F4334">
        <w:t>/s</w:t>
      </w:r>
      <w:r w:rsidR="00255A61">
        <w:t xml:space="preserve"> to support </w:t>
      </w:r>
      <w:r w:rsidR="003F4334">
        <w:t>the</w:t>
      </w:r>
      <w:r>
        <w:t xml:space="preserve"> work </w:t>
      </w:r>
      <w:r w:rsidR="003F4334">
        <w:t xml:space="preserve">of the </w:t>
      </w:r>
      <w:r>
        <w:t>Strategic Plan Working Group.</w:t>
      </w:r>
    </w:p>
    <w:p w14:paraId="421ABF53" w14:textId="172A9B50" w:rsidR="000D099C" w:rsidRDefault="000D099C" w:rsidP="00E0405B">
      <w:pPr>
        <w:spacing w:line="276" w:lineRule="auto"/>
        <w:ind w:left="567" w:firstLine="1"/>
      </w:pPr>
    </w:p>
    <w:p w14:paraId="4966D703" w14:textId="204417ED" w:rsidR="00911428" w:rsidRDefault="001E7323" w:rsidP="00F50374">
      <w:pPr>
        <w:spacing w:after="160" w:line="259" w:lineRule="auto"/>
        <w:rPr>
          <w:rFonts w:cs="Calibri"/>
          <w:color w:val="000000" w:themeColor="text1"/>
          <w:u w:val="single"/>
        </w:rPr>
      </w:pPr>
      <w:r>
        <w:rPr>
          <w:rFonts w:cs="Calibri"/>
          <w:color w:val="000000" w:themeColor="text1"/>
          <w:u w:val="single"/>
        </w:rPr>
        <w:t xml:space="preserve">3. </w:t>
      </w:r>
      <w:r w:rsidR="00F50374" w:rsidRPr="00334825">
        <w:rPr>
          <w:rFonts w:cs="Calibri"/>
          <w:color w:val="000000" w:themeColor="text1"/>
          <w:u w:val="single"/>
        </w:rPr>
        <w:t>Composition and regional representation</w:t>
      </w:r>
    </w:p>
    <w:p w14:paraId="60EC19F1" w14:textId="7AADAED1" w:rsidR="00911428" w:rsidRPr="0062047E" w:rsidRDefault="00D44E62" w:rsidP="00D507E4">
      <w:pPr>
        <w:pStyle w:val="ListParagraph"/>
        <w:numPr>
          <w:ilvl w:val="0"/>
          <w:numId w:val="16"/>
        </w:numPr>
        <w:spacing w:after="160" w:line="259" w:lineRule="auto"/>
        <w:rPr>
          <w:rFonts w:cs="Calibri"/>
          <w:color w:val="000000" w:themeColor="text1"/>
        </w:rPr>
      </w:pPr>
      <w:r w:rsidRPr="00D44E62">
        <w:rPr>
          <w:rFonts w:cs="Calibri"/>
          <w:color w:val="000000" w:themeColor="text1"/>
        </w:rPr>
        <w:t xml:space="preserve">The </w:t>
      </w:r>
      <w:r w:rsidRPr="00D44E62">
        <w:rPr>
          <w:rFonts w:cstheme="minorHAnsi"/>
        </w:rPr>
        <w:t xml:space="preserve">working group will have membership from Contracting Parties, </w:t>
      </w:r>
      <w:r w:rsidR="0062047E">
        <w:rPr>
          <w:rFonts w:cstheme="minorHAnsi"/>
        </w:rPr>
        <w:t xml:space="preserve">with all regions </w:t>
      </w:r>
      <w:r w:rsidR="0062047E" w:rsidRPr="0062047E">
        <w:rPr>
          <w:rFonts w:cstheme="minorHAnsi"/>
        </w:rPr>
        <w:t xml:space="preserve">represented, </w:t>
      </w:r>
      <w:r w:rsidRPr="0062047E">
        <w:rPr>
          <w:rFonts w:cstheme="minorHAnsi"/>
        </w:rPr>
        <w:t>the STRP and International Organization Partners</w:t>
      </w:r>
      <w:r w:rsidR="00FF3047">
        <w:rPr>
          <w:rFonts w:cstheme="minorHAnsi"/>
        </w:rPr>
        <w:t xml:space="preserve">; </w:t>
      </w:r>
      <w:r w:rsidRPr="0062047E">
        <w:rPr>
          <w:rFonts w:cstheme="minorHAnsi"/>
        </w:rPr>
        <w:t xml:space="preserve"> </w:t>
      </w:r>
    </w:p>
    <w:p w14:paraId="2C3E1E7C" w14:textId="7E033ECD" w:rsidR="00FF3047" w:rsidRDefault="0062047E" w:rsidP="00A969F4">
      <w:pPr>
        <w:pStyle w:val="ListParagraph"/>
        <w:numPr>
          <w:ilvl w:val="0"/>
          <w:numId w:val="17"/>
        </w:numPr>
        <w:spacing w:after="160" w:line="259" w:lineRule="auto"/>
        <w:rPr>
          <w:rFonts w:cs="Calibri"/>
          <w:color w:val="000000" w:themeColor="text1"/>
        </w:rPr>
      </w:pPr>
      <w:r w:rsidRPr="0062047E">
        <w:rPr>
          <w:rFonts w:cs="Calibri"/>
          <w:color w:val="000000" w:themeColor="text1"/>
        </w:rPr>
        <w:t xml:space="preserve">The </w:t>
      </w:r>
      <w:r w:rsidR="00FF3047">
        <w:rPr>
          <w:rFonts w:cs="Calibri"/>
          <w:color w:val="000000" w:themeColor="text1"/>
        </w:rPr>
        <w:t xml:space="preserve">Chairs of the </w:t>
      </w:r>
      <w:r w:rsidR="00A969F4" w:rsidRPr="0062047E">
        <w:rPr>
          <w:rFonts w:cs="Calibri"/>
          <w:color w:val="000000" w:themeColor="text1"/>
        </w:rPr>
        <w:t>STRP and CEPA Outreach Panel</w:t>
      </w:r>
      <w:r w:rsidRPr="0062047E">
        <w:rPr>
          <w:rFonts w:cs="Calibri"/>
          <w:color w:val="000000" w:themeColor="text1"/>
        </w:rPr>
        <w:t xml:space="preserve"> will</w:t>
      </w:r>
      <w:r w:rsidR="00FF3047">
        <w:rPr>
          <w:rFonts w:cs="Calibri"/>
          <w:color w:val="000000" w:themeColor="text1"/>
        </w:rPr>
        <w:t xml:space="preserve"> be </w:t>
      </w:r>
      <w:r w:rsidRPr="0062047E">
        <w:rPr>
          <w:rFonts w:cs="Calibri"/>
          <w:color w:val="000000" w:themeColor="text1"/>
        </w:rPr>
        <w:t>member</w:t>
      </w:r>
      <w:r w:rsidR="00FF3047">
        <w:rPr>
          <w:rFonts w:cs="Calibri"/>
          <w:color w:val="000000" w:themeColor="text1"/>
        </w:rPr>
        <w:t xml:space="preserve">s of </w:t>
      </w:r>
      <w:r w:rsidRPr="0062047E">
        <w:rPr>
          <w:rFonts w:cs="Calibri"/>
          <w:color w:val="000000" w:themeColor="text1"/>
        </w:rPr>
        <w:t>the Working Group,</w:t>
      </w:r>
      <w:r w:rsidR="00FF3047">
        <w:rPr>
          <w:rFonts w:cs="Calibri"/>
          <w:color w:val="000000" w:themeColor="text1"/>
        </w:rPr>
        <w:t xml:space="preserve"> and may appoint other Panel members to </w:t>
      </w:r>
      <w:r w:rsidR="001B4990">
        <w:rPr>
          <w:rFonts w:cs="Calibri"/>
          <w:color w:val="000000" w:themeColor="text1"/>
        </w:rPr>
        <w:t xml:space="preserve">liaise and </w:t>
      </w:r>
      <w:r w:rsidR="00FF3047">
        <w:rPr>
          <w:rFonts w:cs="Calibri"/>
          <w:color w:val="000000" w:themeColor="text1"/>
        </w:rPr>
        <w:t>p</w:t>
      </w:r>
      <w:r w:rsidR="001B4990">
        <w:rPr>
          <w:rFonts w:cs="Calibri"/>
          <w:color w:val="000000" w:themeColor="text1"/>
        </w:rPr>
        <w:t xml:space="preserve">rovide </w:t>
      </w:r>
      <w:r w:rsidR="00FF3047">
        <w:rPr>
          <w:rFonts w:cs="Calibri"/>
          <w:color w:val="000000" w:themeColor="text1"/>
        </w:rPr>
        <w:t>their expertise to the Group;</w:t>
      </w:r>
    </w:p>
    <w:p w14:paraId="7336C6DE" w14:textId="49555EF6" w:rsidR="00A969F4" w:rsidRPr="0062047E" w:rsidRDefault="00FF3047" w:rsidP="00A969F4">
      <w:pPr>
        <w:pStyle w:val="ListParagraph"/>
        <w:numPr>
          <w:ilvl w:val="0"/>
          <w:numId w:val="17"/>
        </w:numPr>
        <w:spacing w:after="160" w:line="259" w:lineRule="auto"/>
        <w:rPr>
          <w:rFonts w:cs="Calibri"/>
          <w:color w:val="000000" w:themeColor="text1"/>
        </w:rPr>
      </w:pPr>
      <w:r>
        <w:rPr>
          <w:rFonts w:cs="Calibri"/>
          <w:color w:val="000000" w:themeColor="text1"/>
        </w:rPr>
        <w:t xml:space="preserve"> </w:t>
      </w:r>
      <w:r w:rsidR="00294C66">
        <w:rPr>
          <w:rFonts w:cs="Calibri"/>
          <w:color w:val="000000" w:themeColor="text1"/>
        </w:rPr>
        <w:t xml:space="preserve">The Working Group may invite </w:t>
      </w:r>
      <w:r w:rsidR="00462140">
        <w:rPr>
          <w:rFonts w:cs="Calibri"/>
          <w:color w:val="000000" w:themeColor="text1"/>
        </w:rPr>
        <w:t xml:space="preserve">external parties </w:t>
      </w:r>
      <w:r w:rsidR="00294C66">
        <w:rPr>
          <w:rFonts w:cs="Calibri"/>
          <w:color w:val="000000" w:themeColor="text1"/>
        </w:rPr>
        <w:t xml:space="preserve">to observe and attend meetings as required. </w:t>
      </w:r>
    </w:p>
    <w:p w14:paraId="569776E2" w14:textId="77777777" w:rsidR="009836A9" w:rsidRDefault="00F50374" w:rsidP="00F50374">
      <w:pPr>
        <w:spacing w:after="160" w:line="259" w:lineRule="auto"/>
        <w:rPr>
          <w:rFonts w:cs="Calibri"/>
          <w:color w:val="000000" w:themeColor="text1"/>
          <w:u w:val="single"/>
        </w:rPr>
      </w:pPr>
      <w:r w:rsidRPr="00334825">
        <w:rPr>
          <w:rFonts w:cs="Calibri"/>
          <w:color w:val="000000" w:themeColor="text1"/>
          <w:u w:val="single"/>
        </w:rPr>
        <w:t xml:space="preserve"> </w:t>
      </w:r>
    </w:p>
    <w:p w14:paraId="1AA13745" w14:textId="48148BE5" w:rsidR="00F50374" w:rsidRPr="00334825" w:rsidRDefault="007C31C6" w:rsidP="00F50374">
      <w:pPr>
        <w:spacing w:after="160" w:line="259" w:lineRule="auto"/>
        <w:rPr>
          <w:rFonts w:asciiTheme="minorHAnsi" w:eastAsiaTheme="minorEastAsia" w:hAnsiTheme="minorHAnsi" w:cstheme="minorBidi"/>
          <w:color w:val="000000" w:themeColor="text1"/>
        </w:rPr>
      </w:pPr>
      <w:r>
        <w:rPr>
          <w:rFonts w:cs="Calibri"/>
          <w:color w:val="000000" w:themeColor="text1"/>
          <w:u w:val="single"/>
        </w:rPr>
        <w:t xml:space="preserve">4. </w:t>
      </w:r>
      <w:r w:rsidR="00F50374" w:rsidRPr="00334825">
        <w:rPr>
          <w:rFonts w:cs="Calibri"/>
          <w:color w:val="000000" w:themeColor="text1"/>
          <w:u w:val="single"/>
        </w:rPr>
        <w:t>Structure</w:t>
      </w:r>
      <w:r w:rsidR="00874389">
        <w:rPr>
          <w:rFonts w:cs="Calibri"/>
          <w:color w:val="000000" w:themeColor="text1"/>
          <w:u w:val="single"/>
        </w:rPr>
        <w:t>,</w:t>
      </w:r>
      <w:r w:rsidR="00F50374" w:rsidRPr="00334825">
        <w:rPr>
          <w:rFonts w:cs="Calibri"/>
          <w:color w:val="000000" w:themeColor="text1"/>
          <w:u w:val="single"/>
        </w:rPr>
        <w:t xml:space="preserve"> </w:t>
      </w:r>
      <w:r w:rsidR="00231611">
        <w:rPr>
          <w:rFonts w:cs="Calibri"/>
          <w:color w:val="000000" w:themeColor="text1"/>
          <w:u w:val="single"/>
        </w:rPr>
        <w:t>meetings,</w:t>
      </w:r>
      <w:r w:rsidR="003B0C6B">
        <w:rPr>
          <w:rFonts w:cs="Calibri"/>
          <w:color w:val="000000" w:themeColor="text1"/>
          <w:u w:val="single"/>
        </w:rPr>
        <w:t xml:space="preserve"> </w:t>
      </w:r>
      <w:r w:rsidR="00F50374" w:rsidRPr="00334825">
        <w:rPr>
          <w:rFonts w:cs="Calibri"/>
          <w:color w:val="000000" w:themeColor="text1"/>
          <w:u w:val="single"/>
        </w:rPr>
        <w:t xml:space="preserve">and </w:t>
      </w:r>
      <w:r>
        <w:rPr>
          <w:rFonts w:cs="Calibri"/>
          <w:color w:val="000000" w:themeColor="text1"/>
          <w:u w:val="single"/>
        </w:rPr>
        <w:t>S</w:t>
      </w:r>
      <w:r w:rsidR="00F50374" w:rsidRPr="00334825">
        <w:rPr>
          <w:rFonts w:cs="Calibri"/>
          <w:color w:val="000000" w:themeColor="text1"/>
          <w:u w:val="single"/>
        </w:rPr>
        <w:t xml:space="preserve">ecretariat support </w:t>
      </w:r>
    </w:p>
    <w:p w14:paraId="35D2052B" w14:textId="3A80931F" w:rsidR="00F50374" w:rsidRPr="00CC57D3" w:rsidRDefault="00F50374" w:rsidP="00F50374">
      <w:pPr>
        <w:pStyle w:val="ListParagraph"/>
        <w:numPr>
          <w:ilvl w:val="0"/>
          <w:numId w:val="12"/>
        </w:numPr>
        <w:spacing w:after="160" w:line="259" w:lineRule="auto"/>
      </w:pPr>
      <w:r w:rsidRPr="00334825">
        <w:t>The Working Group will appoint among itself a Chair, and a Vice Chair and any other roles that it deems necessary</w:t>
      </w:r>
      <w:r w:rsidRPr="00334825">
        <w:rPr>
          <w:rFonts w:cs="Calibri"/>
          <w:color w:val="000000" w:themeColor="text1"/>
        </w:rPr>
        <w:t>;</w:t>
      </w:r>
    </w:p>
    <w:p w14:paraId="00F34BCF" w14:textId="5FA9488F" w:rsidR="001F3ADD" w:rsidRPr="006A18FE" w:rsidRDefault="009E0E51" w:rsidP="007926B5">
      <w:pPr>
        <w:pStyle w:val="ListParagraph"/>
        <w:numPr>
          <w:ilvl w:val="0"/>
          <w:numId w:val="12"/>
        </w:numPr>
        <w:spacing w:after="160" w:line="259" w:lineRule="auto"/>
        <w:rPr>
          <w:rFonts w:asciiTheme="minorHAnsi" w:eastAsiaTheme="minorEastAsia" w:hAnsiTheme="minorHAnsi" w:cstheme="minorBidi"/>
          <w:color w:val="000000" w:themeColor="text1"/>
        </w:rPr>
      </w:pPr>
      <w:r w:rsidRPr="00334825">
        <w:t xml:space="preserve">The Working Group </w:t>
      </w:r>
      <w:r>
        <w:t>will hold m</w:t>
      </w:r>
      <w:r w:rsidR="001F3ADD" w:rsidRPr="00056F95">
        <w:rPr>
          <w:rFonts w:cs="Calibri"/>
          <w:color w:val="000000" w:themeColor="text1"/>
        </w:rPr>
        <w:t>eetings</w:t>
      </w:r>
      <w:r w:rsidR="00356A3D">
        <w:rPr>
          <w:rFonts w:cs="Calibri"/>
          <w:color w:val="000000" w:themeColor="text1"/>
        </w:rPr>
        <w:t xml:space="preserve"> </w:t>
      </w:r>
      <w:r w:rsidR="00572DBA">
        <w:rPr>
          <w:rFonts w:cs="Calibri"/>
          <w:color w:val="000000" w:themeColor="text1"/>
        </w:rPr>
        <w:t xml:space="preserve">using means that </w:t>
      </w:r>
      <w:r w:rsidR="00E8578A">
        <w:rPr>
          <w:rFonts w:cs="Calibri"/>
          <w:color w:val="000000" w:themeColor="text1"/>
        </w:rPr>
        <w:t xml:space="preserve">allow </w:t>
      </w:r>
      <w:r w:rsidR="00572DBA" w:rsidRPr="00056F95">
        <w:rPr>
          <w:rFonts w:cs="Calibri"/>
          <w:color w:val="000000" w:themeColor="text1"/>
        </w:rPr>
        <w:t>the full and active participation of all members and</w:t>
      </w:r>
      <w:r w:rsidR="00E8578A">
        <w:rPr>
          <w:rFonts w:cs="Calibri"/>
          <w:color w:val="000000" w:themeColor="text1"/>
        </w:rPr>
        <w:t>/or</w:t>
      </w:r>
      <w:r w:rsidR="00572DBA" w:rsidRPr="00056F95">
        <w:rPr>
          <w:rFonts w:cs="Calibri"/>
          <w:color w:val="000000" w:themeColor="text1"/>
        </w:rPr>
        <w:t xml:space="preserve"> regions </w:t>
      </w:r>
      <w:r w:rsidR="00B97D38">
        <w:rPr>
          <w:rFonts w:cs="Calibri"/>
          <w:color w:val="000000" w:themeColor="text1"/>
        </w:rPr>
        <w:t>i</w:t>
      </w:r>
      <w:r w:rsidR="00572DBA" w:rsidRPr="00056F95">
        <w:rPr>
          <w:rFonts w:cs="Calibri"/>
          <w:color w:val="000000" w:themeColor="text1"/>
        </w:rPr>
        <w:t>n the group.</w:t>
      </w:r>
      <w:r w:rsidR="00572DBA">
        <w:rPr>
          <w:rFonts w:cs="Calibri"/>
          <w:color w:val="000000" w:themeColor="text1"/>
        </w:rPr>
        <w:t xml:space="preserve"> These</w:t>
      </w:r>
      <w:r w:rsidR="00E8578A">
        <w:rPr>
          <w:rFonts w:cs="Calibri"/>
          <w:color w:val="000000" w:themeColor="text1"/>
        </w:rPr>
        <w:t xml:space="preserve"> may</w:t>
      </w:r>
      <w:r w:rsidR="00572DBA">
        <w:rPr>
          <w:rFonts w:cs="Calibri"/>
          <w:color w:val="000000" w:themeColor="text1"/>
        </w:rPr>
        <w:t xml:space="preserve"> </w:t>
      </w:r>
      <w:r w:rsidR="001F3ADD" w:rsidRPr="00056F95">
        <w:rPr>
          <w:rFonts w:cs="Calibri"/>
          <w:color w:val="000000" w:themeColor="text1"/>
        </w:rPr>
        <w:t>be face-to-face (</w:t>
      </w:r>
      <w:r w:rsidR="00E8578A">
        <w:rPr>
          <w:rFonts w:cs="Calibri"/>
          <w:color w:val="000000" w:themeColor="text1"/>
        </w:rPr>
        <w:t>i</w:t>
      </w:r>
      <w:r w:rsidR="00572DBA">
        <w:rPr>
          <w:rFonts w:cs="Calibri"/>
          <w:color w:val="000000" w:themeColor="text1"/>
        </w:rPr>
        <w:t xml:space="preserve">n association with other Ramsar </w:t>
      </w:r>
      <w:r w:rsidR="001F3ADD" w:rsidRPr="00056F95">
        <w:rPr>
          <w:rFonts w:cs="Calibri"/>
          <w:color w:val="000000" w:themeColor="text1"/>
        </w:rPr>
        <w:t xml:space="preserve">meetings) hybrid </w:t>
      </w:r>
      <w:r w:rsidR="00413D1A">
        <w:rPr>
          <w:rFonts w:cs="Calibri"/>
          <w:color w:val="000000" w:themeColor="text1"/>
        </w:rPr>
        <w:t xml:space="preserve">or </w:t>
      </w:r>
      <w:r w:rsidR="001F3ADD" w:rsidRPr="00056F95">
        <w:rPr>
          <w:rFonts w:cs="Calibri"/>
          <w:color w:val="000000" w:themeColor="text1"/>
        </w:rPr>
        <w:t>virtual</w:t>
      </w:r>
      <w:r w:rsidR="006A18FE">
        <w:rPr>
          <w:rFonts w:cs="Calibri"/>
          <w:color w:val="000000" w:themeColor="text1"/>
        </w:rPr>
        <w:t>,</w:t>
      </w:r>
      <w:r w:rsidR="001F3ADD" w:rsidRPr="00056F95">
        <w:rPr>
          <w:rFonts w:cs="Calibri"/>
          <w:color w:val="000000" w:themeColor="text1"/>
        </w:rPr>
        <w:t xml:space="preserve"> </w:t>
      </w:r>
      <w:r w:rsidR="00B97D38">
        <w:rPr>
          <w:rFonts w:cs="Calibri"/>
          <w:color w:val="000000" w:themeColor="text1"/>
        </w:rPr>
        <w:t xml:space="preserve">the latter </w:t>
      </w:r>
      <w:r w:rsidR="001F3ADD" w:rsidRPr="00056F95">
        <w:rPr>
          <w:rFonts w:cs="Calibri"/>
          <w:color w:val="000000" w:themeColor="text1"/>
        </w:rPr>
        <w:t xml:space="preserve">using </w:t>
      </w:r>
      <w:r w:rsidR="00DB7BA4" w:rsidRPr="00056F95">
        <w:rPr>
          <w:rFonts w:cs="Calibri"/>
          <w:color w:val="000000" w:themeColor="text1"/>
        </w:rPr>
        <w:t>an agreed platform</w:t>
      </w:r>
      <w:r w:rsidR="00572DBA">
        <w:rPr>
          <w:rFonts w:cs="Calibri"/>
          <w:color w:val="000000" w:themeColor="text1"/>
        </w:rPr>
        <w:t xml:space="preserve"> to which all members have </w:t>
      </w:r>
      <w:r w:rsidR="00A738DE">
        <w:rPr>
          <w:rFonts w:cs="Calibri"/>
          <w:color w:val="000000" w:themeColor="text1"/>
        </w:rPr>
        <w:t>access,</w:t>
      </w:r>
      <w:r w:rsidR="001E7323">
        <w:rPr>
          <w:rFonts w:cs="Calibri"/>
          <w:color w:val="000000" w:themeColor="text1"/>
        </w:rPr>
        <w:t xml:space="preserve"> and which provides simultaneous translation</w:t>
      </w:r>
      <w:r w:rsidR="00B97D38">
        <w:rPr>
          <w:rFonts w:cs="Calibri"/>
          <w:color w:val="000000" w:themeColor="text1"/>
        </w:rPr>
        <w:t>;</w:t>
      </w:r>
      <w:r w:rsidR="00DB7BA4" w:rsidRPr="00056F95">
        <w:rPr>
          <w:rFonts w:cs="Calibri"/>
          <w:color w:val="000000" w:themeColor="text1"/>
        </w:rPr>
        <w:t xml:space="preserve"> </w:t>
      </w:r>
    </w:p>
    <w:p w14:paraId="3E394519" w14:textId="5BC008E3" w:rsidR="006A18FE" w:rsidRPr="00F37314" w:rsidRDefault="006A18FE" w:rsidP="007926B5">
      <w:pPr>
        <w:pStyle w:val="ListParagraph"/>
        <w:numPr>
          <w:ilvl w:val="0"/>
          <w:numId w:val="12"/>
        </w:numPr>
        <w:spacing w:after="160" w:line="259" w:lineRule="auto"/>
        <w:rPr>
          <w:rFonts w:asciiTheme="minorHAnsi" w:eastAsiaTheme="minorEastAsia" w:hAnsiTheme="minorHAnsi" w:cstheme="minorBidi"/>
          <w:color w:val="000000" w:themeColor="text1"/>
        </w:rPr>
      </w:pPr>
      <w:r w:rsidRPr="1004361F">
        <w:rPr>
          <w:rFonts w:cs="Calibri"/>
          <w:color w:val="000000" w:themeColor="text1"/>
        </w:rPr>
        <w:t xml:space="preserve">The </w:t>
      </w:r>
      <w:r w:rsidR="009E0E51">
        <w:rPr>
          <w:rFonts w:cs="Calibri"/>
          <w:color w:val="000000" w:themeColor="text1"/>
        </w:rPr>
        <w:t xml:space="preserve">Working </w:t>
      </w:r>
      <w:r w:rsidR="00356A3D">
        <w:rPr>
          <w:rFonts w:cs="Calibri"/>
          <w:color w:val="000000" w:themeColor="text1"/>
        </w:rPr>
        <w:t>G</w:t>
      </w:r>
      <w:r w:rsidRPr="1004361F">
        <w:rPr>
          <w:rFonts w:cs="Calibri"/>
          <w:color w:val="000000" w:themeColor="text1"/>
        </w:rPr>
        <w:t>roup will take decisions by consensus</w:t>
      </w:r>
      <w:r w:rsidR="00B97D38">
        <w:rPr>
          <w:rFonts w:cs="Calibri"/>
          <w:color w:val="000000" w:themeColor="text1"/>
        </w:rPr>
        <w:t xml:space="preserve">; </w:t>
      </w:r>
    </w:p>
    <w:p w14:paraId="3C9E1803" w14:textId="375CCB66" w:rsidR="00F37314" w:rsidRDefault="00F37314" w:rsidP="00F37314">
      <w:pPr>
        <w:pStyle w:val="ListParagraph"/>
        <w:numPr>
          <w:ilvl w:val="0"/>
          <w:numId w:val="12"/>
        </w:numPr>
        <w:spacing w:after="160" w:line="259" w:lineRule="auto"/>
        <w:rPr>
          <w:rFonts w:asciiTheme="minorHAnsi" w:eastAsiaTheme="minorEastAsia" w:hAnsiTheme="minorHAnsi" w:cstheme="minorBidi"/>
          <w:color w:val="000000" w:themeColor="text1"/>
        </w:rPr>
      </w:pPr>
      <w:r>
        <w:t xml:space="preserve">The </w:t>
      </w:r>
      <w:r w:rsidRPr="00334825">
        <w:t>Chair and Vice Chair</w:t>
      </w:r>
      <w:r>
        <w:t xml:space="preserve"> will liaise and work </w:t>
      </w:r>
      <w:r w:rsidR="00E8578A">
        <w:t xml:space="preserve">closely </w:t>
      </w:r>
      <w:r>
        <w:t xml:space="preserve">with </w:t>
      </w:r>
      <w:r w:rsidRPr="1004361F">
        <w:rPr>
          <w:rFonts w:cs="Calibri"/>
          <w:color w:val="000000" w:themeColor="text1"/>
        </w:rPr>
        <w:t xml:space="preserve">other bodies of the Convention </w:t>
      </w:r>
      <w:r w:rsidR="00413D1A">
        <w:rPr>
          <w:rFonts w:cs="Calibri"/>
          <w:color w:val="000000" w:themeColor="text1"/>
        </w:rPr>
        <w:t xml:space="preserve">and </w:t>
      </w:r>
      <w:r w:rsidRPr="1004361F">
        <w:rPr>
          <w:rFonts w:cs="Calibri"/>
          <w:color w:val="000000" w:themeColor="text1"/>
        </w:rPr>
        <w:t xml:space="preserve"> relevant working groups </w:t>
      </w:r>
      <w:r w:rsidR="00413D1A">
        <w:rPr>
          <w:rFonts w:cs="Calibri"/>
          <w:color w:val="000000" w:themeColor="text1"/>
        </w:rPr>
        <w:t>and/</w:t>
      </w:r>
      <w:r w:rsidRPr="1004361F">
        <w:rPr>
          <w:rFonts w:cs="Calibri"/>
          <w:color w:val="000000" w:themeColor="text1"/>
        </w:rPr>
        <w:t>or external parties</w:t>
      </w:r>
      <w:r>
        <w:rPr>
          <w:rFonts w:cs="Calibri"/>
          <w:color w:val="000000" w:themeColor="text1"/>
        </w:rPr>
        <w:t xml:space="preserve"> as necessary </w:t>
      </w:r>
      <w:r w:rsidR="00E8578A">
        <w:rPr>
          <w:rFonts w:cs="Calibri"/>
          <w:color w:val="000000" w:themeColor="text1"/>
        </w:rPr>
        <w:t xml:space="preserve">for development of </w:t>
      </w:r>
      <w:r>
        <w:rPr>
          <w:rFonts w:cs="Calibri"/>
          <w:color w:val="000000" w:themeColor="text1"/>
        </w:rPr>
        <w:t xml:space="preserve">SP5; </w:t>
      </w:r>
      <w:r w:rsidRPr="1004361F">
        <w:rPr>
          <w:rFonts w:cs="Calibri"/>
          <w:color w:val="000000" w:themeColor="text1"/>
        </w:rPr>
        <w:t xml:space="preserve"> </w:t>
      </w:r>
    </w:p>
    <w:p w14:paraId="5827748E" w14:textId="6E4D04D6" w:rsidR="00F50374" w:rsidRPr="00334825" w:rsidRDefault="00F50374" w:rsidP="00F50374">
      <w:pPr>
        <w:pStyle w:val="ListParagraph"/>
        <w:numPr>
          <w:ilvl w:val="0"/>
          <w:numId w:val="12"/>
        </w:numPr>
        <w:spacing w:after="160" w:line="259" w:lineRule="auto"/>
      </w:pPr>
      <w:r w:rsidRPr="00334825">
        <w:t>The Secretariat will provide secretariat services for the Working Group</w:t>
      </w:r>
      <w:r w:rsidR="001433A4">
        <w:t xml:space="preserve"> (</w:t>
      </w:r>
      <w:r w:rsidR="0001415E">
        <w:t>meeting invites and minutes</w:t>
      </w:r>
      <w:r w:rsidR="001433A4">
        <w:t>)</w:t>
      </w:r>
      <w:r w:rsidRPr="00334825">
        <w:t xml:space="preserve"> and act as a point of contact within the Secretariat. </w:t>
      </w:r>
    </w:p>
    <w:p w14:paraId="571E4CF7" w14:textId="77777777" w:rsidR="00F50374" w:rsidRDefault="00F50374" w:rsidP="00F50374">
      <w:pPr>
        <w:rPr>
          <w:u w:val="single"/>
        </w:rPr>
      </w:pPr>
    </w:p>
    <w:p w14:paraId="3396026D" w14:textId="6D1B5356" w:rsidR="00E15A94" w:rsidRPr="00E15A94" w:rsidRDefault="007C31C6" w:rsidP="009E378D">
      <w:pPr>
        <w:spacing w:after="160" w:line="259" w:lineRule="auto"/>
        <w:ind w:left="0" w:firstLine="1"/>
        <w:rPr>
          <w:u w:val="single"/>
        </w:rPr>
      </w:pPr>
      <w:r>
        <w:rPr>
          <w:u w:val="single"/>
        </w:rPr>
        <w:t xml:space="preserve">5. </w:t>
      </w:r>
      <w:r w:rsidR="005861EE">
        <w:rPr>
          <w:u w:val="single"/>
        </w:rPr>
        <w:t>W</w:t>
      </w:r>
      <w:r w:rsidR="00E15A94" w:rsidRPr="00E15A94">
        <w:rPr>
          <w:u w:val="single"/>
        </w:rPr>
        <w:t xml:space="preserve">ork plan to COP14 </w:t>
      </w:r>
    </w:p>
    <w:p w14:paraId="454BA185" w14:textId="1F66D716" w:rsidR="00E15A94" w:rsidRPr="00334825" w:rsidRDefault="004822C5" w:rsidP="00207CD6">
      <w:pPr>
        <w:spacing w:after="160" w:line="276" w:lineRule="auto"/>
        <w:ind w:left="0" w:firstLine="0"/>
      </w:pPr>
      <w:r>
        <w:t>COP 14 will bring together</w:t>
      </w:r>
      <w:r w:rsidR="00380BD4">
        <w:t xml:space="preserve"> Contracting Parties, their Focal Points and IOP’s</w:t>
      </w:r>
      <w:r>
        <w:t xml:space="preserve">, </w:t>
      </w:r>
      <w:r w:rsidR="00E15A94" w:rsidRPr="00A544D0">
        <w:t>present</w:t>
      </w:r>
      <w:r>
        <w:t>ing</w:t>
      </w:r>
      <w:r w:rsidR="00E15A94" w:rsidRPr="00A544D0">
        <w:t xml:space="preserve"> a</w:t>
      </w:r>
      <w:r w:rsidR="005861EE">
        <w:t>n excellent o</w:t>
      </w:r>
      <w:r w:rsidR="00E15A94" w:rsidRPr="00A544D0">
        <w:t xml:space="preserve">pportunity to </w:t>
      </w:r>
      <w:r w:rsidR="000D5D99">
        <w:t xml:space="preserve">commence </w:t>
      </w:r>
      <w:r w:rsidR="00E15A94">
        <w:t>consultation</w:t>
      </w:r>
      <w:r w:rsidR="000D5D99">
        <w:t>s</w:t>
      </w:r>
      <w:r w:rsidR="00E15A94">
        <w:t xml:space="preserve"> on </w:t>
      </w:r>
      <w:r>
        <w:t xml:space="preserve">Ramsar </w:t>
      </w:r>
      <w:r w:rsidR="00E15A94">
        <w:t>SP5</w:t>
      </w:r>
      <w:r>
        <w:t xml:space="preserve">, </w:t>
      </w:r>
      <w:r w:rsidR="000D5D99">
        <w:t xml:space="preserve">bring Parties up-to-date with the latest international policy developments (CBD, UNFCCC, Stockholm +50 etc) </w:t>
      </w:r>
      <w:r w:rsidR="003B069F">
        <w:t xml:space="preserve">and </w:t>
      </w:r>
      <w:r w:rsidR="005861EE">
        <w:t xml:space="preserve">focus their </w:t>
      </w:r>
      <w:r w:rsidR="00E15A94">
        <w:t xml:space="preserve">thinking </w:t>
      </w:r>
      <w:r w:rsidR="005861EE">
        <w:t xml:space="preserve">on the </w:t>
      </w:r>
      <w:r w:rsidR="000D5D99">
        <w:t xml:space="preserve">new Ramsar Strategic Plan </w:t>
      </w:r>
      <w:r w:rsidR="00713DFF">
        <w:t xml:space="preserve">(SP5) </w:t>
      </w:r>
      <w:r w:rsidR="000D5D99">
        <w:t>for this critical period to 2030.</w:t>
      </w:r>
      <w:r w:rsidR="00E15A94">
        <w:t xml:space="preserve"> </w:t>
      </w:r>
    </w:p>
    <w:p w14:paraId="79B4FF05" w14:textId="391725BF" w:rsidR="00BE29DC" w:rsidRPr="009E378D" w:rsidRDefault="00F50374" w:rsidP="009E378D">
      <w:pPr>
        <w:spacing w:after="160" w:line="259" w:lineRule="auto"/>
        <w:ind w:left="0" w:firstLine="1"/>
      </w:pPr>
      <w:r w:rsidRPr="00334825">
        <w:t xml:space="preserve">The priority tasks of the Working Group is to: </w:t>
      </w:r>
    </w:p>
    <w:p w14:paraId="667051BF" w14:textId="3C744B93" w:rsidR="00D6264D" w:rsidRDefault="009C6112" w:rsidP="005D6BA4">
      <w:pPr>
        <w:pStyle w:val="ListParagraph"/>
        <w:numPr>
          <w:ilvl w:val="0"/>
          <w:numId w:val="14"/>
        </w:numPr>
        <w:spacing w:after="160" w:line="259" w:lineRule="auto"/>
      </w:pPr>
      <w:r>
        <w:lastRenderedPageBreak/>
        <w:t>Develop the project scope to e</w:t>
      </w:r>
      <w:r w:rsidR="00D6264D">
        <w:t xml:space="preserve">ngage </w:t>
      </w:r>
      <w:r w:rsidR="00D6264D">
        <w:rPr>
          <w:rFonts w:cs="Calibri"/>
          <w:color w:val="000000" w:themeColor="text1"/>
        </w:rPr>
        <w:t xml:space="preserve">a </w:t>
      </w:r>
      <w:r w:rsidR="00D6264D" w:rsidRPr="00A333EC">
        <w:rPr>
          <w:rFonts w:cs="Calibri"/>
          <w:color w:val="000000" w:themeColor="text1"/>
        </w:rPr>
        <w:t>consultant</w:t>
      </w:r>
      <w:r w:rsidR="00D6264D">
        <w:rPr>
          <w:rFonts w:cs="Calibri"/>
          <w:color w:val="000000" w:themeColor="text1"/>
        </w:rPr>
        <w:t>/s</w:t>
      </w:r>
      <w:r w:rsidR="00D6264D" w:rsidRPr="00A333EC">
        <w:rPr>
          <w:rFonts w:cs="Calibri"/>
          <w:color w:val="000000" w:themeColor="text1"/>
        </w:rPr>
        <w:t xml:space="preserve"> with </w:t>
      </w:r>
      <w:r w:rsidR="00AB1B64">
        <w:rPr>
          <w:rFonts w:cs="Calibri"/>
          <w:color w:val="000000" w:themeColor="text1"/>
        </w:rPr>
        <w:t xml:space="preserve">a working knowledge of the Convention </w:t>
      </w:r>
      <w:r w:rsidR="00D6264D" w:rsidRPr="00A333EC">
        <w:rPr>
          <w:rFonts w:cs="Calibri"/>
          <w:color w:val="000000" w:themeColor="text1"/>
        </w:rPr>
        <w:t xml:space="preserve">and </w:t>
      </w:r>
      <w:r w:rsidR="00D6264D">
        <w:rPr>
          <w:rFonts w:cs="Calibri"/>
          <w:color w:val="000000" w:themeColor="text1"/>
        </w:rPr>
        <w:t>demonstrated c</w:t>
      </w:r>
      <w:r w:rsidR="00D6264D" w:rsidRPr="00A333EC">
        <w:rPr>
          <w:rFonts w:cs="Calibri"/>
          <w:color w:val="000000" w:themeColor="text1"/>
        </w:rPr>
        <w:t>ommunication and facilitation expertise</w:t>
      </w:r>
      <w:r w:rsidR="0072466E">
        <w:rPr>
          <w:rFonts w:cs="Calibri"/>
          <w:color w:val="000000" w:themeColor="text1"/>
        </w:rPr>
        <w:t xml:space="preserve"> to lead the consultation on SP5;</w:t>
      </w:r>
      <w:r w:rsidR="00D6264D">
        <w:rPr>
          <w:rFonts w:cs="Calibri"/>
          <w:color w:val="000000" w:themeColor="text1"/>
        </w:rPr>
        <w:t xml:space="preserve"> </w:t>
      </w:r>
    </w:p>
    <w:p w14:paraId="2120E27D" w14:textId="13255800" w:rsidR="00A333EC" w:rsidRPr="00A333EC" w:rsidRDefault="00D6264D" w:rsidP="005D6BA4">
      <w:pPr>
        <w:pStyle w:val="ListParagraph"/>
        <w:numPr>
          <w:ilvl w:val="0"/>
          <w:numId w:val="14"/>
        </w:numPr>
        <w:spacing w:after="160" w:line="259" w:lineRule="auto"/>
      </w:pPr>
      <w:r>
        <w:t xml:space="preserve">Design </w:t>
      </w:r>
      <w:r w:rsidR="004024EF" w:rsidRPr="00334825">
        <w:t xml:space="preserve">a </w:t>
      </w:r>
      <w:r w:rsidR="002B7918">
        <w:t>program</w:t>
      </w:r>
      <w:r w:rsidR="00D27F8E">
        <w:t xml:space="preserve"> of consultation </w:t>
      </w:r>
      <w:r>
        <w:t xml:space="preserve">and engagement </w:t>
      </w:r>
      <w:r w:rsidR="00AC2380">
        <w:t xml:space="preserve">on SP5 </w:t>
      </w:r>
      <w:r w:rsidR="004024EF" w:rsidRPr="00334825">
        <w:t xml:space="preserve">at the </w:t>
      </w:r>
      <w:r w:rsidR="009A293C">
        <w:t>14</w:t>
      </w:r>
      <w:r w:rsidR="009A293C" w:rsidRPr="009A293C">
        <w:rPr>
          <w:vertAlign w:val="superscript"/>
        </w:rPr>
        <w:t>th</w:t>
      </w:r>
      <w:r w:rsidR="009A293C">
        <w:t xml:space="preserve"> </w:t>
      </w:r>
      <w:r w:rsidR="004024EF" w:rsidRPr="00334825">
        <w:t xml:space="preserve">Conference of the Contracting Parties, </w:t>
      </w:r>
      <w:r w:rsidR="007A43D7">
        <w:t xml:space="preserve">working closely with </w:t>
      </w:r>
      <w:r w:rsidR="00906481">
        <w:t>Subgroup on COP14</w:t>
      </w:r>
      <w:r w:rsidR="007A43D7">
        <w:t xml:space="preserve"> and the</w:t>
      </w:r>
      <w:r w:rsidR="007A43D7" w:rsidRPr="00334825">
        <w:t xml:space="preserve"> host country</w:t>
      </w:r>
      <w:r w:rsidR="007A43D7">
        <w:t>;</w:t>
      </w:r>
    </w:p>
    <w:p w14:paraId="5E71921C" w14:textId="3E0564B5" w:rsidR="00291B62" w:rsidRPr="00334825" w:rsidRDefault="00AB1B64" w:rsidP="00291B62">
      <w:pPr>
        <w:pStyle w:val="ListParagraph"/>
        <w:numPr>
          <w:ilvl w:val="0"/>
          <w:numId w:val="14"/>
        </w:numPr>
      </w:pPr>
      <w:r>
        <w:rPr>
          <w:rFonts w:cs="Calibri"/>
          <w:color w:val="000000" w:themeColor="text1"/>
        </w:rPr>
        <w:t>D</w:t>
      </w:r>
      <w:r w:rsidR="00F50374" w:rsidRPr="00334825">
        <w:rPr>
          <w:rFonts w:cs="Calibri"/>
          <w:color w:val="000000" w:themeColor="text1"/>
        </w:rPr>
        <w:t>e</w:t>
      </w:r>
      <w:r w:rsidR="00F50374" w:rsidRPr="00334825">
        <w:t>velop a work plan</w:t>
      </w:r>
      <w:r w:rsidR="000F3697">
        <w:t xml:space="preserve"> and schedule</w:t>
      </w:r>
      <w:r w:rsidR="00F50374" w:rsidRPr="00334825">
        <w:t xml:space="preserve"> </w:t>
      </w:r>
      <w:r w:rsidR="00291B62">
        <w:t>for the preparation of the SP</w:t>
      </w:r>
      <w:r w:rsidR="00FE7687">
        <w:t xml:space="preserve">5 </w:t>
      </w:r>
      <w:r w:rsidR="000F3697">
        <w:t xml:space="preserve">for COP15 </w:t>
      </w:r>
      <w:r w:rsidR="00FE7687">
        <w:t xml:space="preserve">that can </w:t>
      </w:r>
      <w:r w:rsidR="004024EF">
        <w:t xml:space="preserve">take </w:t>
      </w:r>
      <w:r w:rsidR="00231611">
        <w:t>effect once</w:t>
      </w:r>
      <w:r w:rsidR="00291B62">
        <w:t xml:space="preserve"> the </w:t>
      </w:r>
      <w:r w:rsidR="004024EF">
        <w:t>basic e</w:t>
      </w:r>
      <w:r w:rsidR="00291B62">
        <w:t>lem</w:t>
      </w:r>
      <w:r w:rsidR="004024EF">
        <w:t>e</w:t>
      </w:r>
      <w:r w:rsidR="00291B62">
        <w:t>nt</w:t>
      </w:r>
      <w:r w:rsidR="004024EF">
        <w:t>s</w:t>
      </w:r>
      <w:r w:rsidR="00291B62">
        <w:t xml:space="preserve"> </w:t>
      </w:r>
      <w:r>
        <w:t xml:space="preserve">for development of the plan </w:t>
      </w:r>
      <w:r w:rsidR="00291B62">
        <w:t>are agreed at COP14</w:t>
      </w:r>
      <w:r w:rsidR="0072466E">
        <w:t>.</w:t>
      </w:r>
      <w:r w:rsidR="00291B62">
        <w:t xml:space="preserve"> </w:t>
      </w:r>
    </w:p>
    <w:p w14:paraId="45C2D7C8" w14:textId="5314AB19" w:rsidR="005C70A2" w:rsidRDefault="005C70A2">
      <w:pPr>
        <w:rPr>
          <w:lang w:val="en-US"/>
        </w:rPr>
      </w:pPr>
    </w:p>
    <w:p w14:paraId="76FC20B1" w14:textId="75970062" w:rsidR="003C767F" w:rsidRDefault="00F91DD6" w:rsidP="003C767F">
      <w:pPr>
        <w:ind w:left="0" w:firstLine="0"/>
        <w:rPr>
          <w:rFonts w:cs="Calibri"/>
          <w:u w:val="single"/>
        </w:rPr>
      </w:pPr>
      <w:r>
        <w:rPr>
          <w:rFonts w:cs="Calibri"/>
          <w:u w:val="single"/>
        </w:rPr>
        <w:t xml:space="preserve">6. </w:t>
      </w:r>
      <w:r w:rsidR="003C767F" w:rsidRPr="00E15A94">
        <w:rPr>
          <w:rFonts w:cs="Calibri"/>
          <w:u w:val="single"/>
        </w:rPr>
        <w:t xml:space="preserve">Project Budget </w:t>
      </w:r>
    </w:p>
    <w:p w14:paraId="4451477E" w14:textId="24F86EA8" w:rsidR="003C767F" w:rsidRDefault="003C767F" w:rsidP="003C767F">
      <w:pPr>
        <w:spacing w:line="276" w:lineRule="auto"/>
        <w:ind w:left="0" w:firstLine="0"/>
        <w:rPr>
          <w:rFonts w:cstheme="minorHAnsi"/>
        </w:rPr>
      </w:pPr>
      <w:r>
        <w:rPr>
          <w:rFonts w:cstheme="minorHAnsi"/>
        </w:rPr>
        <w:t xml:space="preserve">To support the process to develop SP5, unspent funds from the SP4 budget (18K CHF) have been redirected to SP5. </w:t>
      </w:r>
      <w:r>
        <w:rPr>
          <w:rFonts w:cs="Calibri"/>
        </w:rPr>
        <w:t>St</w:t>
      </w:r>
      <w:r w:rsidRPr="006822AC">
        <w:rPr>
          <w:rFonts w:cstheme="minorHAnsi"/>
        </w:rPr>
        <w:t xml:space="preserve">anding Committee </w:t>
      </w:r>
      <w:r>
        <w:rPr>
          <w:rFonts w:cstheme="minorHAnsi"/>
        </w:rPr>
        <w:t>through D</w:t>
      </w:r>
      <w:r w:rsidRPr="006822AC">
        <w:rPr>
          <w:rFonts w:cstheme="minorHAnsi"/>
        </w:rPr>
        <w:t xml:space="preserve">ecision </w:t>
      </w:r>
      <w:r w:rsidR="004700BE">
        <w:rPr>
          <w:rFonts w:cstheme="minorHAnsi"/>
        </w:rPr>
        <w:t>SC</w:t>
      </w:r>
      <w:r w:rsidRPr="006822AC">
        <w:rPr>
          <w:rFonts w:cstheme="minorHAnsi"/>
        </w:rPr>
        <w:t>59-</w:t>
      </w:r>
      <w:r w:rsidR="004700BE">
        <w:rPr>
          <w:rFonts w:cstheme="minorHAnsi"/>
        </w:rPr>
        <w:t>32</w:t>
      </w:r>
      <w:r w:rsidR="002675D1">
        <w:rPr>
          <w:rFonts w:cstheme="minorHAnsi"/>
        </w:rPr>
        <w:t>,</w:t>
      </w:r>
      <w:r>
        <w:rPr>
          <w:rFonts w:cstheme="minorHAnsi"/>
        </w:rPr>
        <w:t xml:space="preserve"> allocated a further 90K CHF to support development of SP5, </w:t>
      </w:r>
      <w:r w:rsidR="00713DFF">
        <w:t xml:space="preserve">in accordance with Decision SC59-20 by the Standing Committee to establish a new working group. </w:t>
      </w:r>
    </w:p>
    <w:p w14:paraId="5AF4CE53" w14:textId="77777777" w:rsidR="003C767F" w:rsidRPr="000C29B9" w:rsidRDefault="003C767F">
      <w:pPr>
        <w:rPr>
          <w:lang w:val="en-US"/>
        </w:rPr>
      </w:pPr>
    </w:p>
    <w:sectPr w:rsidR="003C767F" w:rsidRPr="000C29B9" w:rsidSect="003736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3B675" w14:textId="77777777" w:rsidR="0049088B" w:rsidRDefault="0049088B" w:rsidP="00A544D0">
      <w:r>
        <w:separator/>
      </w:r>
    </w:p>
  </w:endnote>
  <w:endnote w:type="continuationSeparator" w:id="0">
    <w:p w14:paraId="546D9867" w14:textId="77777777" w:rsidR="0049088B" w:rsidRDefault="0049088B" w:rsidP="00A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3914" w14:textId="54DAC472" w:rsidR="009836A9" w:rsidRDefault="003736C7" w:rsidP="003736C7">
    <w:pPr>
      <w:pStyle w:val="Footer"/>
      <w:ind w:left="0" w:firstLine="0"/>
    </w:pPr>
    <w:r w:rsidRPr="003736C7">
      <w:t>SC59/2022 Com.1</w:t>
    </w:r>
    <w:r>
      <w:tab/>
    </w:r>
    <w:r>
      <w:tab/>
    </w:r>
    <w:r>
      <w:fldChar w:fldCharType="begin"/>
    </w:r>
    <w:r>
      <w:instrText xml:space="preserve"> PAGE   \* MERGEFORMAT </w:instrText>
    </w:r>
    <w:r>
      <w:fldChar w:fldCharType="separate"/>
    </w:r>
    <w:r w:rsidR="00B27328">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1CD0F" w14:textId="77777777" w:rsidR="0049088B" w:rsidRDefault="0049088B" w:rsidP="00A544D0">
      <w:r>
        <w:separator/>
      </w:r>
    </w:p>
  </w:footnote>
  <w:footnote w:type="continuationSeparator" w:id="0">
    <w:p w14:paraId="100768BB" w14:textId="77777777" w:rsidR="0049088B" w:rsidRDefault="0049088B" w:rsidP="00A544D0">
      <w:r>
        <w:continuationSeparator/>
      </w:r>
    </w:p>
  </w:footnote>
  <w:footnote w:id="1">
    <w:p w14:paraId="76070FCD" w14:textId="77777777" w:rsidR="00B12592" w:rsidRDefault="00B12592" w:rsidP="00B12592">
      <w:pPr>
        <w:ind w:left="0" w:firstLine="0"/>
        <w:rPr>
          <w:rFonts w:cs="Calibri"/>
        </w:rPr>
      </w:pPr>
      <w:r>
        <w:rPr>
          <w:rStyle w:val="FootnoteReference"/>
        </w:rPr>
        <w:footnoteRef/>
      </w:r>
      <w:r>
        <w:t xml:space="preserve"> </w:t>
      </w:r>
      <w:r w:rsidRPr="00B928CE">
        <w:rPr>
          <w:rFonts w:cs="Calibri"/>
        </w:rPr>
        <w:t>Legal advice obtained by the Secretariat confirm</w:t>
      </w:r>
      <w:r>
        <w:rPr>
          <w:rFonts w:cs="Calibri"/>
        </w:rPr>
        <w:t>ed</w:t>
      </w:r>
      <w:r w:rsidRPr="00B928CE">
        <w:rPr>
          <w:rFonts w:cs="Calibri"/>
        </w:rPr>
        <w:t xml:space="preserve"> the Standing Committee ha</w:t>
      </w:r>
      <w:r>
        <w:rPr>
          <w:rFonts w:cs="Calibri"/>
        </w:rPr>
        <w:t>s</w:t>
      </w:r>
      <w:r w:rsidRPr="00B928CE">
        <w:rPr>
          <w:rFonts w:cs="Calibri"/>
        </w:rPr>
        <w:t xml:space="preserve"> the authority to  establish Working Groups.</w:t>
      </w:r>
    </w:p>
    <w:p w14:paraId="07F61B58" w14:textId="77777777" w:rsidR="00B12592" w:rsidRPr="00A544D0" w:rsidRDefault="00B12592" w:rsidP="00B12592">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A1"/>
    <w:multiLevelType w:val="hybridMultilevel"/>
    <w:tmpl w:val="AE44ED54"/>
    <w:lvl w:ilvl="0" w:tplc="3114209C">
      <w:start w:val="1"/>
      <w:numFmt w:val="bullet"/>
      <w:lvlText w:val="•"/>
      <w:lvlJc w:val="left"/>
      <w:pPr>
        <w:tabs>
          <w:tab w:val="num" w:pos="720"/>
        </w:tabs>
        <w:ind w:left="720" w:hanging="360"/>
      </w:pPr>
      <w:rPr>
        <w:rFonts w:ascii="Times New Roman" w:hAnsi="Times New Roman" w:hint="default"/>
      </w:rPr>
    </w:lvl>
    <w:lvl w:ilvl="1" w:tplc="6A1E8DAE" w:tentative="1">
      <w:start w:val="1"/>
      <w:numFmt w:val="bullet"/>
      <w:lvlText w:val="•"/>
      <w:lvlJc w:val="left"/>
      <w:pPr>
        <w:tabs>
          <w:tab w:val="num" w:pos="1440"/>
        </w:tabs>
        <w:ind w:left="1440" w:hanging="360"/>
      </w:pPr>
      <w:rPr>
        <w:rFonts w:ascii="Times New Roman" w:hAnsi="Times New Roman" w:hint="default"/>
      </w:rPr>
    </w:lvl>
    <w:lvl w:ilvl="2" w:tplc="D29A11C2" w:tentative="1">
      <w:start w:val="1"/>
      <w:numFmt w:val="bullet"/>
      <w:lvlText w:val="•"/>
      <w:lvlJc w:val="left"/>
      <w:pPr>
        <w:tabs>
          <w:tab w:val="num" w:pos="2160"/>
        </w:tabs>
        <w:ind w:left="2160" w:hanging="360"/>
      </w:pPr>
      <w:rPr>
        <w:rFonts w:ascii="Times New Roman" w:hAnsi="Times New Roman" w:hint="default"/>
      </w:rPr>
    </w:lvl>
    <w:lvl w:ilvl="3" w:tplc="7DB62D46" w:tentative="1">
      <w:start w:val="1"/>
      <w:numFmt w:val="bullet"/>
      <w:lvlText w:val="•"/>
      <w:lvlJc w:val="left"/>
      <w:pPr>
        <w:tabs>
          <w:tab w:val="num" w:pos="2880"/>
        </w:tabs>
        <w:ind w:left="2880" w:hanging="360"/>
      </w:pPr>
      <w:rPr>
        <w:rFonts w:ascii="Times New Roman" w:hAnsi="Times New Roman" w:hint="default"/>
      </w:rPr>
    </w:lvl>
    <w:lvl w:ilvl="4" w:tplc="27D44456" w:tentative="1">
      <w:start w:val="1"/>
      <w:numFmt w:val="bullet"/>
      <w:lvlText w:val="•"/>
      <w:lvlJc w:val="left"/>
      <w:pPr>
        <w:tabs>
          <w:tab w:val="num" w:pos="3600"/>
        </w:tabs>
        <w:ind w:left="3600" w:hanging="360"/>
      </w:pPr>
      <w:rPr>
        <w:rFonts w:ascii="Times New Roman" w:hAnsi="Times New Roman" w:hint="default"/>
      </w:rPr>
    </w:lvl>
    <w:lvl w:ilvl="5" w:tplc="27E6F952" w:tentative="1">
      <w:start w:val="1"/>
      <w:numFmt w:val="bullet"/>
      <w:lvlText w:val="•"/>
      <w:lvlJc w:val="left"/>
      <w:pPr>
        <w:tabs>
          <w:tab w:val="num" w:pos="4320"/>
        </w:tabs>
        <w:ind w:left="4320" w:hanging="360"/>
      </w:pPr>
      <w:rPr>
        <w:rFonts w:ascii="Times New Roman" w:hAnsi="Times New Roman" w:hint="default"/>
      </w:rPr>
    </w:lvl>
    <w:lvl w:ilvl="6" w:tplc="674A239C" w:tentative="1">
      <w:start w:val="1"/>
      <w:numFmt w:val="bullet"/>
      <w:lvlText w:val="•"/>
      <w:lvlJc w:val="left"/>
      <w:pPr>
        <w:tabs>
          <w:tab w:val="num" w:pos="5040"/>
        </w:tabs>
        <w:ind w:left="5040" w:hanging="360"/>
      </w:pPr>
      <w:rPr>
        <w:rFonts w:ascii="Times New Roman" w:hAnsi="Times New Roman" w:hint="default"/>
      </w:rPr>
    </w:lvl>
    <w:lvl w:ilvl="7" w:tplc="8C787866" w:tentative="1">
      <w:start w:val="1"/>
      <w:numFmt w:val="bullet"/>
      <w:lvlText w:val="•"/>
      <w:lvlJc w:val="left"/>
      <w:pPr>
        <w:tabs>
          <w:tab w:val="num" w:pos="5760"/>
        </w:tabs>
        <w:ind w:left="5760" w:hanging="360"/>
      </w:pPr>
      <w:rPr>
        <w:rFonts w:ascii="Times New Roman" w:hAnsi="Times New Roman" w:hint="default"/>
      </w:rPr>
    </w:lvl>
    <w:lvl w:ilvl="8" w:tplc="752224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6043F0"/>
    <w:multiLevelType w:val="hybridMultilevel"/>
    <w:tmpl w:val="3C96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566A4"/>
    <w:multiLevelType w:val="hybridMultilevel"/>
    <w:tmpl w:val="F1529E08"/>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4" w15:restartNumberingAfterBreak="0">
    <w:nsid w:val="13F5423C"/>
    <w:multiLevelType w:val="hybridMultilevel"/>
    <w:tmpl w:val="EB142172"/>
    <w:lvl w:ilvl="0" w:tplc="EF38F78A">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F047C"/>
    <w:multiLevelType w:val="hybridMultilevel"/>
    <w:tmpl w:val="8F14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E2299"/>
    <w:multiLevelType w:val="hybridMultilevel"/>
    <w:tmpl w:val="1B0E6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11630"/>
    <w:multiLevelType w:val="hybridMultilevel"/>
    <w:tmpl w:val="BBC05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B5135B"/>
    <w:multiLevelType w:val="hybridMultilevel"/>
    <w:tmpl w:val="5FA81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4B04B4"/>
    <w:multiLevelType w:val="hybridMultilevel"/>
    <w:tmpl w:val="2186812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942C16"/>
    <w:multiLevelType w:val="hybridMultilevel"/>
    <w:tmpl w:val="17B0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DE54AF"/>
    <w:multiLevelType w:val="hybridMultilevel"/>
    <w:tmpl w:val="37D8B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57F89"/>
    <w:multiLevelType w:val="hybridMultilevel"/>
    <w:tmpl w:val="EE582B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45C96784"/>
    <w:multiLevelType w:val="hybridMultilevel"/>
    <w:tmpl w:val="388A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2C0822"/>
    <w:multiLevelType w:val="hybridMultilevel"/>
    <w:tmpl w:val="4B50D4C8"/>
    <w:lvl w:ilvl="0" w:tplc="0C090003">
      <w:start w:val="1"/>
      <w:numFmt w:val="bullet"/>
      <w:lvlText w:val="o"/>
      <w:lvlJc w:val="left"/>
      <w:pPr>
        <w:ind w:left="466" w:hanging="360"/>
      </w:pPr>
      <w:rPr>
        <w:rFonts w:ascii="Courier New" w:hAnsi="Courier New" w:cs="Courier New" w:hint="default"/>
      </w:rPr>
    </w:lvl>
    <w:lvl w:ilvl="1" w:tplc="FFFFFFFF" w:tentative="1">
      <w:start w:val="1"/>
      <w:numFmt w:val="bullet"/>
      <w:lvlText w:val="o"/>
      <w:lvlJc w:val="left"/>
      <w:pPr>
        <w:ind w:left="1186" w:hanging="360"/>
      </w:pPr>
      <w:rPr>
        <w:rFonts w:ascii="Courier New" w:hAnsi="Courier New" w:cs="Courier New" w:hint="default"/>
      </w:rPr>
    </w:lvl>
    <w:lvl w:ilvl="2" w:tplc="FFFFFFFF" w:tentative="1">
      <w:start w:val="1"/>
      <w:numFmt w:val="bullet"/>
      <w:lvlText w:val=""/>
      <w:lvlJc w:val="left"/>
      <w:pPr>
        <w:ind w:left="1906" w:hanging="360"/>
      </w:pPr>
      <w:rPr>
        <w:rFonts w:ascii="Wingdings" w:hAnsi="Wingdings" w:hint="default"/>
      </w:rPr>
    </w:lvl>
    <w:lvl w:ilvl="3" w:tplc="FFFFFFFF" w:tentative="1">
      <w:start w:val="1"/>
      <w:numFmt w:val="bullet"/>
      <w:lvlText w:val=""/>
      <w:lvlJc w:val="left"/>
      <w:pPr>
        <w:ind w:left="2626" w:hanging="360"/>
      </w:pPr>
      <w:rPr>
        <w:rFonts w:ascii="Symbol" w:hAnsi="Symbol" w:hint="default"/>
      </w:rPr>
    </w:lvl>
    <w:lvl w:ilvl="4" w:tplc="FFFFFFFF" w:tentative="1">
      <w:start w:val="1"/>
      <w:numFmt w:val="bullet"/>
      <w:lvlText w:val="o"/>
      <w:lvlJc w:val="left"/>
      <w:pPr>
        <w:ind w:left="3346" w:hanging="360"/>
      </w:pPr>
      <w:rPr>
        <w:rFonts w:ascii="Courier New" w:hAnsi="Courier New" w:cs="Courier New" w:hint="default"/>
      </w:rPr>
    </w:lvl>
    <w:lvl w:ilvl="5" w:tplc="FFFFFFFF" w:tentative="1">
      <w:start w:val="1"/>
      <w:numFmt w:val="bullet"/>
      <w:lvlText w:val=""/>
      <w:lvlJc w:val="left"/>
      <w:pPr>
        <w:ind w:left="4066" w:hanging="360"/>
      </w:pPr>
      <w:rPr>
        <w:rFonts w:ascii="Wingdings" w:hAnsi="Wingdings" w:hint="default"/>
      </w:rPr>
    </w:lvl>
    <w:lvl w:ilvl="6" w:tplc="FFFFFFFF" w:tentative="1">
      <w:start w:val="1"/>
      <w:numFmt w:val="bullet"/>
      <w:lvlText w:val=""/>
      <w:lvlJc w:val="left"/>
      <w:pPr>
        <w:ind w:left="4786" w:hanging="360"/>
      </w:pPr>
      <w:rPr>
        <w:rFonts w:ascii="Symbol" w:hAnsi="Symbol" w:hint="default"/>
      </w:rPr>
    </w:lvl>
    <w:lvl w:ilvl="7" w:tplc="FFFFFFFF" w:tentative="1">
      <w:start w:val="1"/>
      <w:numFmt w:val="bullet"/>
      <w:lvlText w:val="o"/>
      <w:lvlJc w:val="left"/>
      <w:pPr>
        <w:ind w:left="5506" w:hanging="360"/>
      </w:pPr>
      <w:rPr>
        <w:rFonts w:ascii="Courier New" w:hAnsi="Courier New" w:cs="Courier New" w:hint="default"/>
      </w:rPr>
    </w:lvl>
    <w:lvl w:ilvl="8" w:tplc="FFFFFFFF" w:tentative="1">
      <w:start w:val="1"/>
      <w:numFmt w:val="bullet"/>
      <w:lvlText w:val=""/>
      <w:lvlJc w:val="left"/>
      <w:pPr>
        <w:ind w:left="6226" w:hanging="360"/>
      </w:pPr>
      <w:rPr>
        <w:rFonts w:ascii="Wingdings" w:hAnsi="Wingdings" w:hint="default"/>
      </w:rPr>
    </w:lvl>
  </w:abstractNum>
  <w:abstractNum w:abstractNumId="16" w15:restartNumberingAfterBreak="0">
    <w:nsid w:val="51463003"/>
    <w:multiLevelType w:val="hybridMultilevel"/>
    <w:tmpl w:val="5EAE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5B4461"/>
    <w:multiLevelType w:val="hybridMultilevel"/>
    <w:tmpl w:val="DFD6D7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21" w15:restartNumberingAfterBreak="0">
    <w:nsid w:val="5E42518B"/>
    <w:multiLevelType w:val="hybridMultilevel"/>
    <w:tmpl w:val="14A68B2C"/>
    <w:lvl w:ilvl="0" w:tplc="99225D86">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C112AB"/>
    <w:multiLevelType w:val="hybridMultilevel"/>
    <w:tmpl w:val="AC0E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C5738"/>
    <w:multiLevelType w:val="hybridMultilevel"/>
    <w:tmpl w:val="AE12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847E1"/>
    <w:multiLevelType w:val="hybridMultilevel"/>
    <w:tmpl w:val="3676D4A6"/>
    <w:lvl w:ilvl="0" w:tplc="7A5EF8A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B66349"/>
    <w:multiLevelType w:val="hybridMultilevel"/>
    <w:tmpl w:val="6890D9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5A463F7"/>
    <w:multiLevelType w:val="hybridMultilevel"/>
    <w:tmpl w:val="ABEC100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6C4B21"/>
    <w:multiLevelType w:val="hybridMultilevel"/>
    <w:tmpl w:val="EAE01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CE15D1"/>
    <w:multiLevelType w:val="hybridMultilevel"/>
    <w:tmpl w:val="27CE7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414FD7"/>
    <w:multiLevelType w:val="hybridMultilevel"/>
    <w:tmpl w:val="5880C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B929A8"/>
    <w:multiLevelType w:val="hybridMultilevel"/>
    <w:tmpl w:val="8F0059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5"/>
  </w:num>
  <w:num w:numId="3">
    <w:abstractNumId w:val="13"/>
  </w:num>
  <w:num w:numId="4">
    <w:abstractNumId w:val="6"/>
  </w:num>
  <w:num w:numId="5">
    <w:abstractNumId w:val="23"/>
  </w:num>
  <w:num w:numId="6">
    <w:abstractNumId w:val="12"/>
  </w:num>
  <w:num w:numId="7">
    <w:abstractNumId w:val="10"/>
  </w:num>
  <w:num w:numId="8">
    <w:abstractNumId w:val="3"/>
  </w:num>
  <w:num w:numId="9">
    <w:abstractNumId w:val="9"/>
  </w:num>
  <w:num w:numId="10">
    <w:abstractNumId w:val="15"/>
  </w:num>
  <w:num w:numId="11">
    <w:abstractNumId w:val="11"/>
  </w:num>
  <w:num w:numId="12">
    <w:abstractNumId w:val="14"/>
  </w:num>
  <w:num w:numId="13">
    <w:abstractNumId w:val="1"/>
  </w:num>
  <w:num w:numId="14">
    <w:abstractNumId w:val="26"/>
  </w:num>
  <w:num w:numId="15">
    <w:abstractNumId w:val="0"/>
  </w:num>
  <w:num w:numId="16">
    <w:abstractNumId w:val="22"/>
  </w:num>
  <w:num w:numId="17">
    <w:abstractNumId w:val="2"/>
  </w:num>
  <w:num w:numId="18">
    <w:abstractNumId w:val="19"/>
  </w:num>
  <w:num w:numId="19">
    <w:abstractNumId w:val="19"/>
  </w:num>
  <w:num w:numId="20">
    <w:abstractNumId w:val="29"/>
  </w:num>
  <w:num w:numId="21">
    <w:abstractNumId w:val="18"/>
  </w:num>
  <w:num w:numId="22">
    <w:abstractNumId w:val="25"/>
  </w:num>
  <w:num w:numId="23">
    <w:abstractNumId w:val="16"/>
  </w:num>
  <w:num w:numId="24">
    <w:abstractNumId w:val="24"/>
  </w:num>
  <w:num w:numId="25">
    <w:abstractNumId w:val="28"/>
  </w:num>
  <w:num w:numId="26">
    <w:abstractNumId w:val="8"/>
  </w:num>
  <w:num w:numId="27">
    <w:abstractNumId w:val="7"/>
  </w:num>
  <w:num w:numId="28">
    <w:abstractNumId w:val="27"/>
  </w:num>
  <w:num w:numId="29">
    <w:abstractNumId w:val="17"/>
  </w:num>
  <w:num w:numId="30">
    <w:abstractNumId w:val="30"/>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39"/>
    <w:rsid w:val="000111EB"/>
    <w:rsid w:val="0001415E"/>
    <w:rsid w:val="00017199"/>
    <w:rsid w:val="00037634"/>
    <w:rsid w:val="00050786"/>
    <w:rsid w:val="00051961"/>
    <w:rsid w:val="00056F95"/>
    <w:rsid w:val="000579A3"/>
    <w:rsid w:val="00070ADD"/>
    <w:rsid w:val="00073C7A"/>
    <w:rsid w:val="000835E1"/>
    <w:rsid w:val="00086F4A"/>
    <w:rsid w:val="0009177D"/>
    <w:rsid w:val="00094FD7"/>
    <w:rsid w:val="0009693B"/>
    <w:rsid w:val="000A5120"/>
    <w:rsid w:val="000B0901"/>
    <w:rsid w:val="000B6BCD"/>
    <w:rsid w:val="000C29B9"/>
    <w:rsid w:val="000C6727"/>
    <w:rsid w:val="000D099C"/>
    <w:rsid w:val="000D5D99"/>
    <w:rsid w:val="000D6408"/>
    <w:rsid w:val="000E576A"/>
    <w:rsid w:val="000F2BF4"/>
    <w:rsid w:val="000F3697"/>
    <w:rsid w:val="0010521C"/>
    <w:rsid w:val="0012466E"/>
    <w:rsid w:val="00124FA4"/>
    <w:rsid w:val="001433A4"/>
    <w:rsid w:val="00146ADD"/>
    <w:rsid w:val="001538CD"/>
    <w:rsid w:val="001557BA"/>
    <w:rsid w:val="00157055"/>
    <w:rsid w:val="001814B3"/>
    <w:rsid w:val="00182158"/>
    <w:rsid w:val="00183C38"/>
    <w:rsid w:val="00186CD4"/>
    <w:rsid w:val="001B4990"/>
    <w:rsid w:val="001B4E82"/>
    <w:rsid w:val="001B57E5"/>
    <w:rsid w:val="001B6533"/>
    <w:rsid w:val="001D4014"/>
    <w:rsid w:val="001E0468"/>
    <w:rsid w:val="001E7323"/>
    <w:rsid w:val="001F2C46"/>
    <w:rsid w:val="001F3ADD"/>
    <w:rsid w:val="001F4334"/>
    <w:rsid w:val="001F553C"/>
    <w:rsid w:val="00207CD6"/>
    <w:rsid w:val="002106C6"/>
    <w:rsid w:val="00220364"/>
    <w:rsid w:val="00222DAC"/>
    <w:rsid w:val="00225833"/>
    <w:rsid w:val="00226212"/>
    <w:rsid w:val="00231611"/>
    <w:rsid w:val="00232707"/>
    <w:rsid w:val="00234BE8"/>
    <w:rsid w:val="002500E5"/>
    <w:rsid w:val="002541AF"/>
    <w:rsid w:val="00255A61"/>
    <w:rsid w:val="00265C4D"/>
    <w:rsid w:val="002675D1"/>
    <w:rsid w:val="00267B1B"/>
    <w:rsid w:val="002751FC"/>
    <w:rsid w:val="00277298"/>
    <w:rsid w:val="00281138"/>
    <w:rsid w:val="00291B62"/>
    <w:rsid w:val="00294C66"/>
    <w:rsid w:val="00297419"/>
    <w:rsid w:val="0029756E"/>
    <w:rsid w:val="002A0884"/>
    <w:rsid w:val="002A10EB"/>
    <w:rsid w:val="002A6DB9"/>
    <w:rsid w:val="002B23CC"/>
    <w:rsid w:val="002B39E5"/>
    <w:rsid w:val="002B7451"/>
    <w:rsid w:val="002B7918"/>
    <w:rsid w:val="002E2384"/>
    <w:rsid w:val="002F010B"/>
    <w:rsid w:val="002F1B37"/>
    <w:rsid w:val="003072FF"/>
    <w:rsid w:val="00315B89"/>
    <w:rsid w:val="003306A4"/>
    <w:rsid w:val="00335A71"/>
    <w:rsid w:val="00340373"/>
    <w:rsid w:val="00341F2D"/>
    <w:rsid w:val="00346C5D"/>
    <w:rsid w:val="00346D1E"/>
    <w:rsid w:val="00356A3D"/>
    <w:rsid w:val="00357B96"/>
    <w:rsid w:val="00357C07"/>
    <w:rsid w:val="0036462C"/>
    <w:rsid w:val="003736C7"/>
    <w:rsid w:val="00380BD4"/>
    <w:rsid w:val="00395C45"/>
    <w:rsid w:val="003B069F"/>
    <w:rsid w:val="003B0C6B"/>
    <w:rsid w:val="003B238B"/>
    <w:rsid w:val="003C3120"/>
    <w:rsid w:val="003C4C49"/>
    <w:rsid w:val="003C767F"/>
    <w:rsid w:val="003E1734"/>
    <w:rsid w:val="003E23F9"/>
    <w:rsid w:val="003E6FE2"/>
    <w:rsid w:val="003F41D0"/>
    <w:rsid w:val="003F4334"/>
    <w:rsid w:val="004024EF"/>
    <w:rsid w:val="00410E09"/>
    <w:rsid w:val="00413D1A"/>
    <w:rsid w:val="00416953"/>
    <w:rsid w:val="00454279"/>
    <w:rsid w:val="00462140"/>
    <w:rsid w:val="004700BE"/>
    <w:rsid w:val="00476DE5"/>
    <w:rsid w:val="004822C5"/>
    <w:rsid w:val="00483907"/>
    <w:rsid w:val="004851E4"/>
    <w:rsid w:val="0049088B"/>
    <w:rsid w:val="004B7D88"/>
    <w:rsid w:val="004D3278"/>
    <w:rsid w:val="004D67D3"/>
    <w:rsid w:val="004F26ED"/>
    <w:rsid w:val="005007F7"/>
    <w:rsid w:val="005117C2"/>
    <w:rsid w:val="00514F7A"/>
    <w:rsid w:val="00530EA6"/>
    <w:rsid w:val="005312B1"/>
    <w:rsid w:val="0054050B"/>
    <w:rsid w:val="0054758C"/>
    <w:rsid w:val="00555B9C"/>
    <w:rsid w:val="00560E2B"/>
    <w:rsid w:val="00572DBA"/>
    <w:rsid w:val="00585B44"/>
    <w:rsid w:val="005861EE"/>
    <w:rsid w:val="005875C7"/>
    <w:rsid w:val="00597AAA"/>
    <w:rsid w:val="005C0568"/>
    <w:rsid w:val="005C0C8B"/>
    <w:rsid w:val="005C550B"/>
    <w:rsid w:val="005C57FE"/>
    <w:rsid w:val="005C70A2"/>
    <w:rsid w:val="005D0A8B"/>
    <w:rsid w:val="005D4924"/>
    <w:rsid w:val="005E073B"/>
    <w:rsid w:val="005E078F"/>
    <w:rsid w:val="005F0642"/>
    <w:rsid w:val="005F173C"/>
    <w:rsid w:val="0060768E"/>
    <w:rsid w:val="00610886"/>
    <w:rsid w:val="006136B1"/>
    <w:rsid w:val="00613B22"/>
    <w:rsid w:val="00617E5F"/>
    <w:rsid w:val="0062047E"/>
    <w:rsid w:val="00624416"/>
    <w:rsid w:val="0067542B"/>
    <w:rsid w:val="00675AA6"/>
    <w:rsid w:val="00680822"/>
    <w:rsid w:val="006822AC"/>
    <w:rsid w:val="0068454C"/>
    <w:rsid w:val="00684B12"/>
    <w:rsid w:val="0069004E"/>
    <w:rsid w:val="00694C12"/>
    <w:rsid w:val="006A18FE"/>
    <w:rsid w:val="006B7681"/>
    <w:rsid w:val="006C1727"/>
    <w:rsid w:val="006C4B1D"/>
    <w:rsid w:val="006D3695"/>
    <w:rsid w:val="006E3139"/>
    <w:rsid w:val="00713DFF"/>
    <w:rsid w:val="0072466E"/>
    <w:rsid w:val="00727016"/>
    <w:rsid w:val="007460AF"/>
    <w:rsid w:val="00750EBE"/>
    <w:rsid w:val="00752A9D"/>
    <w:rsid w:val="00763572"/>
    <w:rsid w:val="00764930"/>
    <w:rsid w:val="00767718"/>
    <w:rsid w:val="0077503D"/>
    <w:rsid w:val="00777EC3"/>
    <w:rsid w:val="0078217A"/>
    <w:rsid w:val="00787991"/>
    <w:rsid w:val="007902F8"/>
    <w:rsid w:val="007A0D43"/>
    <w:rsid w:val="007A43D7"/>
    <w:rsid w:val="007B4B72"/>
    <w:rsid w:val="007B4CEB"/>
    <w:rsid w:val="007B4CF8"/>
    <w:rsid w:val="007B5592"/>
    <w:rsid w:val="007C31C6"/>
    <w:rsid w:val="007C55DD"/>
    <w:rsid w:val="007C6261"/>
    <w:rsid w:val="007C6F30"/>
    <w:rsid w:val="007D77BA"/>
    <w:rsid w:val="007E3B4C"/>
    <w:rsid w:val="007F2543"/>
    <w:rsid w:val="007F534A"/>
    <w:rsid w:val="00807C95"/>
    <w:rsid w:val="0081445B"/>
    <w:rsid w:val="00820E2A"/>
    <w:rsid w:val="0082166E"/>
    <w:rsid w:val="00822166"/>
    <w:rsid w:val="00831A21"/>
    <w:rsid w:val="00832E2D"/>
    <w:rsid w:val="008432D0"/>
    <w:rsid w:val="00862919"/>
    <w:rsid w:val="00874389"/>
    <w:rsid w:val="00877257"/>
    <w:rsid w:val="008947E1"/>
    <w:rsid w:val="00895640"/>
    <w:rsid w:val="008A746E"/>
    <w:rsid w:val="008B4904"/>
    <w:rsid w:val="008C0D06"/>
    <w:rsid w:val="008D00AA"/>
    <w:rsid w:val="008D2137"/>
    <w:rsid w:val="008D3F2E"/>
    <w:rsid w:val="008D58BD"/>
    <w:rsid w:val="008E1A5E"/>
    <w:rsid w:val="00906481"/>
    <w:rsid w:val="00911428"/>
    <w:rsid w:val="009447A3"/>
    <w:rsid w:val="00950A6D"/>
    <w:rsid w:val="00953370"/>
    <w:rsid w:val="00963885"/>
    <w:rsid w:val="00975C6C"/>
    <w:rsid w:val="009836A9"/>
    <w:rsid w:val="009903B5"/>
    <w:rsid w:val="009A24B4"/>
    <w:rsid w:val="009A293C"/>
    <w:rsid w:val="009B2B46"/>
    <w:rsid w:val="009C3F83"/>
    <w:rsid w:val="009C6112"/>
    <w:rsid w:val="009D75A5"/>
    <w:rsid w:val="009E0E51"/>
    <w:rsid w:val="009E378D"/>
    <w:rsid w:val="009E77D0"/>
    <w:rsid w:val="00A11ABA"/>
    <w:rsid w:val="00A333EC"/>
    <w:rsid w:val="00A43FE6"/>
    <w:rsid w:val="00A50715"/>
    <w:rsid w:val="00A544D0"/>
    <w:rsid w:val="00A56B2C"/>
    <w:rsid w:val="00A60989"/>
    <w:rsid w:val="00A627BB"/>
    <w:rsid w:val="00A71901"/>
    <w:rsid w:val="00A738DE"/>
    <w:rsid w:val="00A75387"/>
    <w:rsid w:val="00A82AC4"/>
    <w:rsid w:val="00A82BCE"/>
    <w:rsid w:val="00A91E88"/>
    <w:rsid w:val="00A969F4"/>
    <w:rsid w:val="00A97F55"/>
    <w:rsid w:val="00AA124C"/>
    <w:rsid w:val="00AA2DDF"/>
    <w:rsid w:val="00AB1B64"/>
    <w:rsid w:val="00AC202B"/>
    <w:rsid w:val="00AC2380"/>
    <w:rsid w:val="00AC46C4"/>
    <w:rsid w:val="00AC5545"/>
    <w:rsid w:val="00AE0898"/>
    <w:rsid w:val="00AE1657"/>
    <w:rsid w:val="00AF68D2"/>
    <w:rsid w:val="00B12592"/>
    <w:rsid w:val="00B125BC"/>
    <w:rsid w:val="00B1795C"/>
    <w:rsid w:val="00B23DBE"/>
    <w:rsid w:val="00B27328"/>
    <w:rsid w:val="00B40B0C"/>
    <w:rsid w:val="00B5407C"/>
    <w:rsid w:val="00B56B13"/>
    <w:rsid w:val="00B73357"/>
    <w:rsid w:val="00B80B5B"/>
    <w:rsid w:val="00B81FA5"/>
    <w:rsid w:val="00B860AC"/>
    <w:rsid w:val="00B908A8"/>
    <w:rsid w:val="00B91033"/>
    <w:rsid w:val="00B96DD6"/>
    <w:rsid w:val="00B97D38"/>
    <w:rsid w:val="00BA3203"/>
    <w:rsid w:val="00BA68E2"/>
    <w:rsid w:val="00BB0E2A"/>
    <w:rsid w:val="00BB2BEA"/>
    <w:rsid w:val="00BB6AD7"/>
    <w:rsid w:val="00BB6FE3"/>
    <w:rsid w:val="00BC54B9"/>
    <w:rsid w:val="00BC5B13"/>
    <w:rsid w:val="00BD247D"/>
    <w:rsid w:val="00BD2E8B"/>
    <w:rsid w:val="00BE2088"/>
    <w:rsid w:val="00BE29DC"/>
    <w:rsid w:val="00BE6018"/>
    <w:rsid w:val="00BF7A1C"/>
    <w:rsid w:val="00BF7A45"/>
    <w:rsid w:val="00C05639"/>
    <w:rsid w:val="00C10139"/>
    <w:rsid w:val="00C21FB2"/>
    <w:rsid w:val="00C23E8A"/>
    <w:rsid w:val="00C34805"/>
    <w:rsid w:val="00C409A3"/>
    <w:rsid w:val="00C53959"/>
    <w:rsid w:val="00C55BE3"/>
    <w:rsid w:val="00C569CD"/>
    <w:rsid w:val="00C7493A"/>
    <w:rsid w:val="00C8062F"/>
    <w:rsid w:val="00C83728"/>
    <w:rsid w:val="00C85B37"/>
    <w:rsid w:val="00C869B1"/>
    <w:rsid w:val="00C8745B"/>
    <w:rsid w:val="00CA072C"/>
    <w:rsid w:val="00CA5703"/>
    <w:rsid w:val="00CC57D3"/>
    <w:rsid w:val="00CC6E1C"/>
    <w:rsid w:val="00CD0554"/>
    <w:rsid w:val="00CE4C3C"/>
    <w:rsid w:val="00CE7900"/>
    <w:rsid w:val="00CF7A45"/>
    <w:rsid w:val="00D15524"/>
    <w:rsid w:val="00D27F8E"/>
    <w:rsid w:val="00D33A19"/>
    <w:rsid w:val="00D37143"/>
    <w:rsid w:val="00D3723B"/>
    <w:rsid w:val="00D4038D"/>
    <w:rsid w:val="00D44E62"/>
    <w:rsid w:val="00D46D70"/>
    <w:rsid w:val="00D60E44"/>
    <w:rsid w:val="00D60FD7"/>
    <w:rsid w:val="00D621A7"/>
    <w:rsid w:val="00D6264D"/>
    <w:rsid w:val="00D63B62"/>
    <w:rsid w:val="00D66743"/>
    <w:rsid w:val="00D67CD8"/>
    <w:rsid w:val="00D7326B"/>
    <w:rsid w:val="00D817AE"/>
    <w:rsid w:val="00D82931"/>
    <w:rsid w:val="00D86048"/>
    <w:rsid w:val="00D95353"/>
    <w:rsid w:val="00DA0191"/>
    <w:rsid w:val="00DB2D50"/>
    <w:rsid w:val="00DB7BA4"/>
    <w:rsid w:val="00DD0CF7"/>
    <w:rsid w:val="00DE0B3B"/>
    <w:rsid w:val="00DE2807"/>
    <w:rsid w:val="00E0405B"/>
    <w:rsid w:val="00E05F51"/>
    <w:rsid w:val="00E10902"/>
    <w:rsid w:val="00E15A94"/>
    <w:rsid w:val="00E23CC4"/>
    <w:rsid w:val="00E26FDE"/>
    <w:rsid w:val="00E56948"/>
    <w:rsid w:val="00E56EB7"/>
    <w:rsid w:val="00E57E90"/>
    <w:rsid w:val="00E634DD"/>
    <w:rsid w:val="00E63EEF"/>
    <w:rsid w:val="00E67BA0"/>
    <w:rsid w:val="00E8578A"/>
    <w:rsid w:val="00E86DD1"/>
    <w:rsid w:val="00E87058"/>
    <w:rsid w:val="00E91531"/>
    <w:rsid w:val="00E9534C"/>
    <w:rsid w:val="00EA5FD0"/>
    <w:rsid w:val="00EB497B"/>
    <w:rsid w:val="00EE2FAF"/>
    <w:rsid w:val="00EE4A10"/>
    <w:rsid w:val="00EE617E"/>
    <w:rsid w:val="00F2041E"/>
    <w:rsid w:val="00F2565C"/>
    <w:rsid w:val="00F27D8B"/>
    <w:rsid w:val="00F36B95"/>
    <w:rsid w:val="00F37052"/>
    <w:rsid w:val="00F37314"/>
    <w:rsid w:val="00F415A6"/>
    <w:rsid w:val="00F463EB"/>
    <w:rsid w:val="00F50374"/>
    <w:rsid w:val="00F522D0"/>
    <w:rsid w:val="00F66379"/>
    <w:rsid w:val="00F72D56"/>
    <w:rsid w:val="00F756C0"/>
    <w:rsid w:val="00F81683"/>
    <w:rsid w:val="00F84A61"/>
    <w:rsid w:val="00F8609A"/>
    <w:rsid w:val="00F91DD6"/>
    <w:rsid w:val="00FA7C56"/>
    <w:rsid w:val="00FB1A6E"/>
    <w:rsid w:val="00FC1494"/>
    <w:rsid w:val="00FC4398"/>
    <w:rsid w:val="00FC7735"/>
    <w:rsid w:val="00FD1850"/>
    <w:rsid w:val="00FD2015"/>
    <w:rsid w:val="00FE289D"/>
    <w:rsid w:val="00FE7687"/>
    <w:rsid w:val="00FF3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59798"/>
  <w15:chartTrackingRefBased/>
  <w15:docId w15:val="{B53A8C8C-1970-4F6B-907C-F9F760EC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39"/>
    <w:pPr>
      <w:spacing w:after="0" w:line="240" w:lineRule="auto"/>
      <w:ind w:left="425" w:hanging="425"/>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List Paragraph (numbered (a))"/>
    <w:basedOn w:val="Normal"/>
    <w:link w:val="ListParagraphChar"/>
    <w:uiPriority w:val="34"/>
    <w:qFormat/>
    <w:rsid w:val="00C05639"/>
    <w:pPr>
      <w:ind w:left="720"/>
      <w:contextualSpacing/>
    </w:pPr>
  </w:style>
  <w:style w:type="table" w:styleId="TableGrid">
    <w:name w:val="Table Grid"/>
    <w:basedOn w:val="TableNormal"/>
    <w:uiPriority w:val="39"/>
    <w:rsid w:val="00C0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639"/>
    <w:pPr>
      <w:tabs>
        <w:tab w:val="center" w:pos="4513"/>
        <w:tab w:val="right" w:pos="9026"/>
      </w:tabs>
      <w:ind w:left="0" w:firstLine="0"/>
    </w:pPr>
    <w:rPr>
      <w:rFonts w:asciiTheme="minorHAnsi" w:eastAsiaTheme="minorHAnsi" w:hAnsiTheme="minorHAnsi" w:cstheme="minorBidi"/>
      <w:lang w:val="en-AU"/>
    </w:rPr>
  </w:style>
  <w:style w:type="character" w:customStyle="1" w:styleId="HeaderChar">
    <w:name w:val="Header Char"/>
    <w:basedOn w:val="DefaultParagraphFont"/>
    <w:link w:val="Header"/>
    <w:uiPriority w:val="99"/>
    <w:rsid w:val="00C05639"/>
  </w:style>
  <w:style w:type="character" w:styleId="Hyperlink">
    <w:name w:val="Hyperlink"/>
    <w:basedOn w:val="DefaultParagraphFont"/>
    <w:uiPriority w:val="99"/>
    <w:unhideWhenUsed/>
    <w:rsid w:val="00C05639"/>
    <w:rPr>
      <w:color w:val="0563C1" w:themeColor="hyperlink"/>
      <w:u w:val="single"/>
    </w:rPr>
  </w:style>
  <w:style w:type="paragraph" w:styleId="FootnoteText">
    <w:name w:val="footnote text"/>
    <w:basedOn w:val="Normal"/>
    <w:link w:val="FootnoteTextChar"/>
    <w:uiPriority w:val="99"/>
    <w:semiHidden/>
    <w:unhideWhenUsed/>
    <w:rsid w:val="00A544D0"/>
    <w:rPr>
      <w:sz w:val="20"/>
      <w:szCs w:val="20"/>
    </w:rPr>
  </w:style>
  <w:style w:type="character" w:customStyle="1" w:styleId="FootnoteTextChar">
    <w:name w:val="Footnote Text Char"/>
    <w:basedOn w:val="DefaultParagraphFont"/>
    <w:link w:val="FootnoteText"/>
    <w:uiPriority w:val="99"/>
    <w:semiHidden/>
    <w:rsid w:val="00A544D0"/>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544D0"/>
    <w:rPr>
      <w:vertAlign w:val="superscript"/>
    </w:rPr>
  </w:style>
  <w:style w:type="paragraph" w:customStyle="1" w:styleId="Default">
    <w:name w:val="Default"/>
    <w:rsid w:val="00E63EE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9836A9"/>
    <w:pPr>
      <w:tabs>
        <w:tab w:val="center" w:pos="4513"/>
        <w:tab w:val="right" w:pos="9026"/>
      </w:tabs>
    </w:pPr>
  </w:style>
  <w:style w:type="character" w:customStyle="1" w:styleId="FooterChar">
    <w:name w:val="Footer Char"/>
    <w:basedOn w:val="DefaultParagraphFont"/>
    <w:link w:val="Footer"/>
    <w:uiPriority w:val="99"/>
    <w:rsid w:val="009836A9"/>
    <w:rPr>
      <w:rFonts w:ascii="Calibri" w:eastAsia="Calibri" w:hAnsi="Calibri" w:cs="Times New Roman"/>
      <w:lang w:val="en-GB"/>
    </w:rPr>
  </w:style>
  <w:style w:type="character" w:customStyle="1" w:styleId="ListParagraphChar">
    <w:name w:val="List Paragraph Char"/>
    <w:aliases w:val="Rec para Char,List Paragraph (numbered (a)) Char"/>
    <w:link w:val="ListParagraph"/>
    <w:uiPriority w:val="34"/>
    <w:locked/>
    <w:rsid w:val="007460A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327">
      <w:bodyDiv w:val="1"/>
      <w:marLeft w:val="0"/>
      <w:marRight w:val="0"/>
      <w:marTop w:val="0"/>
      <w:marBottom w:val="0"/>
      <w:divBdr>
        <w:top w:val="none" w:sz="0" w:space="0" w:color="auto"/>
        <w:left w:val="none" w:sz="0" w:space="0" w:color="auto"/>
        <w:bottom w:val="none" w:sz="0" w:space="0" w:color="auto"/>
        <w:right w:val="none" w:sz="0" w:space="0" w:color="auto"/>
      </w:divBdr>
    </w:div>
    <w:div w:id="221448667">
      <w:bodyDiv w:val="1"/>
      <w:marLeft w:val="0"/>
      <w:marRight w:val="0"/>
      <w:marTop w:val="0"/>
      <w:marBottom w:val="0"/>
      <w:divBdr>
        <w:top w:val="none" w:sz="0" w:space="0" w:color="auto"/>
        <w:left w:val="none" w:sz="0" w:space="0" w:color="auto"/>
        <w:bottom w:val="none" w:sz="0" w:space="0" w:color="auto"/>
        <w:right w:val="none" w:sz="0" w:space="0" w:color="auto"/>
      </w:divBdr>
    </w:div>
    <w:div w:id="354188965">
      <w:bodyDiv w:val="1"/>
      <w:marLeft w:val="0"/>
      <w:marRight w:val="0"/>
      <w:marTop w:val="0"/>
      <w:marBottom w:val="0"/>
      <w:divBdr>
        <w:top w:val="none" w:sz="0" w:space="0" w:color="auto"/>
        <w:left w:val="none" w:sz="0" w:space="0" w:color="auto"/>
        <w:bottom w:val="none" w:sz="0" w:space="0" w:color="auto"/>
        <w:right w:val="none" w:sz="0" w:space="0" w:color="auto"/>
      </w:divBdr>
    </w:div>
    <w:div w:id="814446709">
      <w:bodyDiv w:val="1"/>
      <w:marLeft w:val="0"/>
      <w:marRight w:val="0"/>
      <w:marTop w:val="0"/>
      <w:marBottom w:val="0"/>
      <w:divBdr>
        <w:top w:val="none" w:sz="0" w:space="0" w:color="auto"/>
        <w:left w:val="none" w:sz="0" w:space="0" w:color="auto"/>
        <w:bottom w:val="none" w:sz="0" w:space="0" w:color="auto"/>
        <w:right w:val="none" w:sz="0" w:space="0" w:color="auto"/>
      </w:divBdr>
    </w:div>
    <w:div w:id="1368338909">
      <w:bodyDiv w:val="1"/>
      <w:marLeft w:val="0"/>
      <w:marRight w:val="0"/>
      <w:marTop w:val="0"/>
      <w:marBottom w:val="0"/>
      <w:divBdr>
        <w:top w:val="none" w:sz="0" w:space="0" w:color="auto"/>
        <w:left w:val="none" w:sz="0" w:space="0" w:color="auto"/>
        <w:bottom w:val="none" w:sz="0" w:space="0" w:color="auto"/>
        <w:right w:val="none" w:sz="0" w:space="0" w:color="auto"/>
      </w:divBdr>
      <w:divsChild>
        <w:div w:id="658581175">
          <w:marLeft w:val="547"/>
          <w:marRight w:val="0"/>
          <w:marTop w:val="0"/>
          <w:marBottom w:val="0"/>
          <w:divBdr>
            <w:top w:val="none" w:sz="0" w:space="0" w:color="auto"/>
            <w:left w:val="none" w:sz="0" w:space="0" w:color="auto"/>
            <w:bottom w:val="none" w:sz="0" w:space="0" w:color="auto"/>
            <w:right w:val="none" w:sz="0" w:space="0" w:color="auto"/>
          </w:divBdr>
        </w:div>
      </w:divsChild>
    </w:div>
    <w:div w:id="1489401417">
      <w:bodyDiv w:val="1"/>
      <w:marLeft w:val="0"/>
      <w:marRight w:val="0"/>
      <w:marTop w:val="0"/>
      <w:marBottom w:val="0"/>
      <w:divBdr>
        <w:top w:val="none" w:sz="0" w:space="0" w:color="auto"/>
        <w:left w:val="none" w:sz="0" w:space="0" w:color="auto"/>
        <w:bottom w:val="none" w:sz="0" w:space="0" w:color="auto"/>
        <w:right w:val="none" w:sz="0" w:space="0" w:color="auto"/>
      </w:divBdr>
    </w:div>
    <w:div w:id="1706249872">
      <w:bodyDiv w:val="1"/>
      <w:marLeft w:val="0"/>
      <w:marRight w:val="0"/>
      <w:marTop w:val="0"/>
      <w:marBottom w:val="0"/>
      <w:divBdr>
        <w:top w:val="none" w:sz="0" w:space="0" w:color="auto"/>
        <w:left w:val="none" w:sz="0" w:space="0" w:color="auto"/>
        <w:bottom w:val="none" w:sz="0" w:space="0" w:color="auto"/>
        <w:right w:val="none" w:sz="0" w:space="0" w:color="auto"/>
      </w:divBdr>
    </w:div>
    <w:div w:id="206190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A427-834C-435F-A3D2-E9FFB3CC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Eyles</dc:creator>
  <cp:keywords/>
  <dc:description/>
  <cp:lastModifiedBy>Ed Jennings</cp:lastModifiedBy>
  <cp:revision>3</cp:revision>
  <cp:lastPrinted>2022-05-04T00:11:00Z</cp:lastPrinted>
  <dcterms:created xsi:type="dcterms:W3CDTF">2022-05-24T12:15:00Z</dcterms:created>
  <dcterms:modified xsi:type="dcterms:W3CDTF">2022-05-24T12:15:00Z</dcterms:modified>
</cp:coreProperties>
</file>