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F4B36" w14:textId="78214601" w:rsidR="00591472" w:rsidRPr="003A72EE" w:rsidRDefault="00F21AB2" w:rsidP="00591472">
      <w:pPr>
        <w:pBdr>
          <w:top w:val="single" w:sz="12" w:space="0" w:color="auto" w:shadow="1"/>
          <w:left w:val="single" w:sz="12" w:space="4" w:color="auto" w:shadow="1"/>
          <w:bottom w:val="single" w:sz="12" w:space="1" w:color="auto" w:shadow="1"/>
          <w:right w:val="single" w:sz="12" w:space="0" w:color="auto" w:shadow="1"/>
        </w:pBdr>
        <w:ind w:right="2792"/>
        <w:rPr>
          <w:rFonts w:cstheme="minorHAnsi"/>
          <w:bCs/>
          <w:noProof/>
          <w:szCs w:val="20"/>
          <w:lang w:val="es-ES"/>
        </w:rPr>
      </w:pPr>
      <w:r w:rsidRPr="003A72EE">
        <w:rPr>
          <w:rFonts w:cstheme="minorHAnsi"/>
          <w:bCs/>
          <w:noProof/>
          <w:szCs w:val="20"/>
          <w:lang w:val="es-ES"/>
        </w:rPr>
        <w:t>LA CONVENCIÓN SOBRE LOS HUMEDALES</w:t>
      </w:r>
    </w:p>
    <w:p w14:paraId="7B27DF17" w14:textId="77777777" w:rsidR="00126728" w:rsidRPr="00126728" w:rsidRDefault="00126728" w:rsidP="00126728">
      <w:pPr>
        <w:pBdr>
          <w:top w:val="single" w:sz="12" w:space="0" w:color="auto" w:shadow="1"/>
          <w:left w:val="single" w:sz="12" w:space="4" w:color="auto" w:shadow="1"/>
          <w:bottom w:val="single" w:sz="12" w:space="1" w:color="auto" w:shadow="1"/>
          <w:right w:val="single" w:sz="12" w:space="0" w:color="auto" w:shadow="1"/>
        </w:pBdr>
        <w:ind w:right="2792"/>
        <w:rPr>
          <w:noProof/>
          <w:lang w:val="es-ES"/>
        </w:rPr>
      </w:pPr>
      <w:r w:rsidRPr="00126728">
        <w:rPr>
          <w:noProof/>
          <w:lang w:val="es-ES"/>
        </w:rPr>
        <w:t>59ª Reunión del Comité Permanente</w:t>
      </w:r>
    </w:p>
    <w:p w14:paraId="109E1A25" w14:textId="77777777" w:rsidR="00126728" w:rsidRDefault="00126728" w:rsidP="00126728">
      <w:pPr>
        <w:pBdr>
          <w:top w:val="single" w:sz="12" w:space="0" w:color="auto" w:shadow="1"/>
          <w:left w:val="single" w:sz="12" w:space="4" w:color="auto" w:shadow="1"/>
          <w:bottom w:val="single" w:sz="12" w:space="1" w:color="auto" w:shadow="1"/>
          <w:right w:val="single" w:sz="12" w:space="0" w:color="auto" w:shadow="1"/>
        </w:pBdr>
        <w:ind w:right="2792"/>
        <w:rPr>
          <w:noProof/>
          <w:lang w:val="es-ES"/>
        </w:rPr>
      </w:pPr>
      <w:r w:rsidRPr="00126728">
        <w:rPr>
          <w:noProof/>
          <w:lang w:val="es-ES"/>
        </w:rPr>
        <w:t>Sesión reanudada</w:t>
      </w:r>
    </w:p>
    <w:p w14:paraId="0964FC15" w14:textId="2D7F8856" w:rsidR="00591472" w:rsidRPr="003A72EE" w:rsidRDefault="00591472" w:rsidP="00126728">
      <w:pPr>
        <w:pBdr>
          <w:top w:val="single" w:sz="12" w:space="0" w:color="auto" w:shadow="1"/>
          <w:left w:val="single" w:sz="12" w:space="4" w:color="auto" w:shadow="1"/>
          <w:bottom w:val="single" w:sz="12" w:space="1" w:color="auto" w:shadow="1"/>
          <w:right w:val="single" w:sz="12" w:space="0" w:color="auto" w:shadow="1"/>
        </w:pBdr>
        <w:ind w:right="2792"/>
        <w:rPr>
          <w:rFonts w:cstheme="minorHAnsi"/>
          <w:bCs/>
          <w:noProof/>
          <w:szCs w:val="20"/>
          <w:lang w:val="es-ES"/>
        </w:rPr>
      </w:pPr>
      <w:r w:rsidRPr="003A72EE">
        <w:rPr>
          <w:noProof/>
          <w:lang w:val="es-ES"/>
        </w:rPr>
        <w:t xml:space="preserve">Gland, </w:t>
      </w:r>
      <w:r w:rsidR="004626AB" w:rsidRPr="003A72EE">
        <w:rPr>
          <w:noProof/>
          <w:lang w:val="es-ES"/>
        </w:rPr>
        <w:t>Suiza</w:t>
      </w:r>
      <w:r w:rsidRPr="003A72EE">
        <w:rPr>
          <w:noProof/>
          <w:lang w:val="es-ES"/>
        </w:rPr>
        <w:t>, 23</w:t>
      </w:r>
      <w:r w:rsidR="004626AB" w:rsidRPr="003A72EE">
        <w:rPr>
          <w:noProof/>
          <w:lang w:val="es-ES"/>
        </w:rPr>
        <w:t xml:space="preserve"> a </w:t>
      </w:r>
      <w:r w:rsidRPr="003A72EE">
        <w:rPr>
          <w:noProof/>
          <w:lang w:val="es-ES"/>
        </w:rPr>
        <w:t xml:space="preserve">27 </w:t>
      </w:r>
      <w:r w:rsidR="004626AB" w:rsidRPr="003A72EE">
        <w:rPr>
          <w:noProof/>
          <w:lang w:val="es-ES"/>
        </w:rPr>
        <w:t>de mayo de</w:t>
      </w:r>
      <w:r w:rsidRPr="003A72EE">
        <w:rPr>
          <w:noProof/>
          <w:lang w:val="es-ES"/>
        </w:rPr>
        <w:t xml:space="preserve"> 2022</w:t>
      </w:r>
    </w:p>
    <w:p w14:paraId="02276A21" w14:textId="77777777" w:rsidR="00591472" w:rsidRPr="003A72EE" w:rsidRDefault="00591472" w:rsidP="00591472">
      <w:pPr>
        <w:rPr>
          <w:rFonts w:cstheme="minorBidi"/>
          <w:noProof/>
          <w:sz w:val="28"/>
          <w:lang w:val="es-ES"/>
        </w:rPr>
      </w:pPr>
    </w:p>
    <w:p w14:paraId="3D1F25D1" w14:textId="3320C21B" w:rsidR="00591472" w:rsidRPr="003A72EE" w:rsidRDefault="00591472" w:rsidP="00591472">
      <w:pPr>
        <w:jc w:val="right"/>
        <w:rPr>
          <w:rFonts w:cstheme="minorHAnsi"/>
          <w:b/>
          <w:noProof/>
          <w:sz w:val="28"/>
          <w:szCs w:val="28"/>
          <w:lang w:val="es-ES"/>
        </w:rPr>
      </w:pPr>
      <w:r w:rsidRPr="003A72EE">
        <w:rPr>
          <w:rFonts w:cstheme="minorHAnsi"/>
          <w:b/>
          <w:noProof/>
          <w:sz w:val="28"/>
          <w:szCs w:val="28"/>
          <w:lang w:val="es-ES"/>
        </w:rPr>
        <w:t>SC59/2022 Com.2</w:t>
      </w:r>
    </w:p>
    <w:p w14:paraId="6784BAC5" w14:textId="77777777" w:rsidR="00591472" w:rsidRPr="003A72EE" w:rsidRDefault="00591472" w:rsidP="00711D36">
      <w:pPr>
        <w:widowControl/>
        <w:rPr>
          <w:rFonts w:asciiTheme="minorHAnsi" w:hAnsiTheme="minorHAnsi" w:cstheme="minorHAnsi"/>
          <w:b/>
          <w:noProof/>
          <w:sz w:val="28"/>
          <w:szCs w:val="28"/>
          <w:lang w:val="es-ES"/>
        </w:rPr>
      </w:pPr>
    </w:p>
    <w:p w14:paraId="4C90FA8E" w14:textId="34004C12" w:rsidR="00F21AB2" w:rsidRPr="003A72EE" w:rsidRDefault="00F21AB2" w:rsidP="00591472">
      <w:pPr>
        <w:widowControl/>
        <w:jc w:val="center"/>
        <w:rPr>
          <w:rFonts w:asciiTheme="minorHAnsi" w:hAnsiTheme="minorHAnsi" w:cstheme="minorHAnsi"/>
          <w:b/>
          <w:noProof/>
          <w:sz w:val="28"/>
          <w:szCs w:val="28"/>
          <w:lang w:val="es-ES"/>
        </w:rPr>
      </w:pPr>
      <w:r w:rsidRPr="003A72EE">
        <w:rPr>
          <w:rFonts w:asciiTheme="minorHAnsi" w:hAnsiTheme="minorHAnsi" w:cstheme="minorHAnsi"/>
          <w:b/>
          <w:noProof/>
          <w:sz w:val="28"/>
          <w:szCs w:val="28"/>
          <w:lang w:val="es-ES"/>
        </w:rPr>
        <w:t>Informe del Subgrupo de Finanzas, 23 de mayo de 2022</w:t>
      </w:r>
    </w:p>
    <w:p w14:paraId="1227D19A" w14:textId="059D9835" w:rsidR="008E1AA5" w:rsidRDefault="008E1AA5" w:rsidP="00711D36">
      <w:pPr>
        <w:pStyle w:val="BodyText"/>
        <w:widowControl/>
        <w:rPr>
          <w:rFonts w:asciiTheme="minorHAnsi" w:hAnsiTheme="minorHAnsi" w:cstheme="minorHAnsi"/>
          <w:b/>
          <w:noProof/>
          <w:lang w:val="es-ES"/>
        </w:rPr>
      </w:pPr>
    </w:p>
    <w:p w14:paraId="09E4E74C" w14:textId="77777777" w:rsidR="00126728" w:rsidRPr="003A72EE" w:rsidRDefault="00126728" w:rsidP="00711D36">
      <w:pPr>
        <w:pStyle w:val="BodyText"/>
        <w:widowControl/>
        <w:rPr>
          <w:rFonts w:asciiTheme="minorHAnsi" w:hAnsiTheme="minorHAnsi" w:cstheme="minorHAnsi"/>
          <w:b/>
          <w:noProof/>
          <w:lang w:val="es-ES"/>
        </w:rPr>
      </w:pPr>
    </w:p>
    <w:p w14:paraId="7FD2580B" w14:textId="793223A3" w:rsidR="00F21AB2" w:rsidRPr="003A72EE" w:rsidRDefault="00F21AB2" w:rsidP="00711D36">
      <w:pPr>
        <w:pStyle w:val="BodyText"/>
        <w:widowControl/>
        <w:rPr>
          <w:rFonts w:asciiTheme="minorHAnsi" w:hAnsiTheme="minorHAnsi" w:cstheme="minorHAnsi"/>
          <w:bCs/>
          <w:i/>
          <w:iCs/>
          <w:noProof/>
          <w:lang w:val="es-ES"/>
        </w:rPr>
      </w:pPr>
      <w:r w:rsidRPr="003A72EE">
        <w:rPr>
          <w:rFonts w:asciiTheme="minorHAnsi" w:hAnsiTheme="minorHAnsi" w:cstheme="minorHAnsi"/>
          <w:bCs/>
          <w:i/>
          <w:iCs/>
          <w:noProof/>
          <w:lang w:val="es-ES"/>
        </w:rPr>
        <w:t xml:space="preserve">El presente informe </w:t>
      </w:r>
      <w:r w:rsidR="00CC6983" w:rsidRPr="003A72EE">
        <w:rPr>
          <w:rFonts w:asciiTheme="minorHAnsi" w:hAnsiTheme="minorHAnsi" w:cstheme="minorHAnsi"/>
          <w:bCs/>
          <w:i/>
          <w:iCs/>
          <w:noProof/>
          <w:lang w:val="es-ES"/>
        </w:rPr>
        <w:t>contiene</w:t>
      </w:r>
      <w:r w:rsidRPr="003A72EE">
        <w:rPr>
          <w:rFonts w:asciiTheme="minorHAnsi" w:hAnsiTheme="minorHAnsi" w:cstheme="minorHAnsi"/>
          <w:bCs/>
          <w:i/>
          <w:iCs/>
          <w:noProof/>
          <w:lang w:val="es-ES"/>
        </w:rPr>
        <w:t xml:space="preserve"> las recomendaciones realizadas el 23 de mayo de 2022 en la reunión del Subgrupo de Finanzas, con </w:t>
      </w:r>
      <w:r w:rsidR="00CC6983" w:rsidRPr="003A72EE">
        <w:rPr>
          <w:rFonts w:asciiTheme="minorHAnsi" w:hAnsiTheme="minorHAnsi" w:cstheme="minorHAnsi"/>
          <w:bCs/>
          <w:i/>
          <w:iCs/>
          <w:noProof/>
          <w:lang w:val="es-ES"/>
        </w:rPr>
        <w:t>la finalidad</w:t>
      </w:r>
      <w:r w:rsidRPr="003A72EE">
        <w:rPr>
          <w:rFonts w:asciiTheme="minorHAnsi" w:hAnsiTheme="minorHAnsi" w:cstheme="minorHAnsi"/>
          <w:bCs/>
          <w:i/>
          <w:iCs/>
          <w:noProof/>
          <w:lang w:val="es-ES"/>
        </w:rPr>
        <w:t xml:space="preserve"> de someterlas a la consideración del Comité Permanente. En caso necesario, el Subgrupo se reunirá de nuevo </w:t>
      </w:r>
      <w:r w:rsidR="00CC6983" w:rsidRPr="003A72EE">
        <w:rPr>
          <w:rFonts w:asciiTheme="minorHAnsi" w:hAnsiTheme="minorHAnsi" w:cstheme="minorHAnsi"/>
          <w:bCs/>
          <w:i/>
          <w:iCs/>
          <w:noProof/>
          <w:lang w:val="es-ES"/>
        </w:rPr>
        <w:t>en el transcurso de</w:t>
      </w:r>
      <w:r w:rsidRPr="003A72EE">
        <w:rPr>
          <w:rFonts w:asciiTheme="minorHAnsi" w:hAnsiTheme="minorHAnsi" w:cstheme="minorHAnsi"/>
          <w:bCs/>
          <w:i/>
          <w:iCs/>
          <w:noProof/>
          <w:lang w:val="es-ES"/>
        </w:rPr>
        <w:t xml:space="preserve"> la semana para </w:t>
      </w:r>
      <w:r w:rsidR="00CC6983" w:rsidRPr="003A72EE">
        <w:rPr>
          <w:rFonts w:asciiTheme="minorHAnsi" w:hAnsiTheme="minorHAnsi" w:cstheme="minorHAnsi"/>
          <w:bCs/>
          <w:i/>
          <w:iCs/>
          <w:noProof/>
          <w:lang w:val="es-ES"/>
        </w:rPr>
        <w:t>examinar</w:t>
      </w:r>
      <w:r w:rsidRPr="003A72EE">
        <w:rPr>
          <w:rFonts w:asciiTheme="minorHAnsi" w:hAnsiTheme="minorHAnsi" w:cstheme="minorHAnsi"/>
          <w:bCs/>
          <w:i/>
          <w:iCs/>
          <w:noProof/>
          <w:lang w:val="es-ES"/>
        </w:rPr>
        <w:t xml:space="preserve"> </w:t>
      </w:r>
      <w:r w:rsidR="00D11D9C" w:rsidRPr="003A72EE">
        <w:rPr>
          <w:rFonts w:asciiTheme="minorHAnsi" w:hAnsiTheme="minorHAnsi" w:cstheme="minorHAnsi"/>
          <w:bCs/>
          <w:i/>
          <w:iCs/>
          <w:noProof/>
          <w:lang w:val="es-ES"/>
        </w:rPr>
        <w:t xml:space="preserve">las </w:t>
      </w:r>
      <w:r w:rsidR="00CC6983" w:rsidRPr="003A72EE">
        <w:rPr>
          <w:rFonts w:asciiTheme="minorHAnsi" w:hAnsiTheme="minorHAnsi" w:cstheme="minorHAnsi"/>
          <w:bCs/>
          <w:i/>
          <w:iCs/>
          <w:noProof/>
          <w:lang w:val="es-ES"/>
        </w:rPr>
        <w:t>cuestiones</w:t>
      </w:r>
      <w:r w:rsidRPr="003A72EE">
        <w:rPr>
          <w:rFonts w:asciiTheme="minorHAnsi" w:hAnsiTheme="minorHAnsi" w:cstheme="minorHAnsi"/>
          <w:bCs/>
          <w:i/>
          <w:iCs/>
          <w:noProof/>
          <w:lang w:val="es-ES"/>
        </w:rPr>
        <w:t xml:space="preserve"> </w:t>
      </w:r>
      <w:r w:rsidR="00D11D9C" w:rsidRPr="003A72EE">
        <w:rPr>
          <w:rFonts w:asciiTheme="minorHAnsi" w:hAnsiTheme="minorHAnsi" w:cstheme="minorHAnsi"/>
          <w:bCs/>
          <w:i/>
          <w:iCs/>
          <w:noProof/>
          <w:lang w:val="es-ES"/>
        </w:rPr>
        <w:t>derivadas</w:t>
      </w:r>
      <w:r w:rsidR="00CC6983" w:rsidRPr="003A72EE">
        <w:rPr>
          <w:rFonts w:asciiTheme="minorHAnsi" w:hAnsiTheme="minorHAnsi" w:cstheme="minorHAnsi"/>
          <w:bCs/>
          <w:i/>
          <w:iCs/>
          <w:noProof/>
          <w:lang w:val="es-ES"/>
        </w:rPr>
        <w:t xml:space="preserve"> </w:t>
      </w:r>
      <w:r w:rsidR="00D11D9C" w:rsidRPr="003A72EE">
        <w:rPr>
          <w:rFonts w:asciiTheme="minorHAnsi" w:hAnsiTheme="minorHAnsi" w:cstheme="minorHAnsi"/>
          <w:bCs/>
          <w:i/>
          <w:iCs/>
          <w:noProof/>
          <w:lang w:val="es-ES"/>
        </w:rPr>
        <w:t>de</w:t>
      </w:r>
      <w:r w:rsidRPr="003A72EE">
        <w:rPr>
          <w:rFonts w:asciiTheme="minorHAnsi" w:hAnsiTheme="minorHAnsi" w:cstheme="minorHAnsi"/>
          <w:bCs/>
          <w:i/>
          <w:iCs/>
          <w:noProof/>
          <w:lang w:val="es-ES"/>
        </w:rPr>
        <w:t xml:space="preserve"> </w:t>
      </w:r>
      <w:r w:rsidR="00CC6983" w:rsidRPr="003A72EE">
        <w:rPr>
          <w:rFonts w:asciiTheme="minorHAnsi" w:hAnsiTheme="minorHAnsi" w:cstheme="minorHAnsi"/>
          <w:bCs/>
          <w:i/>
          <w:iCs/>
          <w:noProof/>
          <w:lang w:val="es-ES"/>
        </w:rPr>
        <w:t>las deliberaciones</w:t>
      </w:r>
      <w:r w:rsidRPr="003A72EE">
        <w:rPr>
          <w:rFonts w:asciiTheme="minorHAnsi" w:hAnsiTheme="minorHAnsi" w:cstheme="minorHAnsi"/>
          <w:bCs/>
          <w:i/>
          <w:iCs/>
          <w:noProof/>
          <w:lang w:val="es-ES"/>
        </w:rPr>
        <w:t xml:space="preserve"> del Comité Permanente. El informe </w:t>
      </w:r>
      <w:r w:rsidR="00D11D9C" w:rsidRPr="003A72EE">
        <w:rPr>
          <w:rFonts w:asciiTheme="minorHAnsi" w:hAnsiTheme="minorHAnsi" w:cstheme="minorHAnsi"/>
          <w:bCs/>
          <w:i/>
          <w:iCs/>
          <w:noProof/>
          <w:lang w:val="es-ES"/>
        </w:rPr>
        <w:t>modificado que el Comité Permanente examinará incluirá</w:t>
      </w:r>
      <w:r w:rsidRPr="003A72EE">
        <w:rPr>
          <w:rFonts w:asciiTheme="minorHAnsi" w:hAnsiTheme="minorHAnsi" w:cstheme="minorHAnsi"/>
          <w:bCs/>
          <w:i/>
          <w:iCs/>
          <w:noProof/>
          <w:lang w:val="es-ES"/>
        </w:rPr>
        <w:t xml:space="preserve"> las recomendaciones </w:t>
      </w:r>
      <w:r w:rsidR="00D11D9C" w:rsidRPr="003A72EE">
        <w:rPr>
          <w:rFonts w:asciiTheme="minorHAnsi" w:hAnsiTheme="minorHAnsi" w:cstheme="minorHAnsi"/>
          <w:bCs/>
          <w:i/>
          <w:iCs/>
          <w:noProof/>
          <w:lang w:val="es-ES"/>
        </w:rPr>
        <w:t xml:space="preserve">sobre </w:t>
      </w:r>
      <w:r w:rsidRPr="003A72EE">
        <w:rPr>
          <w:rFonts w:asciiTheme="minorHAnsi" w:hAnsiTheme="minorHAnsi" w:cstheme="minorHAnsi"/>
          <w:bCs/>
          <w:i/>
          <w:iCs/>
          <w:noProof/>
          <w:lang w:val="es-ES"/>
        </w:rPr>
        <w:t>estas cuestione</w:t>
      </w:r>
      <w:r w:rsidR="00D11D9C" w:rsidRPr="003A72EE">
        <w:rPr>
          <w:rFonts w:asciiTheme="minorHAnsi" w:hAnsiTheme="minorHAnsi" w:cstheme="minorHAnsi"/>
          <w:bCs/>
          <w:i/>
          <w:iCs/>
          <w:noProof/>
          <w:lang w:val="es-ES"/>
        </w:rPr>
        <w:t>s y</w:t>
      </w:r>
      <w:r w:rsidRPr="003A72EE">
        <w:rPr>
          <w:rFonts w:asciiTheme="minorHAnsi" w:hAnsiTheme="minorHAnsi" w:cstheme="minorHAnsi"/>
          <w:bCs/>
          <w:i/>
          <w:iCs/>
          <w:noProof/>
          <w:lang w:val="es-ES"/>
        </w:rPr>
        <w:t xml:space="preserve"> </w:t>
      </w:r>
      <w:r w:rsidR="00D11D9C" w:rsidRPr="003A72EE">
        <w:rPr>
          <w:rFonts w:asciiTheme="minorHAnsi" w:hAnsiTheme="minorHAnsi" w:cstheme="minorHAnsi"/>
          <w:bCs/>
          <w:i/>
          <w:iCs/>
          <w:noProof/>
          <w:lang w:val="es-ES"/>
        </w:rPr>
        <w:t>se incorporará en el</w:t>
      </w:r>
      <w:r w:rsidRPr="003A72EE">
        <w:rPr>
          <w:rFonts w:asciiTheme="minorHAnsi" w:hAnsiTheme="minorHAnsi" w:cstheme="minorHAnsi"/>
          <w:bCs/>
          <w:i/>
          <w:iCs/>
          <w:noProof/>
          <w:lang w:val="es-ES"/>
        </w:rPr>
        <w:t xml:space="preserve"> informe final de la reunión.</w:t>
      </w:r>
    </w:p>
    <w:p w14:paraId="1F111673" w14:textId="4BAEC739" w:rsidR="0002451C" w:rsidRPr="003A72EE" w:rsidRDefault="0002451C" w:rsidP="00711D36">
      <w:pPr>
        <w:widowControl/>
        <w:tabs>
          <w:tab w:val="left" w:pos="960"/>
        </w:tabs>
        <w:rPr>
          <w:rFonts w:asciiTheme="minorHAnsi" w:hAnsiTheme="minorHAnsi" w:cstheme="minorHAnsi"/>
          <w:noProof/>
          <w:lang w:val="es-ES"/>
        </w:rPr>
      </w:pPr>
    </w:p>
    <w:p w14:paraId="0068104E" w14:textId="427AC962" w:rsidR="004626AB" w:rsidRPr="003A72EE" w:rsidRDefault="004626AB" w:rsidP="00711D36">
      <w:pPr>
        <w:widowControl/>
        <w:rPr>
          <w:rFonts w:asciiTheme="minorHAnsi" w:hAnsiTheme="minorHAnsi" w:cstheme="minorHAnsi"/>
          <w:noProof/>
          <w:lang w:val="es-ES"/>
        </w:rPr>
      </w:pPr>
      <w:r w:rsidRPr="003A72EE">
        <w:rPr>
          <w:rFonts w:asciiTheme="minorHAnsi" w:hAnsiTheme="minorHAnsi" w:cstheme="minorHAnsi"/>
          <w:noProof/>
          <w:lang w:val="es-ES"/>
        </w:rPr>
        <w:t xml:space="preserve">El Presidente </w:t>
      </w:r>
      <w:r w:rsidR="002A55BB" w:rsidRPr="003A72EE">
        <w:rPr>
          <w:rFonts w:asciiTheme="minorHAnsi" w:hAnsiTheme="minorHAnsi" w:cstheme="minorHAnsi"/>
          <w:noProof/>
          <w:lang w:val="es-ES"/>
        </w:rPr>
        <w:t>inauguró</w:t>
      </w:r>
      <w:r w:rsidRPr="003A72EE">
        <w:rPr>
          <w:rFonts w:asciiTheme="minorHAnsi" w:hAnsiTheme="minorHAnsi" w:cstheme="minorHAnsi"/>
          <w:noProof/>
          <w:lang w:val="es-ES"/>
        </w:rPr>
        <w:t xml:space="preserve"> la reunión y pid</w:t>
      </w:r>
      <w:r w:rsidR="002A55BB" w:rsidRPr="003A72EE">
        <w:rPr>
          <w:rFonts w:asciiTheme="minorHAnsi" w:hAnsiTheme="minorHAnsi" w:cstheme="minorHAnsi"/>
          <w:noProof/>
          <w:lang w:val="es-ES"/>
        </w:rPr>
        <w:t>ió</w:t>
      </w:r>
      <w:r w:rsidRPr="003A72EE">
        <w:rPr>
          <w:rFonts w:asciiTheme="minorHAnsi" w:hAnsiTheme="minorHAnsi" w:cstheme="minorHAnsi"/>
          <w:noProof/>
          <w:lang w:val="es-ES"/>
        </w:rPr>
        <w:t xml:space="preserve"> al Subgrupo que </w:t>
      </w:r>
      <w:r w:rsidR="002A55BB" w:rsidRPr="003A72EE">
        <w:rPr>
          <w:rFonts w:asciiTheme="minorHAnsi" w:hAnsiTheme="minorHAnsi" w:cstheme="minorHAnsi"/>
          <w:noProof/>
          <w:lang w:val="es-ES"/>
        </w:rPr>
        <w:t>informara sobre</w:t>
      </w:r>
      <w:r w:rsidRPr="003A72EE">
        <w:rPr>
          <w:rFonts w:asciiTheme="minorHAnsi" w:hAnsiTheme="minorHAnsi" w:cstheme="minorHAnsi"/>
          <w:noProof/>
          <w:lang w:val="es-ES"/>
        </w:rPr>
        <w:t xml:space="preserve"> las acciones solicitadas en los documentos sobre </w:t>
      </w:r>
      <w:r w:rsidR="002A55BB" w:rsidRPr="003A72EE">
        <w:rPr>
          <w:rFonts w:asciiTheme="minorHAnsi" w:hAnsiTheme="minorHAnsi" w:cstheme="minorHAnsi"/>
          <w:noProof/>
          <w:lang w:val="es-ES"/>
        </w:rPr>
        <w:t>cuestiones</w:t>
      </w:r>
      <w:r w:rsidRPr="003A72EE">
        <w:rPr>
          <w:rFonts w:asciiTheme="minorHAnsi" w:hAnsiTheme="minorHAnsi" w:cstheme="minorHAnsi"/>
          <w:noProof/>
          <w:lang w:val="es-ES"/>
        </w:rPr>
        <w:t xml:space="preserve"> financier</w:t>
      </w:r>
      <w:r w:rsidR="002A55BB" w:rsidRPr="003A72EE">
        <w:rPr>
          <w:rFonts w:asciiTheme="minorHAnsi" w:hAnsiTheme="minorHAnsi" w:cstheme="minorHAnsi"/>
          <w:noProof/>
          <w:lang w:val="es-ES"/>
        </w:rPr>
        <w:t>a</w:t>
      </w:r>
      <w:r w:rsidRPr="003A72EE">
        <w:rPr>
          <w:rFonts w:asciiTheme="minorHAnsi" w:hAnsiTheme="minorHAnsi" w:cstheme="minorHAnsi"/>
          <w:noProof/>
          <w:lang w:val="es-ES"/>
        </w:rPr>
        <w:t>s y presupuestari</w:t>
      </w:r>
      <w:r w:rsidR="002A55BB" w:rsidRPr="003A72EE">
        <w:rPr>
          <w:rFonts w:asciiTheme="minorHAnsi" w:hAnsiTheme="minorHAnsi" w:cstheme="minorHAnsi"/>
          <w:noProof/>
          <w:lang w:val="es-ES"/>
        </w:rPr>
        <w:t>a</w:t>
      </w:r>
      <w:r w:rsidRPr="003A72EE">
        <w:rPr>
          <w:rFonts w:asciiTheme="minorHAnsi" w:hAnsiTheme="minorHAnsi" w:cstheme="minorHAnsi"/>
          <w:noProof/>
          <w:lang w:val="es-ES"/>
        </w:rPr>
        <w:t xml:space="preserve">s, señalando que </w:t>
      </w:r>
      <w:r w:rsidR="00D645DD" w:rsidRPr="003A72EE">
        <w:rPr>
          <w:rFonts w:asciiTheme="minorHAnsi" w:hAnsiTheme="minorHAnsi" w:cstheme="minorHAnsi"/>
          <w:noProof/>
          <w:lang w:val="es-ES"/>
        </w:rPr>
        <w:t>las deliberaciones</w:t>
      </w:r>
      <w:r w:rsidRPr="003A72EE">
        <w:rPr>
          <w:rFonts w:asciiTheme="minorHAnsi" w:hAnsiTheme="minorHAnsi" w:cstheme="minorHAnsi"/>
          <w:noProof/>
          <w:lang w:val="es-ES"/>
        </w:rPr>
        <w:t xml:space="preserve"> </w:t>
      </w:r>
      <w:r w:rsidR="00D645DD" w:rsidRPr="003A72EE">
        <w:rPr>
          <w:rFonts w:asciiTheme="minorHAnsi" w:hAnsiTheme="minorHAnsi" w:cstheme="minorHAnsi"/>
          <w:noProof/>
          <w:lang w:val="es-ES"/>
        </w:rPr>
        <w:t>relacionadas con</w:t>
      </w:r>
      <w:r w:rsidRPr="003A72EE">
        <w:rPr>
          <w:rFonts w:asciiTheme="minorHAnsi" w:hAnsiTheme="minorHAnsi" w:cstheme="minorHAnsi"/>
          <w:noProof/>
          <w:lang w:val="es-ES"/>
        </w:rPr>
        <w:t xml:space="preserve"> el </w:t>
      </w:r>
      <w:r w:rsidR="002A55BB" w:rsidRPr="003A72EE">
        <w:rPr>
          <w:rFonts w:asciiTheme="minorHAnsi" w:hAnsiTheme="minorHAnsi" w:cstheme="minorHAnsi"/>
          <w:noProof/>
          <w:lang w:val="es-ES"/>
        </w:rPr>
        <w:t>excedente</w:t>
      </w:r>
      <w:r w:rsidRPr="003A72EE">
        <w:rPr>
          <w:rFonts w:asciiTheme="minorHAnsi" w:hAnsiTheme="minorHAnsi" w:cstheme="minorHAnsi"/>
          <w:noProof/>
          <w:lang w:val="es-ES"/>
        </w:rPr>
        <w:t xml:space="preserve">, la asignación del </w:t>
      </w:r>
      <w:r w:rsidR="002A55BB" w:rsidRPr="003A72EE">
        <w:rPr>
          <w:rFonts w:asciiTheme="minorHAnsi" w:hAnsiTheme="minorHAnsi" w:cstheme="minorHAnsi"/>
          <w:noProof/>
          <w:lang w:val="es-ES"/>
        </w:rPr>
        <w:t>excedente</w:t>
      </w:r>
      <w:r w:rsidRPr="003A72EE">
        <w:rPr>
          <w:rFonts w:asciiTheme="minorHAnsi" w:hAnsiTheme="minorHAnsi" w:cstheme="minorHAnsi"/>
          <w:noProof/>
          <w:lang w:val="es-ES"/>
        </w:rPr>
        <w:t xml:space="preserve"> y los ajustes al presupuesto de 2022 se </w:t>
      </w:r>
      <w:r w:rsidR="002A55BB" w:rsidRPr="003A72EE">
        <w:rPr>
          <w:rFonts w:asciiTheme="minorHAnsi" w:hAnsiTheme="minorHAnsi" w:cstheme="minorHAnsi"/>
          <w:noProof/>
          <w:lang w:val="es-ES"/>
        </w:rPr>
        <w:t>examinar</w:t>
      </w:r>
      <w:r w:rsidR="00D645DD" w:rsidRPr="003A72EE">
        <w:rPr>
          <w:rFonts w:asciiTheme="minorHAnsi" w:hAnsiTheme="minorHAnsi" w:cstheme="minorHAnsi"/>
          <w:noProof/>
          <w:lang w:val="es-ES"/>
        </w:rPr>
        <w:t>ía</w:t>
      </w:r>
      <w:r w:rsidR="002A55BB" w:rsidRPr="003A72EE">
        <w:rPr>
          <w:rFonts w:asciiTheme="minorHAnsi" w:hAnsiTheme="minorHAnsi" w:cstheme="minorHAnsi"/>
          <w:noProof/>
          <w:lang w:val="es-ES"/>
        </w:rPr>
        <w:t>n</w:t>
      </w:r>
      <w:r w:rsidRPr="003A72EE">
        <w:rPr>
          <w:rFonts w:asciiTheme="minorHAnsi" w:hAnsiTheme="minorHAnsi" w:cstheme="minorHAnsi"/>
          <w:noProof/>
          <w:lang w:val="es-ES"/>
        </w:rPr>
        <w:t xml:space="preserve"> después de </w:t>
      </w:r>
      <w:r w:rsidR="002A55BB" w:rsidRPr="003A72EE">
        <w:rPr>
          <w:rFonts w:asciiTheme="minorHAnsi" w:hAnsiTheme="minorHAnsi" w:cstheme="minorHAnsi"/>
          <w:noProof/>
          <w:lang w:val="es-ES"/>
        </w:rPr>
        <w:t>las cuestiones</w:t>
      </w:r>
      <w:r w:rsidRPr="003A72EE">
        <w:rPr>
          <w:rFonts w:asciiTheme="minorHAnsi" w:hAnsiTheme="minorHAnsi" w:cstheme="minorHAnsi"/>
          <w:noProof/>
          <w:lang w:val="es-ES"/>
        </w:rPr>
        <w:t xml:space="preserve"> relativ</w:t>
      </w:r>
      <w:r w:rsidR="002A55BB" w:rsidRPr="003A72EE">
        <w:rPr>
          <w:rFonts w:asciiTheme="minorHAnsi" w:hAnsiTheme="minorHAnsi" w:cstheme="minorHAnsi"/>
          <w:noProof/>
          <w:lang w:val="es-ES"/>
        </w:rPr>
        <w:t>a</w:t>
      </w:r>
      <w:r w:rsidRPr="003A72EE">
        <w:rPr>
          <w:rFonts w:asciiTheme="minorHAnsi" w:hAnsiTheme="minorHAnsi" w:cstheme="minorHAnsi"/>
          <w:noProof/>
          <w:lang w:val="es-ES"/>
        </w:rPr>
        <w:t xml:space="preserve">s a las contribuciones anuales, los escenarios presupuestarios, el proyecto de resolución sobre </w:t>
      </w:r>
      <w:r w:rsidR="002A55BB" w:rsidRPr="003A72EE">
        <w:rPr>
          <w:rFonts w:asciiTheme="minorHAnsi" w:hAnsiTheme="minorHAnsi" w:cstheme="minorHAnsi"/>
          <w:noProof/>
          <w:lang w:val="es-ES"/>
        </w:rPr>
        <w:t>cuestiones</w:t>
      </w:r>
      <w:r w:rsidRPr="003A72EE">
        <w:rPr>
          <w:rFonts w:asciiTheme="minorHAnsi" w:hAnsiTheme="minorHAnsi" w:cstheme="minorHAnsi"/>
          <w:noProof/>
          <w:lang w:val="es-ES"/>
        </w:rPr>
        <w:t xml:space="preserve"> financier</w:t>
      </w:r>
      <w:r w:rsidR="00D645DD" w:rsidRPr="003A72EE">
        <w:rPr>
          <w:rFonts w:asciiTheme="minorHAnsi" w:hAnsiTheme="minorHAnsi" w:cstheme="minorHAnsi"/>
          <w:noProof/>
          <w:lang w:val="es-ES"/>
        </w:rPr>
        <w:t>a</w:t>
      </w:r>
      <w:r w:rsidRPr="003A72EE">
        <w:rPr>
          <w:rFonts w:asciiTheme="minorHAnsi" w:hAnsiTheme="minorHAnsi" w:cstheme="minorHAnsi"/>
          <w:noProof/>
          <w:lang w:val="es-ES"/>
        </w:rPr>
        <w:t>s y presupuestari</w:t>
      </w:r>
      <w:r w:rsidR="00D645DD" w:rsidRPr="003A72EE">
        <w:rPr>
          <w:rFonts w:asciiTheme="minorHAnsi" w:hAnsiTheme="minorHAnsi" w:cstheme="minorHAnsi"/>
          <w:noProof/>
          <w:lang w:val="es-ES"/>
        </w:rPr>
        <w:t>a</w:t>
      </w:r>
      <w:r w:rsidRPr="003A72EE">
        <w:rPr>
          <w:rFonts w:asciiTheme="minorHAnsi" w:hAnsiTheme="minorHAnsi" w:cstheme="minorHAnsi"/>
          <w:noProof/>
          <w:lang w:val="es-ES"/>
        </w:rPr>
        <w:t xml:space="preserve">s y las </w:t>
      </w:r>
      <w:r w:rsidR="002A55BB" w:rsidRPr="003A72EE">
        <w:rPr>
          <w:rFonts w:asciiTheme="minorHAnsi" w:hAnsiTheme="minorHAnsi" w:cstheme="minorHAnsi"/>
          <w:noProof/>
          <w:lang w:val="es-ES"/>
        </w:rPr>
        <w:t>repercusiones</w:t>
      </w:r>
      <w:r w:rsidRPr="003A72EE">
        <w:rPr>
          <w:rFonts w:asciiTheme="minorHAnsi" w:hAnsiTheme="minorHAnsi" w:cstheme="minorHAnsi"/>
          <w:noProof/>
          <w:lang w:val="es-ES"/>
        </w:rPr>
        <w:t xml:space="preserve"> financieras de los proyectos de resolución. </w:t>
      </w:r>
    </w:p>
    <w:p w14:paraId="35EFDE8A" w14:textId="3F20C148" w:rsidR="00642406" w:rsidRDefault="00642406" w:rsidP="00711D36">
      <w:pPr>
        <w:rPr>
          <w:noProof/>
          <w:lang w:val="es-ES"/>
        </w:rPr>
      </w:pPr>
    </w:p>
    <w:p w14:paraId="66A3B0A9" w14:textId="77777777" w:rsidR="00126728" w:rsidRPr="003A72EE" w:rsidRDefault="00126728" w:rsidP="00711D36">
      <w:pPr>
        <w:rPr>
          <w:noProof/>
          <w:lang w:val="es-ES"/>
        </w:rPr>
      </w:pPr>
    </w:p>
    <w:p w14:paraId="05590A90" w14:textId="2DDC9F44" w:rsidR="00356EEC" w:rsidRPr="003A72EE" w:rsidRDefault="00711D36" w:rsidP="008F6EDE">
      <w:pPr>
        <w:widowControl/>
        <w:autoSpaceDE/>
        <w:autoSpaceDN/>
        <w:ind w:left="426" w:hanging="426"/>
        <w:rPr>
          <w:rFonts w:asciiTheme="minorHAnsi" w:hAnsiTheme="minorHAnsi" w:cstheme="minorHAnsi"/>
          <w:b/>
          <w:noProof/>
          <w:lang w:val="es-ES"/>
        </w:rPr>
      </w:pPr>
      <w:r w:rsidRPr="003A72EE">
        <w:rPr>
          <w:rFonts w:asciiTheme="minorHAnsi" w:hAnsiTheme="minorHAnsi" w:cstheme="minorHAnsi"/>
          <w:b/>
          <w:noProof/>
          <w:lang w:val="es-ES"/>
        </w:rPr>
        <w:t>1.</w:t>
      </w:r>
      <w:r w:rsidRPr="003A72EE">
        <w:rPr>
          <w:rFonts w:asciiTheme="minorHAnsi" w:hAnsiTheme="minorHAnsi" w:cstheme="minorHAnsi"/>
          <w:b/>
          <w:noProof/>
          <w:lang w:val="es-ES"/>
        </w:rPr>
        <w:tab/>
      </w:r>
      <w:r w:rsidR="00D645DD" w:rsidRPr="003A72EE">
        <w:rPr>
          <w:rFonts w:asciiTheme="minorHAnsi" w:hAnsiTheme="minorHAnsi" w:cstheme="minorHAnsi"/>
          <w:b/>
          <w:noProof/>
          <w:lang w:val="es-ES"/>
        </w:rPr>
        <w:t xml:space="preserve">Estado de las contribuciones anuales </w:t>
      </w:r>
      <w:r w:rsidR="00356EEC" w:rsidRPr="003A72EE">
        <w:rPr>
          <w:rFonts w:asciiTheme="minorHAnsi" w:hAnsiTheme="minorHAnsi" w:cstheme="minorHAnsi"/>
          <w:b/>
          <w:noProof/>
          <w:lang w:val="es-ES"/>
        </w:rPr>
        <w:t>(</w:t>
      </w:r>
      <w:r w:rsidR="00273A11" w:rsidRPr="003A72EE">
        <w:rPr>
          <w:rFonts w:asciiTheme="minorHAnsi" w:hAnsiTheme="minorHAnsi" w:cstheme="minorHAnsi"/>
          <w:b/>
          <w:noProof/>
          <w:lang w:val="es-ES"/>
        </w:rPr>
        <w:t>document</w:t>
      </w:r>
      <w:r w:rsidR="00D645DD" w:rsidRPr="003A72EE">
        <w:rPr>
          <w:rFonts w:asciiTheme="minorHAnsi" w:hAnsiTheme="minorHAnsi" w:cstheme="minorHAnsi"/>
          <w:b/>
          <w:noProof/>
          <w:lang w:val="es-ES"/>
        </w:rPr>
        <w:t>o</w:t>
      </w:r>
      <w:r w:rsidR="00273A11" w:rsidRPr="003A72EE">
        <w:rPr>
          <w:rFonts w:asciiTheme="minorHAnsi" w:hAnsiTheme="minorHAnsi" w:cstheme="minorHAnsi"/>
          <w:b/>
          <w:noProof/>
          <w:lang w:val="es-ES"/>
        </w:rPr>
        <w:t xml:space="preserve"> </w:t>
      </w:r>
      <w:r w:rsidR="00356EEC" w:rsidRPr="003A72EE">
        <w:rPr>
          <w:rFonts w:asciiTheme="minorHAnsi" w:hAnsiTheme="minorHAnsi" w:cstheme="minorHAnsi"/>
          <w:b/>
          <w:noProof/>
          <w:lang w:val="es-ES"/>
        </w:rPr>
        <w:t>SC59/2022 Doc.8.2)</w:t>
      </w:r>
    </w:p>
    <w:p w14:paraId="70C48F73" w14:textId="77777777" w:rsidR="00356EEC" w:rsidRPr="003A72EE" w:rsidRDefault="00356EEC" w:rsidP="00711D36">
      <w:pPr>
        <w:widowControl/>
        <w:ind w:left="426" w:hanging="426"/>
        <w:rPr>
          <w:rFonts w:asciiTheme="minorHAnsi" w:hAnsiTheme="minorHAnsi" w:cstheme="minorHAnsi"/>
          <w:noProof/>
          <w:lang w:val="es-ES"/>
        </w:rPr>
      </w:pPr>
    </w:p>
    <w:p w14:paraId="10F0CD10" w14:textId="06DD8397" w:rsidR="00D645DD" w:rsidRPr="003A72EE" w:rsidRDefault="00D645DD" w:rsidP="00711D36">
      <w:pPr>
        <w:widowControl/>
        <w:rPr>
          <w:rFonts w:asciiTheme="minorHAnsi" w:hAnsiTheme="minorHAnsi" w:cstheme="minorHAnsi"/>
          <w:noProof/>
          <w:lang w:val="es-ES"/>
        </w:rPr>
      </w:pPr>
      <w:r w:rsidRPr="003A72EE">
        <w:rPr>
          <w:rFonts w:asciiTheme="minorHAnsi" w:hAnsiTheme="minorHAnsi" w:cstheme="minorHAnsi"/>
          <w:noProof/>
          <w:lang w:val="es-ES"/>
        </w:rPr>
        <w:t>La Secretaria</w:t>
      </w:r>
      <w:r w:rsidR="00356EEC" w:rsidRPr="003A72EE">
        <w:rPr>
          <w:rFonts w:asciiTheme="minorHAnsi" w:hAnsiTheme="minorHAnsi" w:cstheme="minorHAnsi"/>
          <w:noProof/>
          <w:lang w:val="es-ES"/>
        </w:rPr>
        <w:t xml:space="preserve"> General </w:t>
      </w:r>
      <w:r w:rsidRPr="003A72EE">
        <w:rPr>
          <w:rFonts w:asciiTheme="minorHAnsi" w:hAnsiTheme="minorHAnsi" w:cstheme="minorHAnsi"/>
          <w:noProof/>
          <w:lang w:val="es-ES"/>
        </w:rPr>
        <w:t>resumió brevemente el documento, señalando que el total de las contribuciones adeudadas había disminuido</w:t>
      </w:r>
      <w:r w:rsidR="00516474" w:rsidRPr="003A72EE">
        <w:rPr>
          <w:rFonts w:asciiTheme="minorHAnsi" w:hAnsiTheme="minorHAnsi" w:cstheme="minorHAnsi"/>
          <w:noProof/>
          <w:lang w:val="es-ES"/>
        </w:rPr>
        <w:t xml:space="preserve"> en</w:t>
      </w:r>
      <w:r w:rsidRPr="003A72EE">
        <w:rPr>
          <w:rFonts w:asciiTheme="minorHAnsi" w:hAnsiTheme="minorHAnsi" w:cstheme="minorHAnsi"/>
          <w:noProof/>
          <w:lang w:val="es-ES"/>
        </w:rPr>
        <w:t xml:space="preserve"> un 8 % en comparación con 2020. La Secretaría indicó que las acciones sobre la confirmación por parte del grupo de las contribuciones pendientes habían sido eficaces para cumplir con los requisitos del auditor.</w:t>
      </w:r>
    </w:p>
    <w:p w14:paraId="51F33C7E" w14:textId="77777777" w:rsidR="00D645DD" w:rsidRPr="003A72EE" w:rsidRDefault="00D645DD" w:rsidP="00711D36">
      <w:pPr>
        <w:widowControl/>
        <w:rPr>
          <w:rFonts w:asciiTheme="minorHAnsi" w:hAnsiTheme="minorHAnsi" w:cstheme="minorHAnsi"/>
          <w:noProof/>
          <w:lang w:val="es-ES"/>
        </w:rPr>
      </w:pPr>
    </w:p>
    <w:p w14:paraId="5276DBAE" w14:textId="3A07316A" w:rsidR="002B56FE" w:rsidRPr="003A72EE" w:rsidRDefault="00516474" w:rsidP="00711D36">
      <w:pPr>
        <w:widowControl/>
        <w:rPr>
          <w:rFonts w:asciiTheme="minorHAnsi" w:hAnsiTheme="minorHAnsi" w:cstheme="minorHAnsi"/>
          <w:noProof/>
          <w:lang w:val="es-ES"/>
        </w:rPr>
      </w:pPr>
      <w:r w:rsidRPr="003A72EE">
        <w:rPr>
          <w:rFonts w:asciiTheme="minorHAnsi" w:hAnsiTheme="minorHAnsi" w:cstheme="minorHAnsi"/>
          <w:noProof/>
          <w:lang w:val="es-ES"/>
        </w:rPr>
        <w:t xml:space="preserve">El Subgrupo expresó su reconocimiento por los resultados positivos y agradeció a la Secretaría y al Subgrupo por el excelente trabajo realizado. Asimismo, el Subgrupo acogió con agrado la disminución </w:t>
      </w:r>
      <w:r w:rsidR="00256335" w:rsidRPr="003A72EE">
        <w:rPr>
          <w:rFonts w:asciiTheme="minorHAnsi" w:hAnsiTheme="minorHAnsi" w:cstheme="minorHAnsi"/>
          <w:noProof/>
          <w:lang w:val="es-ES"/>
        </w:rPr>
        <w:t>del total de las contribuciones pendientes desde</w:t>
      </w:r>
      <w:r w:rsidRPr="003A72EE">
        <w:rPr>
          <w:rFonts w:asciiTheme="minorHAnsi" w:hAnsiTheme="minorHAnsi" w:cstheme="minorHAnsi"/>
          <w:noProof/>
          <w:lang w:val="es-ES"/>
        </w:rPr>
        <w:t xml:space="preserve"> 2020, </w:t>
      </w:r>
      <w:r w:rsidR="00256335" w:rsidRPr="003A72EE">
        <w:rPr>
          <w:rFonts w:asciiTheme="minorHAnsi" w:hAnsiTheme="minorHAnsi" w:cstheme="minorHAnsi"/>
          <w:noProof/>
          <w:lang w:val="es-ES"/>
        </w:rPr>
        <w:t xml:space="preserve">reconociendo que esto </w:t>
      </w:r>
      <w:r w:rsidR="0032407D" w:rsidRPr="003A72EE">
        <w:rPr>
          <w:rFonts w:asciiTheme="minorHAnsi" w:hAnsiTheme="minorHAnsi" w:cstheme="minorHAnsi"/>
          <w:noProof/>
          <w:lang w:val="es-ES"/>
        </w:rPr>
        <w:t>era excepcional</w:t>
      </w:r>
      <w:r w:rsidRPr="003A72EE">
        <w:rPr>
          <w:rFonts w:asciiTheme="minorHAnsi" w:hAnsiTheme="minorHAnsi" w:cstheme="minorHAnsi"/>
          <w:noProof/>
          <w:lang w:val="es-ES"/>
        </w:rPr>
        <w:t xml:space="preserve"> </w:t>
      </w:r>
      <w:r w:rsidR="00256335" w:rsidRPr="003A72EE">
        <w:rPr>
          <w:rFonts w:asciiTheme="minorHAnsi" w:hAnsiTheme="minorHAnsi" w:cstheme="minorHAnsi"/>
          <w:noProof/>
          <w:lang w:val="es-ES"/>
        </w:rPr>
        <w:t>en comparación con</w:t>
      </w:r>
      <w:r w:rsidRPr="003A72EE">
        <w:rPr>
          <w:rFonts w:asciiTheme="minorHAnsi" w:hAnsiTheme="minorHAnsi" w:cstheme="minorHAnsi"/>
          <w:noProof/>
          <w:lang w:val="es-ES"/>
        </w:rPr>
        <w:t xml:space="preserve"> organizaciones similares, y </w:t>
      </w:r>
      <w:r w:rsidR="00256335" w:rsidRPr="003A72EE">
        <w:rPr>
          <w:rFonts w:asciiTheme="minorHAnsi" w:hAnsiTheme="minorHAnsi" w:cstheme="minorHAnsi"/>
          <w:noProof/>
          <w:lang w:val="es-ES"/>
        </w:rPr>
        <w:t>agradeció</w:t>
      </w:r>
      <w:r w:rsidRPr="003A72EE">
        <w:rPr>
          <w:rFonts w:asciiTheme="minorHAnsi" w:hAnsiTheme="minorHAnsi" w:cstheme="minorHAnsi"/>
          <w:noProof/>
          <w:lang w:val="es-ES"/>
        </w:rPr>
        <w:t xml:space="preserve"> las acciones de la Secretaría</w:t>
      </w:r>
      <w:r w:rsidR="00256335" w:rsidRPr="003A72EE">
        <w:rPr>
          <w:rFonts w:asciiTheme="minorHAnsi" w:hAnsiTheme="minorHAnsi" w:cstheme="minorHAnsi"/>
          <w:noProof/>
          <w:lang w:val="es-ES"/>
        </w:rPr>
        <w:t xml:space="preserve"> en este sentido</w:t>
      </w:r>
      <w:r w:rsidRPr="003A72EE">
        <w:rPr>
          <w:rFonts w:asciiTheme="minorHAnsi" w:hAnsiTheme="minorHAnsi" w:cstheme="minorHAnsi"/>
          <w:noProof/>
          <w:lang w:val="es-ES"/>
        </w:rPr>
        <w:t>.</w:t>
      </w:r>
    </w:p>
    <w:p w14:paraId="315C466E" w14:textId="77777777" w:rsidR="00516474" w:rsidRPr="003A72EE" w:rsidRDefault="00516474" w:rsidP="00711D36">
      <w:pPr>
        <w:widowControl/>
        <w:rPr>
          <w:rFonts w:asciiTheme="minorHAnsi" w:hAnsiTheme="minorHAnsi" w:cstheme="minorHAnsi"/>
          <w:noProof/>
          <w:lang w:val="es-ES"/>
        </w:rPr>
      </w:pPr>
    </w:p>
    <w:p w14:paraId="39D2339D" w14:textId="0888B17E" w:rsidR="00256335" w:rsidRPr="003A72EE" w:rsidRDefault="00256335" w:rsidP="00256335">
      <w:pPr>
        <w:widowControl/>
        <w:rPr>
          <w:rFonts w:asciiTheme="minorHAnsi" w:hAnsiTheme="minorHAnsi" w:cstheme="minorHAnsi"/>
          <w:noProof/>
          <w:lang w:val="es-ES"/>
        </w:rPr>
      </w:pPr>
      <w:r w:rsidRPr="003A72EE">
        <w:rPr>
          <w:rFonts w:asciiTheme="minorHAnsi" w:hAnsiTheme="minorHAnsi" w:cstheme="minorHAnsi"/>
          <w:noProof/>
          <w:lang w:val="es-ES"/>
        </w:rPr>
        <w:t>La Secretaria General observó que el papel que desempeñaron los representantes regionales en el Comité Permanente había sido un factor importante para el logro la disminución, al igual que las iniciativas de la Secretaría para concienciar a las Partes Contratantes, incluso los recordatorios periódicos enviados a las Partes</w:t>
      </w:r>
      <w:r w:rsidR="0032407D" w:rsidRPr="003A72EE">
        <w:rPr>
          <w:rFonts w:asciiTheme="minorHAnsi" w:hAnsiTheme="minorHAnsi" w:cstheme="minorHAnsi"/>
          <w:noProof/>
          <w:lang w:val="es-ES"/>
        </w:rPr>
        <w:t xml:space="preserve">, </w:t>
      </w:r>
      <w:r w:rsidRPr="003A72EE">
        <w:rPr>
          <w:rFonts w:asciiTheme="minorHAnsi" w:hAnsiTheme="minorHAnsi" w:cstheme="minorHAnsi"/>
          <w:noProof/>
          <w:lang w:val="es-ES"/>
        </w:rPr>
        <w:t>destacando la cuestión en las reuniones regionales celebradas en preparación de la tercera reunión extraordinaria de la COP celebrada en 2021 y la COP14 de 2022. Asimismo, señaló que las acciones de Partes individuales podían influir en la tendencia positiva actual y mencionó los riesgos relacionados con las contribuciones pendientes a largo plazo.</w:t>
      </w:r>
    </w:p>
    <w:p w14:paraId="7DD4E26F" w14:textId="25669504" w:rsidR="00641B45" w:rsidRPr="003A72EE" w:rsidRDefault="002B56FE" w:rsidP="00711D36">
      <w:pPr>
        <w:widowControl/>
        <w:rPr>
          <w:rFonts w:asciiTheme="minorHAnsi" w:hAnsiTheme="minorHAnsi" w:cstheme="minorHAnsi"/>
          <w:noProof/>
          <w:lang w:val="es-ES"/>
        </w:rPr>
      </w:pPr>
      <w:r w:rsidRPr="003A72EE">
        <w:rPr>
          <w:rFonts w:asciiTheme="minorHAnsi" w:hAnsiTheme="minorHAnsi" w:cstheme="minorHAnsi"/>
          <w:noProof/>
          <w:lang w:val="es-ES"/>
        </w:rPr>
        <w:t xml:space="preserve"> </w:t>
      </w:r>
    </w:p>
    <w:p w14:paraId="65288277" w14:textId="42268362" w:rsidR="00256335" w:rsidRPr="003A72EE" w:rsidRDefault="00256335" w:rsidP="00256335">
      <w:pPr>
        <w:widowControl/>
        <w:rPr>
          <w:rFonts w:asciiTheme="minorHAnsi" w:hAnsiTheme="minorHAnsi" w:cstheme="minorHAnsi"/>
          <w:noProof/>
          <w:lang w:val="es-ES"/>
        </w:rPr>
      </w:pPr>
      <w:r w:rsidRPr="003A72EE">
        <w:rPr>
          <w:rFonts w:asciiTheme="minorHAnsi" w:hAnsiTheme="minorHAnsi" w:cstheme="minorHAnsi"/>
          <w:noProof/>
          <w:lang w:val="es-ES"/>
        </w:rPr>
        <w:t xml:space="preserve">La Secretaría aclaró su enfoque conservador respecto al cálculo de las provisiones relacionadas, dada la nueva metodología de cálculo que </w:t>
      </w:r>
      <w:r w:rsidR="00451B9C" w:rsidRPr="003A72EE">
        <w:rPr>
          <w:rFonts w:asciiTheme="minorHAnsi" w:hAnsiTheme="minorHAnsi" w:cstheme="minorHAnsi"/>
          <w:noProof/>
          <w:lang w:val="es-ES"/>
        </w:rPr>
        <w:t>se estableció en 2019</w:t>
      </w:r>
      <w:r w:rsidRPr="003A72EE">
        <w:rPr>
          <w:rFonts w:asciiTheme="minorHAnsi" w:hAnsiTheme="minorHAnsi" w:cstheme="minorHAnsi"/>
          <w:noProof/>
          <w:lang w:val="es-ES"/>
        </w:rPr>
        <w:t xml:space="preserve">. Por lo tanto, la Secretaría ha recomendado que los </w:t>
      </w:r>
      <w:r w:rsidR="00451B9C" w:rsidRPr="003A72EE">
        <w:rPr>
          <w:rFonts w:asciiTheme="minorHAnsi" w:hAnsiTheme="minorHAnsi" w:cstheme="minorHAnsi"/>
          <w:noProof/>
          <w:lang w:val="es-ES"/>
        </w:rPr>
        <w:t>fondos</w:t>
      </w:r>
      <w:r w:rsidRPr="003A72EE">
        <w:rPr>
          <w:rFonts w:asciiTheme="minorHAnsi" w:hAnsiTheme="minorHAnsi" w:cstheme="minorHAnsi"/>
          <w:noProof/>
          <w:lang w:val="es-ES"/>
        </w:rPr>
        <w:t xml:space="preserve"> </w:t>
      </w:r>
      <w:r w:rsidR="00451B9C" w:rsidRPr="003A72EE">
        <w:rPr>
          <w:rFonts w:asciiTheme="minorHAnsi" w:hAnsiTheme="minorHAnsi" w:cstheme="minorHAnsi"/>
          <w:noProof/>
          <w:lang w:val="es-ES"/>
        </w:rPr>
        <w:t>no utilizados que</w:t>
      </w:r>
      <w:r w:rsidRPr="003A72EE">
        <w:rPr>
          <w:rFonts w:asciiTheme="minorHAnsi" w:hAnsiTheme="minorHAnsi" w:cstheme="minorHAnsi"/>
          <w:noProof/>
          <w:lang w:val="es-ES"/>
        </w:rPr>
        <w:t xml:space="preserve"> se </w:t>
      </w:r>
      <w:r w:rsidR="00451B9C" w:rsidRPr="003A72EE">
        <w:rPr>
          <w:rFonts w:asciiTheme="minorHAnsi" w:hAnsiTheme="minorHAnsi" w:cstheme="minorHAnsi"/>
          <w:noProof/>
          <w:lang w:val="es-ES"/>
        </w:rPr>
        <w:t xml:space="preserve">hayan </w:t>
      </w:r>
      <w:r w:rsidRPr="003A72EE">
        <w:rPr>
          <w:rFonts w:asciiTheme="minorHAnsi" w:hAnsiTheme="minorHAnsi" w:cstheme="minorHAnsi"/>
          <w:noProof/>
          <w:lang w:val="es-ES"/>
        </w:rPr>
        <w:t>asigna</w:t>
      </w:r>
      <w:r w:rsidR="00451B9C" w:rsidRPr="003A72EE">
        <w:rPr>
          <w:rFonts w:asciiTheme="minorHAnsi" w:hAnsiTheme="minorHAnsi" w:cstheme="minorHAnsi"/>
          <w:noProof/>
          <w:lang w:val="es-ES"/>
        </w:rPr>
        <w:t>do</w:t>
      </w:r>
      <w:r w:rsidRPr="003A72EE">
        <w:rPr>
          <w:rFonts w:asciiTheme="minorHAnsi" w:hAnsiTheme="minorHAnsi" w:cstheme="minorHAnsi"/>
          <w:noProof/>
          <w:lang w:val="es-ES"/>
        </w:rPr>
        <w:t xml:space="preserve"> a las provisiones para las </w:t>
      </w:r>
      <w:r w:rsidRPr="003A72EE">
        <w:rPr>
          <w:rFonts w:asciiTheme="minorHAnsi" w:hAnsiTheme="minorHAnsi" w:cstheme="minorHAnsi"/>
          <w:noProof/>
          <w:lang w:val="es-ES"/>
        </w:rPr>
        <w:lastRenderedPageBreak/>
        <w:t xml:space="preserve">contribuciones pendientes </w:t>
      </w:r>
      <w:r w:rsidR="00451B9C" w:rsidRPr="003A72EE">
        <w:rPr>
          <w:rFonts w:asciiTheme="minorHAnsi" w:hAnsiTheme="minorHAnsi" w:cstheme="minorHAnsi"/>
          <w:noProof/>
          <w:lang w:val="es-ES"/>
        </w:rPr>
        <w:t>sean</w:t>
      </w:r>
      <w:r w:rsidRPr="003A72EE">
        <w:rPr>
          <w:rFonts w:asciiTheme="minorHAnsi" w:hAnsiTheme="minorHAnsi" w:cstheme="minorHAnsi"/>
          <w:noProof/>
          <w:lang w:val="es-ES"/>
        </w:rPr>
        <w:t xml:space="preserve"> devuel</w:t>
      </w:r>
      <w:r w:rsidR="00451B9C" w:rsidRPr="003A72EE">
        <w:rPr>
          <w:rFonts w:asciiTheme="minorHAnsi" w:hAnsiTheme="minorHAnsi" w:cstheme="minorHAnsi"/>
          <w:noProof/>
          <w:lang w:val="es-ES"/>
        </w:rPr>
        <w:t>tos</w:t>
      </w:r>
      <w:r w:rsidRPr="003A72EE">
        <w:rPr>
          <w:rFonts w:asciiTheme="minorHAnsi" w:hAnsiTheme="minorHAnsi" w:cstheme="minorHAnsi"/>
          <w:noProof/>
          <w:lang w:val="es-ES"/>
        </w:rPr>
        <w:t xml:space="preserve"> al excedente para su futura asignación </w:t>
      </w:r>
      <w:r w:rsidR="00451B9C" w:rsidRPr="003A72EE">
        <w:rPr>
          <w:rFonts w:asciiTheme="minorHAnsi" w:hAnsiTheme="minorHAnsi" w:cstheme="minorHAnsi"/>
          <w:noProof/>
          <w:lang w:val="es-ES"/>
        </w:rPr>
        <w:t>en virtud de</w:t>
      </w:r>
      <w:r w:rsidRPr="003A72EE">
        <w:rPr>
          <w:rFonts w:asciiTheme="minorHAnsi" w:hAnsiTheme="minorHAnsi" w:cstheme="minorHAnsi"/>
          <w:noProof/>
          <w:lang w:val="es-ES"/>
        </w:rPr>
        <w:t xml:space="preserve"> este enfoque.</w:t>
      </w:r>
    </w:p>
    <w:p w14:paraId="11A4C452" w14:textId="34F0A3B6" w:rsidR="002B56FE" w:rsidRPr="003A72EE" w:rsidRDefault="002B56FE" w:rsidP="00711D36">
      <w:pPr>
        <w:widowControl/>
        <w:rPr>
          <w:rFonts w:asciiTheme="minorHAnsi" w:hAnsiTheme="minorHAnsi" w:cstheme="minorHAnsi"/>
          <w:noProof/>
          <w:lang w:val="es-ES"/>
        </w:rPr>
      </w:pPr>
    </w:p>
    <w:p w14:paraId="27F7EEC0" w14:textId="77777777" w:rsidR="00451B9C" w:rsidRPr="003A72EE" w:rsidRDefault="00451B9C" w:rsidP="00451B9C">
      <w:pPr>
        <w:widowControl/>
        <w:rPr>
          <w:rFonts w:asciiTheme="minorHAnsi" w:hAnsiTheme="minorHAnsi" w:cstheme="minorHAnsi"/>
          <w:i/>
          <w:noProof/>
          <w:color w:val="0000FF"/>
          <w:lang w:val="es-ES"/>
        </w:rPr>
      </w:pPr>
      <w:r w:rsidRPr="003A72EE">
        <w:rPr>
          <w:rFonts w:asciiTheme="minorHAnsi" w:hAnsiTheme="minorHAnsi" w:cstheme="minorHAnsi"/>
          <w:i/>
          <w:noProof/>
          <w:color w:val="0000FF"/>
          <w:lang w:val="es-ES"/>
        </w:rPr>
        <w:t xml:space="preserve">Recomendaciones para las decisiones del Comité Permanente: </w:t>
      </w:r>
    </w:p>
    <w:p w14:paraId="6FE5BBC0" w14:textId="69FACFC1" w:rsidR="00356EEC" w:rsidRPr="003A72EE" w:rsidRDefault="00356EEC" w:rsidP="00711D36">
      <w:pPr>
        <w:widowControl/>
        <w:rPr>
          <w:rFonts w:asciiTheme="minorHAnsi" w:hAnsiTheme="minorHAnsi" w:cstheme="minorHAnsi"/>
          <w:b/>
          <w:i/>
          <w:noProof/>
          <w:lang w:val="es-ES"/>
        </w:rPr>
      </w:pPr>
    </w:p>
    <w:p w14:paraId="03C4FBFB" w14:textId="77777777" w:rsidR="00451B9C" w:rsidRPr="003A72EE" w:rsidRDefault="00451B9C" w:rsidP="00451B9C">
      <w:pPr>
        <w:widowControl/>
        <w:rPr>
          <w:rFonts w:asciiTheme="minorHAnsi" w:hAnsiTheme="minorHAnsi" w:cstheme="minorHAnsi"/>
          <w:b/>
          <w:i/>
          <w:noProof/>
          <w:lang w:val="es-ES"/>
        </w:rPr>
      </w:pPr>
      <w:r w:rsidRPr="003A72EE">
        <w:rPr>
          <w:rFonts w:asciiTheme="minorHAnsi" w:hAnsiTheme="minorHAnsi" w:cstheme="minorHAnsi"/>
          <w:b/>
          <w:i/>
          <w:noProof/>
          <w:lang w:val="es-ES"/>
        </w:rPr>
        <w:t xml:space="preserve">El Subgrupo de Finanzas recomienda que el Comité Permanente haga lo siguiente: </w:t>
      </w:r>
    </w:p>
    <w:p w14:paraId="370387C1" w14:textId="6507FCD8" w:rsidR="00451B9C" w:rsidRPr="003A72EE" w:rsidRDefault="00451B9C" w:rsidP="00451B9C">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t>i.</w:t>
      </w:r>
      <w:r w:rsidRPr="003A72EE">
        <w:rPr>
          <w:rFonts w:asciiTheme="minorHAnsi" w:hAnsiTheme="minorHAnsi" w:cstheme="minorHAnsi"/>
          <w:b/>
          <w:i/>
          <w:noProof/>
          <w:lang w:val="es-ES"/>
        </w:rPr>
        <w:tab/>
        <w:t>tom</w:t>
      </w:r>
      <w:r w:rsidR="0032407D" w:rsidRPr="003A72EE">
        <w:rPr>
          <w:rFonts w:asciiTheme="minorHAnsi" w:hAnsiTheme="minorHAnsi" w:cstheme="minorHAnsi"/>
          <w:b/>
          <w:i/>
          <w:noProof/>
          <w:lang w:val="es-ES"/>
        </w:rPr>
        <w:t>ar</w:t>
      </w:r>
      <w:r w:rsidRPr="003A72EE">
        <w:rPr>
          <w:rFonts w:asciiTheme="minorHAnsi" w:hAnsiTheme="minorHAnsi" w:cstheme="minorHAnsi"/>
          <w:b/>
          <w:i/>
          <w:noProof/>
          <w:lang w:val="es-ES"/>
        </w:rPr>
        <w:t xml:space="preserve"> nota </w:t>
      </w:r>
      <w:r w:rsidR="000F5F8C" w:rsidRPr="003A72EE">
        <w:rPr>
          <w:rFonts w:asciiTheme="minorHAnsi" w:hAnsiTheme="minorHAnsi" w:cstheme="minorHAnsi"/>
          <w:b/>
          <w:i/>
          <w:noProof/>
          <w:lang w:val="es-ES"/>
        </w:rPr>
        <w:t>del estado</w:t>
      </w:r>
      <w:r w:rsidRPr="003A72EE">
        <w:rPr>
          <w:rFonts w:asciiTheme="minorHAnsi" w:hAnsiTheme="minorHAnsi" w:cstheme="minorHAnsi"/>
          <w:b/>
          <w:i/>
          <w:noProof/>
          <w:lang w:val="es-ES"/>
        </w:rPr>
        <w:t xml:space="preserve"> de las contribuciones anuales;</w:t>
      </w:r>
    </w:p>
    <w:p w14:paraId="1D7BBA1A" w14:textId="4551FE69" w:rsidR="00451B9C" w:rsidRPr="003A72EE" w:rsidRDefault="00451B9C" w:rsidP="00451B9C">
      <w:pPr>
        <w:widowControl/>
        <w:ind w:left="426" w:hanging="426"/>
        <w:rPr>
          <w:b/>
          <w:i/>
          <w:noProof/>
          <w:lang w:val="es-ES"/>
        </w:rPr>
      </w:pPr>
      <w:r w:rsidRPr="003A72EE">
        <w:rPr>
          <w:b/>
          <w:i/>
          <w:noProof/>
          <w:lang w:val="es-ES"/>
        </w:rPr>
        <w:t>ii.</w:t>
      </w:r>
      <w:r w:rsidRPr="003A72EE">
        <w:rPr>
          <w:b/>
          <w:i/>
          <w:noProof/>
          <w:lang w:val="es-ES"/>
        </w:rPr>
        <w:tab/>
        <w:t>tom</w:t>
      </w:r>
      <w:r w:rsidR="0032407D" w:rsidRPr="003A72EE">
        <w:rPr>
          <w:b/>
          <w:i/>
          <w:noProof/>
          <w:lang w:val="es-ES"/>
        </w:rPr>
        <w:t>ar</w:t>
      </w:r>
      <w:r w:rsidRPr="003A72EE">
        <w:rPr>
          <w:b/>
          <w:i/>
          <w:noProof/>
          <w:lang w:val="es-ES"/>
        </w:rPr>
        <w:t xml:space="preserve"> nota de las acciones enumeradas en los párrafos 12 y 13 del documento SC59/2022 Doc.8.2 sobre la confirmación </w:t>
      </w:r>
      <w:r w:rsidR="000F5F8C" w:rsidRPr="003A72EE">
        <w:rPr>
          <w:b/>
          <w:i/>
          <w:noProof/>
          <w:lang w:val="es-ES"/>
        </w:rPr>
        <w:t>por parte del grupo sobre</w:t>
      </w:r>
      <w:r w:rsidRPr="003A72EE">
        <w:rPr>
          <w:b/>
          <w:i/>
          <w:noProof/>
          <w:lang w:val="es-ES"/>
        </w:rPr>
        <w:t xml:space="preserve"> los saldos pendientes como parte del proceso de auditoría;</w:t>
      </w:r>
    </w:p>
    <w:p w14:paraId="2E9F39C2" w14:textId="1B01AC84" w:rsidR="00451B9C" w:rsidRPr="003A72EE" w:rsidRDefault="00451B9C" w:rsidP="00451B9C">
      <w:pPr>
        <w:widowControl/>
        <w:ind w:left="426" w:hanging="426"/>
        <w:rPr>
          <w:b/>
          <w:i/>
          <w:noProof/>
          <w:lang w:val="es-ES"/>
        </w:rPr>
      </w:pPr>
      <w:r w:rsidRPr="003A72EE">
        <w:rPr>
          <w:b/>
          <w:i/>
          <w:noProof/>
          <w:lang w:val="es-ES"/>
        </w:rPr>
        <w:t>iii.</w:t>
      </w:r>
      <w:r w:rsidRPr="003A72EE">
        <w:rPr>
          <w:b/>
          <w:i/>
          <w:noProof/>
          <w:lang w:val="es-ES"/>
        </w:rPr>
        <w:tab/>
        <w:t>tom</w:t>
      </w:r>
      <w:r w:rsidR="0032407D" w:rsidRPr="003A72EE">
        <w:rPr>
          <w:b/>
          <w:i/>
          <w:noProof/>
          <w:lang w:val="es-ES"/>
        </w:rPr>
        <w:t>ar</w:t>
      </w:r>
      <w:r w:rsidRPr="003A72EE">
        <w:rPr>
          <w:b/>
          <w:i/>
          <w:noProof/>
          <w:lang w:val="es-ES"/>
        </w:rPr>
        <w:t xml:space="preserve"> nota de las acciones enumeradas en los párrafos 16, 18, 19 y 20 del documento SC59/2022 Doc.8.2 para seguir promoviendo el pago de las contribuciones anuales por las Partes Contratantes;</w:t>
      </w:r>
    </w:p>
    <w:p w14:paraId="2D7797CD" w14:textId="32DD791A" w:rsidR="00451B9C" w:rsidRPr="003A72EE" w:rsidRDefault="00451B9C" w:rsidP="00451B9C">
      <w:pPr>
        <w:widowControl/>
        <w:ind w:left="426" w:hanging="426"/>
        <w:rPr>
          <w:b/>
          <w:i/>
          <w:noProof/>
          <w:lang w:val="es-ES"/>
        </w:rPr>
      </w:pPr>
      <w:r w:rsidRPr="003A72EE">
        <w:rPr>
          <w:b/>
          <w:i/>
          <w:noProof/>
          <w:lang w:val="es-ES"/>
        </w:rPr>
        <w:t xml:space="preserve">iv. </w:t>
      </w:r>
      <w:r w:rsidRPr="003A72EE">
        <w:rPr>
          <w:b/>
          <w:i/>
          <w:noProof/>
          <w:lang w:val="es-ES"/>
        </w:rPr>
        <w:tab/>
        <w:t>tom</w:t>
      </w:r>
      <w:r w:rsidR="0032407D" w:rsidRPr="003A72EE">
        <w:rPr>
          <w:b/>
          <w:i/>
          <w:noProof/>
          <w:lang w:val="es-ES"/>
        </w:rPr>
        <w:t>ar</w:t>
      </w:r>
      <w:r w:rsidRPr="003A72EE">
        <w:rPr>
          <w:b/>
          <w:i/>
          <w:noProof/>
          <w:lang w:val="es-ES"/>
        </w:rPr>
        <w:t xml:space="preserve"> nota de los cambios en las contribuciones anuales pendientes de pago y en la provisión anual respecto a las contribuciones por cobrar; y</w:t>
      </w:r>
    </w:p>
    <w:p w14:paraId="60076285" w14:textId="4D871698" w:rsidR="00451B9C" w:rsidRPr="003A72EE" w:rsidRDefault="00451B9C" w:rsidP="00451B9C">
      <w:pPr>
        <w:widowControl/>
        <w:ind w:left="426" w:hanging="426"/>
        <w:rPr>
          <w:b/>
          <w:i/>
          <w:noProof/>
          <w:lang w:val="es-ES"/>
        </w:rPr>
      </w:pPr>
      <w:r w:rsidRPr="003A72EE">
        <w:rPr>
          <w:b/>
          <w:i/>
          <w:noProof/>
          <w:lang w:val="es-ES"/>
        </w:rPr>
        <w:t>v.</w:t>
      </w:r>
      <w:r w:rsidRPr="003A72EE">
        <w:rPr>
          <w:b/>
          <w:i/>
          <w:noProof/>
          <w:lang w:val="es-ES"/>
        </w:rPr>
        <w:tab/>
        <w:t>tom</w:t>
      </w:r>
      <w:r w:rsidR="0032407D" w:rsidRPr="003A72EE">
        <w:rPr>
          <w:b/>
          <w:i/>
          <w:noProof/>
          <w:lang w:val="es-ES"/>
        </w:rPr>
        <w:t>ar</w:t>
      </w:r>
      <w:r w:rsidRPr="003A72EE">
        <w:rPr>
          <w:b/>
          <w:i/>
          <w:noProof/>
          <w:lang w:val="es-ES"/>
        </w:rPr>
        <w:t xml:space="preserve"> nota de la situación de las contribuciones voluntarias de la región de África.</w:t>
      </w:r>
    </w:p>
    <w:p w14:paraId="46895208" w14:textId="7F4DC7AE" w:rsidR="0066724B" w:rsidRDefault="0066724B" w:rsidP="00711D36">
      <w:pPr>
        <w:widowControl/>
        <w:rPr>
          <w:rFonts w:asciiTheme="minorHAnsi" w:hAnsiTheme="minorHAnsi" w:cstheme="minorHAnsi"/>
          <w:b/>
          <w:i/>
          <w:noProof/>
          <w:lang w:val="es-ES"/>
        </w:rPr>
      </w:pPr>
    </w:p>
    <w:p w14:paraId="65F251AC" w14:textId="77777777" w:rsidR="00126728" w:rsidRPr="003A72EE" w:rsidRDefault="00126728" w:rsidP="00711D36">
      <w:pPr>
        <w:widowControl/>
        <w:rPr>
          <w:rFonts w:asciiTheme="minorHAnsi" w:hAnsiTheme="minorHAnsi" w:cstheme="minorHAnsi"/>
          <w:b/>
          <w:i/>
          <w:noProof/>
          <w:lang w:val="es-ES"/>
        </w:rPr>
      </w:pPr>
    </w:p>
    <w:p w14:paraId="4CE74308" w14:textId="3A87A5FF" w:rsidR="009F5EF8" w:rsidRPr="003A72EE" w:rsidRDefault="00711D36" w:rsidP="0032407D">
      <w:pPr>
        <w:widowControl/>
        <w:autoSpaceDE/>
        <w:autoSpaceDN/>
        <w:ind w:left="426" w:hanging="426"/>
        <w:rPr>
          <w:rFonts w:asciiTheme="minorHAnsi" w:hAnsiTheme="minorHAnsi" w:cstheme="minorHAnsi"/>
          <w:b/>
          <w:noProof/>
          <w:lang w:val="es-ES"/>
        </w:rPr>
      </w:pPr>
      <w:r w:rsidRPr="003A72EE">
        <w:rPr>
          <w:rFonts w:asciiTheme="minorHAnsi" w:hAnsiTheme="minorHAnsi" w:cstheme="minorHAnsi"/>
          <w:b/>
          <w:noProof/>
          <w:lang w:val="es-ES"/>
        </w:rPr>
        <w:t>2.</w:t>
      </w:r>
      <w:r w:rsidRPr="003A72EE">
        <w:rPr>
          <w:rFonts w:asciiTheme="minorHAnsi" w:hAnsiTheme="minorHAnsi" w:cstheme="minorHAnsi"/>
          <w:b/>
          <w:noProof/>
          <w:lang w:val="es-ES"/>
        </w:rPr>
        <w:tab/>
      </w:r>
      <w:r w:rsidR="0032407D" w:rsidRPr="003A72EE">
        <w:rPr>
          <w:rFonts w:asciiTheme="minorHAnsi" w:hAnsiTheme="minorHAnsi" w:cstheme="minorHAnsi"/>
          <w:b/>
          <w:noProof/>
          <w:lang w:val="es-ES"/>
        </w:rPr>
        <w:t xml:space="preserve">Informe sobre cuestiones financieras para 2019-2021 y 2022 </w:t>
      </w:r>
      <w:r w:rsidR="009F5EF8" w:rsidRPr="003A72EE">
        <w:rPr>
          <w:rFonts w:asciiTheme="minorHAnsi" w:hAnsiTheme="minorHAnsi" w:cstheme="minorHAnsi"/>
          <w:b/>
          <w:noProof/>
          <w:lang w:val="es-ES"/>
        </w:rPr>
        <w:t>(</w:t>
      </w:r>
      <w:r w:rsidRPr="003A72EE">
        <w:rPr>
          <w:rFonts w:asciiTheme="minorHAnsi" w:hAnsiTheme="minorHAnsi" w:cstheme="minorHAnsi"/>
          <w:b/>
          <w:noProof/>
          <w:lang w:val="es-ES"/>
        </w:rPr>
        <w:t>d</w:t>
      </w:r>
      <w:r w:rsidR="009F5EF8" w:rsidRPr="003A72EE">
        <w:rPr>
          <w:rFonts w:asciiTheme="minorHAnsi" w:hAnsiTheme="minorHAnsi" w:cstheme="minorHAnsi"/>
          <w:b/>
          <w:noProof/>
          <w:lang w:val="es-ES"/>
        </w:rPr>
        <w:t>ocument</w:t>
      </w:r>
      <w:r w:rsidR="0032407D" w:rsidRPr="003A72EE">
        <w:rPr>
          <w:rFonts w:asciiTheme="minorHAnsi" w:hAnsiTheme="minorHAnsi" w:cstheme="minorHAnsi"/>
          <w:b/>
          <w:noProof/>
          <w:lang w:val="es-ES"/>
        </w:rPr>
        <w:t>o</w:t>
      </w:r>
      <w:r w:rsidR="009F5EF8" w:rsidRPr="003A72EE">
        <w:rPr>
          <w:rFonts w:asciiTheme="minorHAnsi" w:hAnsiTheme="minorHAnsi" w:cstheme="minorHAnsi"/>
          <w:b/>
          <w:noProof/>
          <w:lang w:val="es-ES"/>
        </w:rPr>
        <w:t xml:space="preserve"> </w:t>
      </w:r>
      <w:r w:rsidR="00E04963" w:rsidRPr="003A72EE">
        <w:rPr>
          <w:rFonts w:asciiTheme="minorHAnsi" w:hAnsiTheme="minorHAnsi" w:cstheme="minorHAnsi"/>
          <w:b/>
          <w:noProof/>
          <w:lang w:val="es-ES"/>
        </w:rPr>
        <w:t>SC59</w:t>
      </w:r>
      <w:r w:rsidR="00743F0F" w:rsidRPr="003A72EE">
        <w:rPr>
          <w:rFonts w:asciiTheme="minorHAnsi" w:hAnsiTheme="minorHAnsi" w:cstheme="minorHAnsi"/>
          <w:b/>
          <w:noProof/>
          <w:lang w:val="es-ES"/>
        </w:rPr>
        <w:t>/2022</w:t>
      </w:r>
      <w:r w:rsidR="00E04963" w:rsidRPr="003A72EE">
        <w:rPr>
          <w:rFonts w:asciiTheme="minorHAnsi" w:hAnsiTheme="minorHAnsi" w:cstheme="minorHAnsi"/>
          <w:b/>
          <w:noProof/>
          <w:lang w:val="es-ES"/>
        </w:rPr>
        <w:t xml:space="preserve"> </w:t>
      </w:r>
      <w:r w:rsidR="009F5EF8" w:rsidRPr="003A72EE">
        <w:rPr>
          <w:rFonts w:asciiTheme="minorHAnsi" w:hAnsiTheme="minorHAnsi" w:cstheme="minorHAnsi"/>
          <w:b/>
          <w:noProof/>
          <w:lang w:val="es-ES"/>
        </w:rPr>
        <w:t>D</w:t>
      </w:r>
      <w:r w:rsidR="00E04963" w:rsidRPr="003A72EE">
        <w:rPr>
          <w:rFonts w:asciiTheme="minorHAnsi" w:hAnsiTheme="minorHAnsi" w:cstheme="minorHAnsi"/>
          <w:b/>
          <w:noProof/>
          <w:lang w:val="es-ES"/>
        </w:rPr>
        <w:t>oc.8.1</w:t>
      </w:r>
      <w:r w:rsidR="009F5EF8" w:rsidRPr="003A72EE">
        <w:rPr>
          <w:rFonts w:asciiTheme="minorHAnsi" w:hAnsiTheme="minorHAnsi" w:cstheme="minorHAnsi"/>
          <w:b/>
          <w:noProof/>
          <w:lang w:val="es-ES"/>
        </w:rPr>
        <w:t>)</w:t>
      </w:r>
      <w:r w:rsidR="002C2CCE" w:rsidRPr="003A72EE">
        <w:rPr>
          <w:rStyle w:val="FootnoteReference"/>
          <w:rFonts w:asciiTheme="minorHAnsi" w:hAnsiTheme="minorHAnsi" w:cstheme="minorHAnsi"/>
          <w:b/>
          <w:noProof/>
          <w:lang w:val="es-ES"/>
        </w:rPr>
        <w:footnoteReference w:id="1"/>
      </w:r>
      <w:r w:rsidR="00E04963" w:rsidRPr="003A72EE">
        <w:rPr>
          <w:rFonts w:asciiTheme="minorHAnsi" w:hAnsiTheme="minorHAnsi" w:cstheme="minorHAnsi"/>
          <w:b/>
          <w:noProof/>
          <w:lang w:val="es-ES"/>
        </w:rPr>
        <w:t xml:space="preserve"> </w:t>
      </w:r>
    </w:p>
    <w:p w14:paraId="19B1EDE6" w14:textId="77777777" w:rsidR="00F63469" w:rsidRPr="003A72EE" w:rsidRDefault="00F63469" w:rsidP="00711D36">
      <w:pPr>
        <w:widowControl/>
        <w:ind w:left="426" w:hanging="426"/>
        <w:rPr>
          <w:rFonts w:asciiTheme="minorHAnsi" w:hAnsiTheme="minorHAnsi" w:cstheme="minorHAnsi"/>
          <w:noProof/>
          <w:lang w:val="es-ES"/>
        </w:rPr>
      </w:pPr>
    </w:p>
    <w:p w14:paraId="288B63AB" w14:textId="61C85673" w:rsidR="00DB006E" w:rsidRPr="003A72EE" w:rsidRDefault="00DB006E" w:rsidP="00DB006E">
      <w:pPr>
        <w:widowControl/>
        <w:rPr>
          <w:rFonts w:asciiTheme="minorHAnsi" w:hAnsiTheme="minorHAnsi" w:cstheme="minorHAnsi"/>
          <w:noProof/>
          <w:color w:val="000000" w:themeColor="text1"/>
          <w:lang w:val="es-ES"/>
        </w:rPr>
      </w:pPr>
      <w:r w:rsidRPr="003A72EE">
        <w:rPr>
          <w:rFonts w:asciiTheme="minorHAnsi" w:hAnsiTheme="minorHAnsi" w:cstheme="minorHAnsi"/>
          <w:noProof/>
          <w:color w:val="000000" w:themeColor="text1"/>
          <w:lang w:val="es-ES"/>
        </w:rPr>
        <w:t>La Secretaria General presentó los elementos del documento SC59/2022 Doc.8.1 relativos a los estados financieros de 2021, destacando la inclusión de los estados financieros auditados y observando que los auditores externos no habían formulado ninguna</w:t>
      </w:r>
      <w:r w:rsidR="00782551" w:rsidRPr="003A72EE">
        <w:rPr>
          <w:rFonts w:asciiTheme="minorHAnsi" w:hAnsiTheme="minorHAnsi" w:cstheme="minorHAnsi"/>
          <w:noProof/>
          <w:color w:val="000000" w:themeColor="text1"/>
          <w:lang w:val="es-ES"/>
        </w:rPr>
        <w:t xml:space="preserve"> objeción, confirmando así los resultados </w:t>
      </w:r>
      <w:r w:rsidR="0032407D" w:rsidRPr="003A72EE">
        <w:rPr>
          <w:rFonts w:asciiTheme="minorHAnsi" w:hAnsiTheme="minorHAnsi" w:cstheme="minorHAnsi"/>
          <w:noProof/>
          <w:color w:val="000000" w:themeColor="text1"/>
          <w:lang w:val="es-ES"/>
        </w:rPr>
        <w:t>positivos</w:t>
      </w:r>
      <w:r w:rsidR="00782551" w:rsidRPr="003A72EE">
        <w:rPr>
          <w:rFonts w:asciiTheme="minorHAnsi" w:hAnsiTheme="minorHAnsi" w:cstheme="minorHAnsi"/>
          <w:noProof/>
          <w:color w:val="000000" w:themeColor="text1"/>
          <w:lang w:val="es-ES"/>
        </w:rPr>
        <w:t xml:space="preserve"> y las mejoras respecto a los </w:t>
      </w:r>
      <w:r w:rsidRPr="003A72EE">
        <w:rPr>
          <w:rFonts w:asciiTheme="minorHAnsi" w:hAnsiTheme="minorHAnsi" w:cstheme="minorHAnsi"/>
          <w:noProof/>
          <w:color w:val="000000" w:themeColor="text1"/>
          <w:lang w:val="es-ES"/>
        </w:rPr>
        <w:t>años anteriores</w:t>
      </w:r>
      <w:r w:rsidR="00782551" w:rsidRPr="003A72EE">
        <w:rPr>
          <w:rFonts w:asciiTheme="minorHAnsi" w:hAnsiTheme="minorHAnsi" w:cstheme="minorHAnsi"/>
          <w:noProof/>
          <w:color w:val="000000" w:themeColor="text1"/>
          <w:lang w:val="es-ES"/>
        </w:rPr>
        <w:t>.</w:t>
      </w:r>
      <w:r w:rsidRPr="003A72EE">
        <w:rPr>
          <w:rFonts w:asciiTheme="minorHAnsi" w:hAnsiTheme="minorHAnsi" w:cstheme="minorHAnsi"/>
          <w:noProof/>
          <w:color w:val="000000" w:themeColor="text1"/>
          <w:lang w:val="es-ES"/>
        </w:rPr>
        <w:t xml:space="preserve"> </w:t>
      </w:r>
      <w:r w:rsidR="00782551" w:rsidRPr="003A72EE">
        <w:rPr>
          <w:rFonts w:asciiTheme="minorHAnsi" w:hAnsiTheme="minorHAnsi" w:cstheme="minorHAnsi"/>
          <w:noProof/>
          <w:color w:val="000000" w:themeColor="text1"/>
          <w:lang w:val="es-ES"/>
        </w:rPr>
        <w:t>La</w:t>
      </w:r>
      <w:r w:rsidRPr="003A72EE">
        <w:rPr>
          <w:rFonts w:asciiTheme="minorHAnsi" w:hAnsiTheme="minorHAnsi" w:cstheme="minorHAnsi"/>
          <w:noProof/>
          <w:color w:val="000000" w:themeColor="text1"/>
          <w:lang w:val="es-ES"/>
        </w:rPr>
        <w:t xml:space="preserve"> Secretaria General advirtió que </w:t>
      </w:r>
      <w:r w:rsidR="00782551" w:rsidRPr="003A72EE">
        <w:rPr>
          <w:rFonts w:asciiTheme="minorHAnsi" w:hAnsiTheme="minorHAnsi" w:cstheme="minorHAnsi"/>
          <w:noProof/>
          <w:color w:val="000000" w:themeColor="text1"/>
          <w:lang w:val="es-ES"/>
        </w:rPr>
        <w:t>los</w:t>
      </w:r>
      <w:r w:rsidRPr="003A72EE">
        <w:rPr>
          <w:rFonts w:asciiTheme="minorHAnsi" w:hAnsiTheme="minorHAnsi" w:cstheme="minorHAnsi"/>
          <w:noProof/>
          <w:color w:val="000000" w:themeColor="text1"/>
          <w:lang w:val="es-ES"/>
        </w:rPr>
        <w:t xml:space="preserve"> ahorros acumulados en</w:t>
      </w:r>
      <w:r w:rsidR="00782551" w:rsidRPr="003A72EE">
        <w:rPr>
          <w:rFonts w:asciiTheme="minorHAnsi" w:hAnsiTheme="minorHAnsi" w:cstheme="minorHAnsi"/>
          <w:noProof/>
          <w:color w:val="000000" w:themeColor="text1"/>
          <w:lang w:val="es-ES"/>
        </w:rPr>
        <w:t xml:space="preserve"> el trienio 2019-</w:t>
      </w:r>
      <w:r w:rsidRPr="003A72EE">
        <w:rPr>
          <w:rFonts w:asciiTheme="minorHAnsi" w:hAnsiTheme="minorHAnsi" w:cstheme="minorHAnsi"/>
          <w:noProof/>
          <w:color w:val="000000" w:themeColor="text1"/>
          <w:lang w:val="es-ES"/>
        </w:rPr>
        <w:t>2021 debido a los efectos de la pandemia de</w:t>
      </w:r>
      <w:r w:rsidR="00782551" w:rsidRPr="003A72EE">
        <w:rPr>
          <w:rFonts w:asciiTheme="minorHAnsi" w:hAnsiTheme="minorHAnsi" w:cstheme="minorHAnsi"/>
          <w:noProof/>
          <w:color w:val="000000" w:themeColor="text1"/>
          <w:lang w:val="es-ES"/>
        </w:rPr>
        <w:t>l</w:t>
      </w:r>
      <w:r w:rsidRPr="003A72EE">
        <w:rPr>
          <w:rFonts w:asciiTheme="minorHAnsi" w:hAnsiTheme="minorHAnsi" w:cstheme="minorHAnsi"/>
          <w:noProof/>
          <w:color w:val="000000" w:themeColor="text1"/>
          <w:lang w:val="es-ES"/>
        </w:rPr>
        <w:t xml:space="preserve"> COVID-19 </w:t>
      </w:r>
      <w:r w:rsidR="00782551" w:rsidRPr="003A72EE">
        <w:rPr>
          <w:rFonts w:asciiTheme="minorHAnsi" w:hAnsiTheme="minorHAnsi" w:cstheme="minorHAnsi"/>
          <w:noProof/>
          <w:color w:val="000000" w:themeColor="text1"/>
          <w:lang w:val="es-ES"/>
        </w:rPr>
        <w:t xml:space="preserve">se tradujo en una menor ejecución en las partidas presupuestarias, </w:t>
      </w:r>
      <w:r w:rsidRPr="003A72EE">
        <w:rPr>
          <w:rFonts w:asciiTheme="minorHAnsi" w:hAnsiTheme="minorHAnsi" w:cstheme="minorHAnsi"/>
          <w:noProof/>
          <w:color w:val="000000" w:themeColor="text1"/>
          <w:lang w:val="es-ES"/>
        </w:rPr>
        <w:t>en particular</w:t>
      </w:r>
      <w:r w:rsidR="00782551" w:rsidRPr="003A72EE">
        <w:rPr>
          <w:rFonts w:asciiTheme="minorHAnsi" w:hAnsiTheme="minorHAnsi" w:cstheme="minorHAnsi"/>
          <w:noProof/>
          <w:color w:val="000000" w:themeColor="text1"/>
          <w:lang w:val="es-ES"/>
        </w:rPr>
        <w:t xml:space="preserve"> las referentes a</w:t>
      </w:r>
      <w:r w:rsidRPr="003A72EE">
        <w:rPr>
          <w:rFonts w:asciiTheme="minorHAnsi" w:hAnsiTheme="minorHAnsi" w:cstheme="minorHAnsi"/>
          <w:noProof/>
          <w:color w:val="000000" w:themeColor="text1"/>
          <w:lang w:val="es-ES"/>
        </w:rPr>
        <w:t xml:space="preserve"> los viajes, las Misiones Ramsar de Asesoramiento y las reuniones.</w:t>
      </w:r>
    </w:p>
    <w:p w14:paraId="787E8398" w14:textId="77777777" w:rsidR="00DB006E" w:rsidRPr="003A72EE" w:rsidRDefault="00DB006E" w:rsidP="00711D36">
      <w:pPr>
        <w:widowControl/>
        <w:rPr>
          <w:rFonts w:asciiTheme="minorHAnsi" w:hAnsiTheme="minorHAnsi" w:cstheme="minorHAnsi"/>
          <w:noProof/>
          <w:lang w:val="es-ES"/>
        </w:rPr>
      </w:pPr>
    </w:p>
    <w:p w14:paraId="0852E740" w14:textId="0B62F15E" w:rsidR="00782551" w:rsidRPr="003A72EE" w:rsidRDefault="00782551" w:rsidP="00782551">
      <w:pPr>
        <w:widowControl/>
        <w:rPr>
          <w:rFonts w:asciiTheme="minorHAnsi" w:hAnsiTheme="minorHAnsi" w:cstheme="minorHAnsi"/>
          <w:noProof/>
          <w:lang w:val="es-ES"/>
        </w:rPr>
      </w:pPr>
      <w:r w:rsidRPr="003A72EE">
        <w:rPr>
          <w:rFonts w:asciiTheme="minorHAnsi" w:hAnsiTheme="minorHAnsi" w:cstheme="minorHAnsi"/>
          <w:noProof/>
          <w:lang w:val="es-ES"/>
        </w:rPr>
        <w:t xml:space="preserve">El Subgrupo tomó nota de la ejecución presupuestaria relativamente alta (89 %) en los costos salariales, lo que </w:t>
      </w:r>
      <w:r w:rsidR="00B848A8" w:rsidRPr="003A72EE">
        <w:rPr>
          <w:rFonts w:asciiTheme="minorHAnsi" w:hAnsiTheme="minorHAnsi" w:cstheme="minorHAnsi"/>
          <w:noProof/>
          <w:lang w:val="es-ES"/>
        </w:rPr>
        <w:t>representa un resultado positivo en el contexto de la pandemia del COVID-19, comparado con otras organizaciones, y agradeció los esfuerzos de la Secretaría en este sentido.</w:t>
      </w:r>
    </w:p>
    <w:p w14:paraId="20587F9C" w14:textId="654E5970" w:rsidR="00C76FD5" w:rsidRPr="003A72EE" w:rsidRDefault="00C76FD5" w:rsidP="00711D36">
      <w:pPr>
        <w:widowControl/>
        <w:rPr>
          <w:rFonts w:asciiTheme="minorHAnsi" w:hAnsiTheme="minorHAnsi" w:cstheme="minorHAnsi"/>
          <w:noProof/>
          <w:lang w:val="es-ES"/>
        </w:rPr>
      </w:pPr>
    </w:p>
    <w:p w14:paraId="3A437EEF" w14:textId="77777777" w:rsidR="00B848A8" w:rsidRPr="003A72EE" w:rsidRDefault="00B848A8" w:rsidP="00B848A8">
      <w:pPr>
        <w:widowControl/>
        <w:rPr>
          <w:rFonts w:asciiTheme="minorHAnsi" w:hAnsiTheme="minorHAnsi" w:cstheme="minorHAnsi"/>
          <w:i/>
          <w:noProof/>
          <w:color w:val="0000FF"/>
          <w:lang w:val="es-ES"/>
        </w:rPr>
      </w:pPr>
      <w:r w:rsidRPr="003A72EE">
        <w:rPr>
          <w:rFonts w:asciiTheme="minorHAnsi" w:hAnsiTheme="minorHAnsi" w:cstheme="minorHAnsi"/>
          <w:i/>
          <w:noProof/>
          <w:color w:val="0000FF"/>
          <w:lang w:val="es-ES"/>
        </w:rPr>
        <w:t xml:space="preserve">Recomendaciones para las decisiones del Comité Permanente: </w:t>
      </w:r>
    </w:p>
    <w:p w14:paraId="5C2B8825" w14:textId="77777777" w:rsidR="00312AAB" w:rsidRPr="003A72EE" w:rsidRDefault="00312AAB" w:rsidP="00711D36">
      <w:pPr>
        <w:widowControl/>
        <w:ind w:left="426" w:hanging="426"/>
        <w:rPr>
          <w:rFonts w:asciiTheme="minorHAnsi" w:hAnsiTheme="minorHAnsi" w:cstheme="minorHAnsi"/>
          <w:noProof/>
          <w:lang w:val="es-ES"/>
        </w:rPr>
      </w:pPr>
    </w:p>
    <w:p w14:paraId="5744E37A" w14:textId="061A18E0" w:rsidR="00B848A8" w:rsidRPr="003A72EE" w:rsidRDefault="00B848A8" w:rsidP="00711D36">
      <w:pPr>
        <w:widowControl/>
        <w:rPr>
          <w:rFonts w:asciiTheme="minorHAnsi" w:hAnsiTheme="minorHAnsi" w:cstheme="minorHAnsi"/>
          <w:b/>
          <w:i/>
          <w:noProof/>
          <w:lang w:val="es-ES"/>
        </w:rPr>
      </w:pPr>
      <w:r w:rsidRPr="003A72EE">
        <w:rPr>
          <w:rFonts w:asciiTheme="minorHAnsi" w:hAnsiTheme="minorHAnsi" w:cstheme="minorHAnsi"/>
          <w:b/>
          <w:i/>
          <w:noProof/>
          <w:lang w:val="es-ES"/>
        </w:rPr>
        <w:t xml:space="preserve">El Subgrupo de Finanzas recomienda </w:t>
      </w:r>
      <w:r w:rsidR="00774F14" w:rsidRPr="003A72EE">
        <w:rPr>
          <w:rFonts w:asciiTheme="minorHAnsi" w:hAnsiTheme="minorHAnsi" w:cstheme="minorHAnsi"/>
          <w:b/>
          <w:i/>
          <w:noProof/>
          <w:lang w:val="es-ES"/>
        </w:rPr>
        <w:t>a</w:t>
      </w:r>
      <w:r w:rsidRPr="003A72EE">
        <w:rPr>
          <w:rFonts w:asciiTheme="minorHAnsi" w:hAnsiTheme="minorHAnsi" w:cstheme="minorHAnsi"/>
          <w:b/>
          <w:i/>
          <w:noProof/>
          <w:lang w:val="es-ES"/>
        </w:rPr>
        <w:t xml:space="preserve">l Comité Permanente </w:t>
      </w:r>
      <w:r w:rsidR="00774F14" w:rsidRPr="003A72EE">
        <w:rPr>
          <w:rFonts w:asciiTheme="minorHAnsi" w:hAnsiTheme="minorHAnsi" w:cstheme="minorHAnsi"/>
          <w:b/>
          <w:i/>
          <w:noProof/>
          <w:lang w:val="es-ES"/>
        </w:rPr>
        <w:t xml:space="preserve">que </w:t>
      </w:r>
      <w:r w:rsidRPr="003A72EE">
        <w:rPr>
          <w:rFonts w:asciiTheme="minorHAnsi" w:hAnsiTheme="minorHAnsi" w:cstheme="minorHAnsi"/>
          <w:b/>
          <w:i/>
          <w:noProof/>
          <w:lang w:val="es-ES"/>
        </w:rPr>
        <w:t xml:space="preserve">haga lo siguiente: </w:t>
      </w:r>
    </w:p>
    <w:p w14:paraId="5FD28C21" w14:textId="4718245F" w:rsidR="00B848A8" w:rsidRPr="003A72EE" w:rsidRDefault="008F6EDE" w:rsidP="00A51A5D">
      <w:pPr>
        <w:widowControl/>
        <w:ind w:left="426" w:hanging="426"/>
        <w:rPr>
          <w:b/>
          <w:i/>
          <w:noProof/>
          <w:lang w:val="es-ES"/>
        </w:rPr>
      </w:pPr>
      <w:r w:rsidRPr="003A72EE">
        <w:rPr>
          <w:b/>
          <w:i/>
          <w:noProof/>
          <w:lang w:val="es-ES"/>
        </w:rPr>
        <w:t>i.</w:t>
      </w:r>
      <w:r w:rsidRPr="003A72EE">
        <w:rPr>
          <w:b/>
          <w:i/>
          <w:noProof/>
          <w:lang w:val="es-ES"/>
        </w:rPr>
        <w:tab/>
      </w:r>
      <w:r w:rsidR="00EA5A38" w:rsidRPr="003A72EE">
        <w:rPr>
          <w:b/>
          <w:i/>
          <w:noProof/>
          <w:lang w:val="es-ES"/>
        </w:rPr>
        <w:t>examinar y aceptar</w:t>
      </w:r>
      <w:r w:rsidR="00B848A8" w:rsidRPr="003A72EE">
        <w:rPr>
          <w:b/>
          <w:i/>
          <w:noProof/>
          <w:lang w:val="es-ES"/>
        </w:rPr>
        <w:t xml:space="preserve"> los estados financieros auditados de 2021 a 31 de diciembre de 2021;</w:t>
      </w:r>
    </w:p>
    <w:p w14:paraId="6129585C" w14:textId="0839EE8F" w:rsidR="00B848A8" w:rsidRPr="003A72EE" w:rsidRDefault="008F6EDE" w:rsidP="00A51A5D">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t>ii.</w:t>
      </w:r>
      <w:r w:rsidRPr="003A72EE">
        <w:rPr>
          <w:rFonts w:asciiTheme="minorHAnsi" w:hAnsiTheme="minorHAnsi" w:cstheme="minorHAnsi"/>
          <w:b/>
          <w:i/>
          <w:noProof/>
          <w:lang w:val="es-ES"/>
        </w:rPr>
        <w:tab/>
      </w:r>
      <w:r w:rsidR="00EA5A38" w:rsidRPr="003A72EE">
        <w:rPr>
          <w:rFonts w:asciiTheme="minorHAnsi" w:hAnsiTheme="minorHAnsi" w:cstheme="minorHAnsi"/>
          <w:b/>
          <w:i/>
          <w:noProof/>
          <w:lang w:val="es-ES"/>
        </w:rPr>
        <w:t>tomar</w:t>
      </w:r>
      <w:r w:rsidR="00B848A8" w:rsidRPr="003A72EE">
        <w:rPr>
          <w:rFonts w:asciiTheme="minorHAnsi" w:hAnsiTheme="minorHAnsi" w:cstheme="minorHAnsi"/>
          <w:b/>
          <w:i/>
          <w:noProof/>
          <w:lang w:val="es-ES"/>
        </w:rPr>
        <w:t xml:space="preserve"> nota de los resultados del presupuesto básico para 2021;</w:t>
      </w:r>
    </w:p>
    <w:p w14:paraId="5D16DCA9" w14:textId="2DC4CDBF" w:rsidR="00B848A8" w:rsidRPr="003A72EE" w:rsidRDefault="008F6EDE" w:rsidP="00A51A5D">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t>iii.</w:t>
      </w:r>
      <w:r w:rsidRPr="003A72EE">
        <w:rPr>
          <w:rFonts w:asciiTheme="minorHAnsi" w:hAnsiTheme="minorHAnsi" w:cstheme="minorHAnsi"/>
          <w:b/>
          <w:i/>
          <w:noProof/>
          <w:lang w:val="es-ES"/>
        </w:rPr>
        <w:tab/>
      </w:r>
      <w:r w:rsidR="00EA5A38" w:rsidRPr="003A72EE">
        <w:rPr>
          <w:rFonts w:asciiTheme="minorHAnsi" w:hAnsiTheme="minorHAnsi" w:cstheme="minorHAnsi"/>
          <w:b/>
          <w:i/>
          <w:noProof/>
          <w:lang w:val="es-ES"/>
        </w:rPr>
        <w:t>tomar</w:t>
      </w:r>
      <w:r w:rsidR="00B848A8" w:rsidRPr="003A72EE">
        <w:rPr>
          <w:rFonts w:asciiTheme="minorHAnsi" w:hAnsiTheme="minorHAnsi" w:cstheme="minorHAnsi"/>
          <w:b/>
          <w:i/>
          <w:noProof/>
          <w:lang w:val="es-ES"/>
        </w:rPr>
        <w:t xml:space="preserve"> nota del estado de los saldos no básicos y de las contribuciones voluntarias para 2021;</w:t>
      </w:r>
    </w:p>
    <w:p w14:paraId="78D83E66" w14:textId="424EA948" w:rsidR="00B848A8" w:rsidRPr="003A72EE" w:rsidRDefault="008F6EDE" w:rsidP="008F6EDE">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t>iv.</w:t>
      </w:r>
      <w:r w:rsidRPr="003A72EE">
        <w:rPr>
          <w:rFonts w:asciiTheme="minorHAnsi" w:hAnsiTheme="minorHAnsi" w:cstheme="minorHAnsi"/>
          <w:b/>
          <w:i/>
          <w:noProof/>
          <w:lang w:val="es-ES"/>
        </w:rPr>
        <w:tab/>
      </w:r>
      <w:r w:rsidR="00EA5A38" w:rsidRPr="003A72EE">
        <w:rPr>
          <w:rFonts w:asciiTheme="minorHAnsi" w:hAnsiTheme="minorHAnsi" w:cstheme="minorHAnsi"/>
          <w:b/>
          <w:i/>
          <w:noProof/>
          <w:lang w:val="es-ES"/>
        </w:rPr>
        <w:t>aprobar</w:t>
      </w:r>
      <w:r w:rsidR="00B848A8" w:rsidRPr="003A72EE">
        <w:rPr>
          <w:rFonts w:asciiTheme="minorHAnsi" w:hAnsiTheme="minorHAnsi" w:cstheme="minorHAnsi"/>
          <w:b/>
          <w:i/>
          <w:noProof/>
          <w:lang w:val="es-ES"/>
        </w:rPr>
        <w:t xml:space="preserve"> los ajustes propuestos por la Secretaría para 2021, descritos en los párrafos 9.f, 13, 14 y 15 y presentados en la columna H del cuadro del Anexo 2 del documento SC59/2022 Doc. 8.1; y</w:t>
      </w:r>
    </w:p>
    <w:p w14:paraId="186FE2F5" w14:textId="596590DD" w:rsidR="00304621" w:rsidRPr="003A72EE" w:rsidRDefault="008F6EDE" w:rsidP="00A51A5D">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t>v.</w:t>
      </w:r>
      <w:r w:rsidRPr="003A72EE">
        <w:rPr>
          <w:rFonts w:asciiTheme="minorHAnsi" w:hAnsiTheme="minorHAnsi" w:cstheme="minorHAnsi"/>
          <w:b/>
          <w:i/>
          <w:noProof/>
          <w:lang w:val="es-ES"/>
        </w:rPr>
        <w:tab/>
      </w:r>
      <w:r w:rsidR="00EA5A38" w:rsidRPr="003A72EE">
        <w:rPr>
          <w:rFonts w:asciiTheme="minorHAnsi" w:hAnsiTheme="minorHAnsi" w:cstheme="minorHAnsi"/>
          <w:b/>
          <w:i/>
          <w:noProof/>
          <w:lang w:val="es-ES"/>
        </w:rPr>
        <w:t>aprobar</w:t>
      </w:r>
      <w:r w:rsidR="00304621" w:rsidRPr="003A72EE">
        <w:rPr>
          <w:rFonts w:asciiTheme="minorHAnsi" w:hAnsiTheme="minorHAnsi" w:cstheme="minorHAnsi"/>
          <w:b/>
          <w:i/>
          <w:noProof/>
          <w:lang w:val="es-ES"/>
        </w:rPr>
        <w:t xml:space="preserve"> que los fondos previamente comprometidos se transfieran de 2021 a 2022, como se describe en el párrafo 10 y se presenta en la columna C del cuadro del Anexo 4 del documento SC59/2022 Doc. 8.1 y también en la columna C del cuadro del Anexo 1, Presupuesto Básico </w:t>
      </w:r>
      <w:r w:rsidR="00DA4E58" w:rsidRPr="003A72EE">
        <w:rPr>
          <w:rFonts w:asciiTheme="minorHAnsi" w:hAnsiTheme="minorHAnsi" w:cstheme="minorHAnsi"/>
          <w:b/>
          <w:i/>
          <w:noProof/>
          <w:lang w:val="es-ES"/>
        </w:rPr>
        <w:t xml:space="preserve">para </w:t>
      </w:r>
      <w:r w:rsidR="00304621" w:rsidRPr="003A72EE">
        <w:rPr>
          <w:rFonts w:asciiTheme="minorHAnsi" w:hAnsiTheme="minorHAnsi" w:cstheme="minorHAnsi"/>
          <w:b/>
          <w:i/>
          <w:noProof/>
          <w:lang w:val="es-ES"/>
        </w:rPr>
        <w:t>2022, del presente informe.</w:t>
      </w:r>
    </w:p>
    <w:p w14:paraId="554C4412" w14:textId="77777777" w:rsidR="008F6EDE" w:rsidRPr="003A72EE" w:rsidRDefault="008F6EDE" w:rsidP="00DA4E58">
      <w:pPr>
        <w:widowControl/>
        <w:rPr>
          <w:rFonts w:asciiTheme="minorHAnsi" w:hAnsiTheme="minorHAnsi" w:cstheme="minorHAnsi"/>
          <w:b/>
          <w:i/>
          <w:noProof/>
          <w:lang w:val="es-ES"/>
        </w:rPr>
      </w:pPr>
    </w:p>
    <w:p w14:paraId="0E052433" w14:textId="7596911A" w:rsidR="00DA4E58" w:rsidRPr="003A72EE" w:rsidRDefault="008F6EDE" w:rsidP="00126728">
      <w:pPr>
        <w:keepNext/>
        <w:widowControl/>
        <w:autoSpaceDE/>
        <w:autoSpaceDN/>
        <w:ind w:left="426" w:hanging="426"/>
        <w:rPr>
          <w:rFonts w:asciiTheme="minorHAnsi" w:hAnsiTheme="minorHAnsi" w:cstheme="minorHAnsi"/>
          <w:b/>
          <w:noProof/>
          <w:lang w:val="es-ES"/>
        </w:rPr>
      </w:pPr>
      <w:r w:rsidRPr="003A72EE">
        <w:rPr>
          <w:rFonts w:asciiTheme="minorHAnsi" w:hAnsiTheme="minorHAnsi" w:cstheme="minorHAnsi"/>
          <w:b/>
          <w:noProof/>
          <w:lang w:val="es-ES"/>
        </w:rPr>
        <w:lastRenderedPageBreak/>
        <w:t>3.</w:t>
      </w:r>
      <w:r w:rsidRPr="003A72EE">
        <w:rPr>
          <w:rFonts w:asciiTheme="minorHAnsi" w:hAnsiTheme="minorHAnsi" w:cstheme="minorHAnsi"/>
          <w:b/>
          <w:noProof/>
          <w:lang w:val="es-ES"/>
        </w:rPr>
        <w:tab/>
      </w:r>
      <w:r w:rsidR="00DA4E58" w:rsidRPr="003A72EE">
        <w:rPr>
          <w:rFonts w:asciiTheme="minorHAnsi" w:hAnsiTheme="minorHAnsi" w:cstheme="minorHAnsi"/>
          <w:b/>
          <w:noProof/>
          <w:lang w:val="es-ES"/>
        </w:rPr>
        <w:t>Escenarios presupuestarios para el período comprendido entre 2023 y 2025 y proyecto de resolución sobre cuestiones financieras y presupuestarias (documento SC59/2022 Doc.8.3)</w:t>
      </w:r>
    </w:p>
    <w:p w14:paraId="458A1053" w14:textId="77777777" w:rsidR="007E32B3" w:rsidRPr="003A72EE" w:rsidRDefault="007E32B3" w:rsidP="00126728">
      <w:pPr>
        <w:keepNext/>
        <w:widowControl/>
        <w:rPr>
          <w:rFonts w:asciiTheme="minorHAnsi" w:hAnsiTheme="minorHAnsi" w:cstheme="minorHAnsi"/>
          <w:b/>
          <w:noProof/>
          <w:lang w:val="es-ES"/>
        </w:rPr>
      </w:pPr>
    </w:p>
    <w:p w14:paraId="23892210" w14:textId="6A0F4BC5" w:rsidR="007E32B3" w:rsidRPr="003A72EE" w:rsidRDefault="00DA4E58" w:rsidP="00126728">
      <w:pPr>
        <w:keepNext/>
        <w:widowControl/>
        <w:rPr>
          <w:rFonts w:asciiTheme="minorHAnsi" w:hAnsiTheme="minorHAnsi" w:cstheme="minorHAnsi"/>
          <w:b/>
          <w:noProof/>
          <w:lang w:val="es-ES"/>
        </w:rPr>
      </w:pPr>
      <w:r w:rsidRPr="003A72EE">
        <w:rPr>
          <w:rFonts w:asciiTheme="minorHAnsi" w:hAnsiTheme="minorHAnsi" w:cstheme="minorHAnsi"/>
          <w:noProof/>
          <w:u w:val="single"/>
          <w:lang w:val="es-ES"/>
        </w:rPr>
        <w:t>Escenarios presupuestarios</w:t>
      </w:r>
      <w:r w:rsidR="007E32B3" w:rsidRPr="003A72EE">
        <w:rPr>
          <w:rFonts w:asciiTheme="minorHAnsi" w:hAnsiTheme="minorHAnsi" w:cstheme="minorHAnsi"/>
          <w:noProof/>
          <w:u w:val="single"/>
          <w:lang w:val="es-ES"/>
        </w:rPr>
        <w:t xml:space="preserve"> </w:t>
      </w:r>
      <w:r w:rsidRPr="003A72EE">
        <w:rPr>
          <w:rFonts w:asciiTheme="minorHAnsi" w:hAnsiTheme="minorHAnsi" w:cstheme="minorHAnsi"/>
          <w:noProof/>
          <w:u w:val="single"/>
          <w:lang w:val="es-ES"/>
        </w:rPr>
        <w:t>para el período comprendido entre 2023 y 2025</w:t>
      </w:r>
    </w:p>
    <w:p w14:paraId="67DAC165" w14:textId="77777777" w:rsidR="00DA4E58" w:rsidRPr="003A72EE" w:rsidRDefault="00DA4E58" w:rsidP="00711D36">
      <w:pPr>
        <w:widowControl/>
        <w:rPr>
          <w:rFonts w:asciiTheme="minorHAnsi" w:hAnsiTheme="minorHAnsi" w:cstheme="minorHAnsi"/>
          <w:noProof/>
          <w:lang w:val="es-ES"/>
        </w:rPr>
      </w:pPr>
    </w:p>
    <w:p w14:paraId="212B06FB" w14:textId="16345DDB" w:rsidR="00DA4E58" w:rsidRPr="003A72EE" w:rsidRDefault="00DA4E58" w:rsidP="00711D36">
      <w:pPr>
        <w:widowControl/>
        <w:rPr>
          <w:rFonts w:asciiTheme="minorHAnsi" w:hAnsiTheme="minorHAnsi" w:cstheme="minorHAnsi"/>
          <w:noProof/>
          <w:lang w:val="es-ES"/>
        </w:rPr>
      </w:pPr>
      <w:r w:rsidRPr="003A72EE">
        <w:rPr>
          <w:rFonts w:asciiTheme="minorHAnsi" w:hAnsiTheme="minorHAnsi" w:cstheme="minorHAnsi"/>
          <w:noProof/>
          <w:lang w:val="es-ES"/>
        </w:rPr>
        <w:t>La Secretaría presentó los tres escenarios elaborados para el trienio 2023-2025 en el documento SC59 Doc.8.3: Escenario A (0 % de aumento del presupuesto básico); Escenario B (2,8 % de aumento, con un aumento del 2,7 % en las contribuciones) y Escenario C (4,4 %</w:t>
      </w:r>
      <w:r w:rsidRPr="003A72EE">
        <w:rPr>
          <w:rStyle w:val="FootnoteReference"/>
          <w:rFonts w:asciiTheme="minorHAnsi" w:hAnsiTheme="minorHAnsi" w:cstheme="minorHAnsi"/>
          <w:noProof/>
          <w:lang w:val="es-ES"/>
        </w:rPr>
        <w:footnoteReference w:id="2"/>
      </w:r>
      <w:r w:rsidRPr="003A72EE">
        <w:rPr>
          <w:rFonts w:asciiTheme="minorHAnsi" w:hAnsiTheme="minorHAnsi" w:cstheme="minorHAnsi"/>
          <w:noProof/>
          <w:lang w:val="es-ES"/>
        </w:rPr>
        <w:t xml:space="preserve"> de aumento, con un aumento del 4,3 % en las contribuciones).</w:t>
      </w:r>
    </w:p>
    <w:p w14:paraId="3E0139DE" w14:textId="77777777" w:rsidR="00DA4E58" w:rsidRPr="003A72EE" w:rsidRDefault="00DA4E58" w:rsidP="00711D36">
      <w:pPr>
        <w:widowControl/>
        <w:rPr>
          <w:rFonts w:asciiTheme="minorHAnsi" w:hAnsiTheme="minorHAnsi" w:cstheme="minorHAnsi"/>
          <w:noProof/>
          <w:lang w:val="es-ES"/>
        </w:rPr>
      </w:pPr>
    </w:p>
    <w:p w14:paraId="5CD0A606" w14:textId="788CF831" w:rsidR="00AF5120" w:rsidRPr="003A72EE" w:rsidRDefault="00893491" w:rsidP="00711D36">
      <w:pPr>
        <w:widowControl/>
        <w:rPr>
          <w:rFonts w:asciiTheme="minorHAnsi" w:hAnsiTheme="minorHAnsi" w:cstheme="minorHAnsi"/>
          <w:noProof/>
          <w:lang w:val="es-ES"/>
        </w:rPr>
      </w:pPr>
      <w:r w:rsidRPr="003A72EE">
        <w:rPr>
          <w:rFonts w:asciiTheme="minorHAnsi" w:hAnsiTheme="minorHAnsi" w:cstheme="minorHAnsi"/>
          <w:noProof/>
          <w:lang w:val="es-ES"/>
        </w:rPr>
        <w:t xml:space="preserve">El escenario A requiere la asignación de un excedente para cubrir el déficit presupuestario creado por la adición de un puesto de </w:t>
      </w:r>
      <w:r w:rsidR="00BF444B" w:rsidRPr="003A72EE">
        <w:rPr>
          <w:rFonts w:asciiTheme="minorHAnsi" w:hAnsiTheme="minorHAnsi" w:cstheme="minorHAnsi"/>
          <w:noProof/>
          <w:lang w:val="es-ES"/>
        </w:rPr>
        <w:t>auxiliar contable y financiero</w:t>
      </w:r>
      <w:r w:rsidRPr="003A72EE">
        <w:rPr>
          <w:rFonts w:asciiTheme="minorHAnsi" w:hAnsiTheme="minorHAnsi" w:cstheme="minorHAnsi"/>
          <w:noProof/>
          <w:lang w:val="es-ES"/>
        </w:rPr>
        <w:t xml:space="preserve"> y por el aumento de la provisión para contribuciones pendientes. El escenario B también incluiría fondos para los aumentos salariales </w:t>
      </w:r>
      <w:r w:rsidR="00F13DA2" w:rsidRPr="003A72EE">
        <w:rPr>
          <w:rFonts w:asciiTheme="minorHAnsi" w:hAnsiTheme="minorHAnsi" w:cstheme="minorHAnsi"/>
          <w:noProof/>
          <w:lang w:val="es-ES"/>
        </w:rPr>
        <w:t xml:space="preserve">derivados </w:t>
      </w:r>
      <w:r w:rsidR="00A5061F" w:rsidRPr="003A72EE">
        <w:rPr>
          <w:rFonts w:asciiTheme="minorHAnsi" w:hAnsiTheme="minorHAnsi" w:cstheme="minorHAnsi"/>
          <w:noProof/>
          <w:lang w:val="es-ES"/>
        </w:rPr>
        <w:t xml:space="preserve">de los ascensos y </w:t>
      </w:r>
      <w:r w:rsidRPr="003A72EE">
        <w:rPr>
          <w:rFonts w:asciiTheme="minorHAnsi" w:hAnsiTheme="minorHAnsi" w:cstheme="minorHAnsi"/>
          <w:noProof/>
          <w:lang w:val="es-ES"/>
        </w:rPr>
        <w:t xml:space="preserve">de la </w:t>
      </w:r>
      <w:r w:rsidR="00F13DA2" w:rsidRPr="003A72EE">
        <w:rPr>
          <w:rFonts w:asciiTheme="minorHAnsi" w:hAnsiTheme="minorHAnsi" w:cstheme="minorHAnsi"/>
          <w:noProof/>
          <w:lang w:val="es-ES"/>
        </w:rPr>
        <w:t>evaluación</w:t>
      </w:r>
      <w:r w:rsidRPr="003A72EE">
        <w:rPr>
          <w:rFonts w:asciiTheme="minorHAnsi" w:hAnsiTheme="minorHAnsi" w:cstheme="minorHAnsi"/>
          <w:noProof/>
          <w:lang w:val="es-ES"/>
        </w:rPr>
        <w:t xml:space="preserve"> del </w:t>
      </w:r>
      <w:r w:rsidR="00F13DA2" w:rsidRPr="003A72EE">
        <w:rPr>
          <w:rFonts w:asciiTheme="minorHAnsi" w:hAnsiTheme="minorHAnsi" w:cstheme="minorHAnsi"/>
          <w:noProof/>
          <w:lang w:val="es-ES"/>
        </w:rPr>
        <w:t>desempeño</w:t>
      </w:r>
      <w:r w:rsidRPr="003A72EE">
        <w:rPr>
          <w:rFonts w:asciiTheme="minorHAnsi" w:hAnsiTheme="minorHAnsi" w:cstheme="minorHAnsi"/>
          <w:noProof/>
          <w:lang w:val="es-ES"/>
        </w:rPr>
        <w:t xml:space="preserve"> del personal</w:t>
      </w:r>
      <w:r w:rsidR="006034C0" w:rsidRPr="003A72EE">
        <w:rPr>
          <w:rFonts w:asciiTheme="minorHAnsi" w:hAnsiTheme="minorHAnsi" w:cstheme="minorHAnsi"/>
          <w:noProof/>
          <w:lang w:val="es-ES"/>
        </w:rPr>
        <w:t>,</w:t>
      </w:r>
      <w:r w:rsidRPr="003A72EE">
        <w:rPr>
          <w:rFonts w:asciiTheme="minorHAnsi" w:hAnsiTheme="minorHAnsi" w:cstheme="minorHAnsi"/>
          <w:noProof/>
          <w:lang w:val="es-ES"/>
        </w:rPr>
        <w:t xml:space="preserve"> </w:t>
      </w:r>
      <w:r w:rsidR="00A5061F" w:rsidRPr="003A72EE">
        <w:rPr>
          <w:rFonts w:asciiTheme="minorHAnsi" w:hAnsiTheme="minorHAnsi" w:cstheme="minorHAnsi"/>
          <w:noProof/>
          <w:lang w:val="es-ES"/>
        </w:rPr>
        <w:t>de conformidad con</w:t>
      </w:r>
      <w:r w:rsidRPr="003A72EE">
        <w:rPr>
          <w:rFonts w:asciiTheme="minorHAnsi" w:hAnsiTheme="minorHAnsi" w:cstheme="minorHAnsi"/>
          <w:noProof/>
          <w:lang w:val="es-ES"/>
        </w:rPr>
        <w:t xml:space="preserve"> </w:t>
      </w:r>
      <w:r w:rsidR="00F13DA2" w:rsidRPr="003A72EE">
        <w:rPr>
          <w:rFonts w:asciiTheme="minorHAnsi" w:hAnsiTheme="minorHAnsi" w:cstheme="minorHAnsi"/>
          <w:noProof/>
          <w:lang w:val="es-ES"/>
        </w:rPr>
        <w:t>los lineamientos</w:t>
      </w:r>
      <w:r w:rsidRPr="003A72EE">
        <w:rPr>
          <w:rFonts w:asciiTheme="minorHAnsi" w:hAnsiTheme="minorHAnsi" w:cstheme="minorHAnsi"/>
          <w:noProof/>
          <w:lang w:val="es-ES"/>
        </w:rPr>
        <w:t xml:space="preserve"> de la UICN aplicad</w:t>
      </w:r>
      <w:r w:rsidR="00F13DA2" w:rsidRPr="003A72EE">
        <w:rPr>
          <w:rFonts w:asciiTheme="minorHAnsi" w:hAnsiTheme="minorHAnsi" w:cstheme="minorHAnsi"/>
          <w:noProof/>
          <w:lang w:val="es-ES"/>
        </w:rPr>
        <w:t>o</w:t>
      </w:r>
      <w:r w:rsidRPr="003A72EE">
        <w:rPr>
          <w:rFonts w:asciiTheme="minorHAnsi" w:hAnsiTheme="minorHAnsi" w:cstheme="minorHAnsi"/>
          <w:noProof/>
          <w:lang w:val="es-ES"/>
        </w:rPr>
        <w:t>s por la Secretaría desde 2019</w:t>
      </w:r>
      <w:r w:rsidR="00A5061F" w:rsidRPr="003A72EE">
        <w:rPr>
          <w:rFonts w:asciiTheme="minorHAnsi" w:hAnsiTheme="minorHAnsi" w:cstheme="minorHAnsi"/>
          <w:noProof/>
          <w:lang w:val="es-ES"/>
        </w:rPr>
        <w:t>. Por último,</w:t>
      </w:r>
      <w:r w:rsidRPr="003A72EE">
        <w:rPr>
          <w:rFonts w:asciiTheme="minorHAnsi" w:hAnsiTheme="minorHAnsi" w:cstheme="minorHAnsi"/>
          <w:noProof/>
          <w:lang w:val="es-ES"/>
        </w:rPr>
        <w:t xml:space="preserve"> el escenario C incluiría los cost</w:t>
      </w:r>
      <w:r w:rsidR="00F13DA2" w:rsidRPr="003A72EE">
        <w:rPr>
          <w:rFonts w:asciiTheme="minorHAnsi" w:hAnsiTheme="minorHAnsi" w:cstheme="minorHAnsi"/>
          <w:noProof/>
          <w:lang w:val="es-ES"/>
        </w:rPr>
        <w:t>o</w:t>
      </w:r>
      <w:r w:rsidRPr="003A72EE">
        <w:rPr>
          <w:rFonts w:asciiTheme="minorHAnsi" w:hAnsiTheme="minorHAnsi" w:cstheme="minorHAnsi"/>
          <w:noProof/>
          <w:lang w:val="es-ES"/>
        </w:rPr>
        <w:t xml:space="preserve">s de </w:t>
      </w:r>
      <w:r w:rsidR="00F13DA2" w:rsidRPr="003A72EE">
        <w:rPr>
          <w:rFonts w:asciiTheme="minorHAnsi" w:hAnsiTheme="minorHAnsi" w:cstheme="minorHAnsi"/>
          <w:noProof/>
          <w:lang w:val="es-ES"/>
        </w:rPr>
        <w:t>organización</w:t>
      </w:r>
      <w:r w:rsidRPr="003A72EE">
        <w:rPr>
          <w:rFonts w:asciiTheme="minorHAnsi" w:hAnsiTheme="minorHAnsi" w:cstheme="minorHAnsi"/>
          <w:noProof/>
          <w:lang w:val="es-ES"/>
        </w:rPr>
        <w:t xml:space="preserve"> de la COP15 en el presupuesto básico, como es </w:t>
      </w:r>
      <w:r w:rsidR="00F13DA2" w:rsidRPr="003A72EE">
        <w:rPr>
          <w:rFonts w:asciiTheme="minorHAnsi" w:hAnsiTheme="minorHAnsi" w:cstheme="minorHAnsi"/>
          <w:noProof/>
          <w:lang w:val="es-ES"/>
        </w:rPr>
        <w:t>habitual</w:t>
      </w:r>
      <w:r w:rsidRPr="003A72EE">
        <w:rPr>
          <w:rFonts w:asciiTheme="minorHAnsi" w:hAnsiTheme="minorHAnsi" w:cstheme="minorHAnsi"/>
          <w:noProof/>
          <w:lang w:val="es-ES"/>
        </w:rPr>
        <w:t xml:space="preserve"> en </w:t>
      </w:r>
      <w:r w:rsidR="006034C0" w:rsidRPr="003A72EE">
        <w:rPr>
          <w:rFonts w:asciiTheme="minorHAnsi" w:hAnsiTheme="minorHAnsi" w:cstheme="minorHAnsi"/>
          <w:noProof/>
          <w:lang w:val="es-ES"/>
        </w:rPr>
        <w:t xml:space="preserve">otras </w:t>
      </w:r>
      <w:r w:rsidRPr="003A72EE">
        <w:rPr>
          <w:rFonts w:asciiTheme="minorHAnsi" w:hAnsiTheme="minorHAnsi" w:cstheme="minorHAnsi"/>
          <w:noProof/>
          <w:lang w:val="es-ES"/>
        </w:rPr>
        <w:t>Convenciones.</w:t>
      </w:r>
    </w:p>
    <w:p w14:paraId="7B818FF2" w14:textId="5CDB84B0" w:rsidR="00FB512A" w:rsidRPr="003A72EE" w:rsidRDefault="00FB512A" w:rsidP="00711D36">
      <w:pPr>
        <w:widowControl/>
        <w:rPr>
          <w:rFonts w:asciiTheme="minorHAnsi" w:hAnsiTheme="minorHAnsi" w:cstheme="minorHAnsi"/>
          <w:noProof/>
          <w:lang w:val="es-ES"/>
        </w:rPr>
      </w:pPr>
    </w:p>
    <w:p w14:paraId="031CFD9E" w14:textId="3906FEE3" w:rsidR="00A5061F" w:rsidRPr="003A72EE" w:rsidRDefault="00A5061F" w:rsidP="00711D36">
      <w:pPr>
        <w:widowControl/>
        <w:rPr>
          <w:rFonts w:asciiTheme="minorHAnsi" w:hAnsiTheme="minorHAnsi" w:cstheme="minorHAnsi"/>
          <w:noProof/>
          <w:lang w:val="es-ES"/>
        </w:rPr>
      </w:pPr>
      <w:r w:rsidRPr="003A72EE">
        <w:rPr>
          <w:rFonts w:asciiTheme="minorHAnsi" w:hAnsiTheme="minorHAnsi" w:cstheme="minorHAnsi"/>
          <w:noProof/>
          <w:lang w:val="es-ES"/>
        </w:rPr>
        <w:t xml:space="preserve">El </w:t>
      </w:r>
      <w:r w:rsidR="00627A04" w:rsidRPr="003A72EE">
        <w:rPr>
          <w:rFonts w:asciiTheme="minorHAnsi" w:hAnsiTheme="minorHAnsi" w:cstheme="minorHAnsi"/>
          <w:noProof/>
          <w:lang w:val="es-ES"/>
        </w:rPr>
        <w:t>Sub</w:t>
      </w:r>
      <w:r w:rsidRPr="003A72EE">
        <w:rPr>
          <w:rFonts w:asciiTheme="minorHAnsi" w:hAnsiTheme="minorHAnsi" w:cstheme="minorHAnsi"/>
          <w:noProof/>
          <w:lang w:val="es-ES"/>
        </w:rPr>
        <w:t xml:space="preserve">grupo agradeció a la Secretaría por la información y la transparencia sobre las cuestiones relacionadas con el excedente. Consideró que el </w:t>
      </w:r>
      <w:r w:rsidR="00342205" w:rsidRPr="003A72EE">
        <w:rPr>
          <w:rFonts w:asciiTheme="minorHAnsi" w:hAnsiTheme="minorHAnsi" w:cstheme="minorHAnsi"/>
          <w:noProof/>
          <w:lang w:val="es-ES"/>
        </w:rPr>
        <w:t>gran</w:t>
      </w:r>
      <w:r w:rsidRPr="003A72EE">
        <w:rPr>
          <w:rFonts w:asciiTheme="minorHAnsi" w:hAnsiTheme="minorHAnsi" w:cstheme="minorHAnsi"/>
          <w:noProof/>
          <w:lang w:val="es-ES"/>
        </w:rPr>
        <w:t xml:space="preserve"> </w:t>
      </w:r>
      <w:r w:rsidR="00342205" w:rsidRPr="003A72EE">
        <w:rPr>
          <w:rFonts w:asciiTheme="minorHAnsi" w:hAnsiTheme="minorHAnsi" w:cstheme="minorHAnsi"/>
          <w:noProof/>
          <w:lang w:val="es-ES"/>
        </w:rPr>
        <w:t>excedente</w:t>
      </w:r>
      <w:r w:rsidRPr="003A72EE">
        <w:rPr>
          <w:rFonts w:asciiTheme="minorHAnsi" w:hAnsiTheme="minorHAnsi" w:cstheme="minorHAnsi"/>
          <w:noProof/>
          <w:lang w:val="es-ES"/>
        </w:rPr>
        <w:t xml:space="preserve"> dificulta los casos </w:t>
      </w:r>
      <w:r w:rsidR="00342205" w:rsidRPr="003A72EE">
        <w:rPr>
          <w:rFonts w:asciiTheme="minorHAnsi" w:hAnsiTheme="minorHAnsi" w:cstheme="minorHAnsi"/>
          <w:noProof/>
          <w:lang w:val="es-ES"/>
        </w:rPr>
        <w:t>de</w:t>
      </w:r>
      <w:r w:rsidRPr="003A72EE">
        <w:rPr>
          <w:rFonts w:asciiTheme="minorHAnsi" w:hAnsiTheme="minorHAnsi" w:cstheme="minorHAnsi"/>
          <w:noProof/>
          <w:lang w:val="es-ES"/>
        </w:rPr>
        <w:t xml:space="preserve"> los escenarios B y C, y recomendó presentar el escenario A </w:t>
      </w:r>
      <w:r w:rsidR="00342205" w:rsidRPr="003A72EE">
        <w:rPr>
          <w:rFonts w:asciiTheme="minorHAnsi" w:hAnsiTheme="minorHAnsi" w:cstheme="minorHAnsi"/>
          <w:noProof/>
          <w:lang w:val="es-ES"/>
        </w:rPr>
        <w:t>con un incremento del</w:t>
      </w:r>
      <w:r w:rsidRPr="003A72EE">
        <w:rPr>
          <w:rFonts w:asciiTheme="minorHAnsi" w:hAnsiTheme="minorHAnsi" w:cstheme="minorHAnsi"/>
          <w:noProof/>
          <w:lang w:val="es-ES"/>
        </w:rPr>
        <w:t xml:space="preserve"> 0</w:t>
      </w:r>
      <w:r w:rsidR="00342205" w:rsidRPr="003A72EE">
        <w:rPr>
          <w:rFonts w:asciiTheme="minorHAnsi" w:hAnsiTheme="minorHAnsi" w:cstheme="minorHAnsi"/>
          <w:noProof/>
          <w:lang w:val="es-ES"/>
        </w:rPr>
        <w:t xml:space="preserve"> </w:t>
      </w:r>
      <w:r w:rsidRPr="003A72EE">
        <w:rPr>
          <w:rFonts w:asciiTheme="minorHAnsi" w:hAnsiTheme="minorHAnsi" w:cstheme="minorHAnsi"/>
          <w:noProof/>
          <w:lang w:val="es-ES"/>
        </w:rPr>
        <w:t xml:space="preserve">% del presupuesto básico para </w:t>
      </w:r>
      <w:r w:rsidR="00342205" w:rsidRPr="003A72EE">
        <w:rPr>
          <w:rFonts w:asciiTheme="minorHAnsi" w:hAnsiTheme="minorHAnsi" w:cstheme="minorHAnsi"/>
          <w:noProof/>
          <w:lang w:val="es-ES"/>
        </w:rPr>
        <w:t>su</w:t>
      </w:r>
      <w:r w:rsidRPr="003A72EE">
        <w:rPr>
          <w:rFonts w:asciiTheme="minorHAnsi" w:hAnsiTheme="minorHAnsi" w:cstheme="minorHAnsi"/>
          <w:noProof/>
          <w:lang w:val="es-ES"/>
        </w:rPr>
        <w:t xml:space="preserve"> aprobación </w:t>
      </w:r>
      <w:r w:rsidR="00342205" w:rsidRPr="003A72EE">
        <w:rPr>
          <w:rFonts w:asciiTheme="minorHAnsi" w:hAnsiTheme="minorHAnsi" w:cstheme="minorHAnsi"/>
          <w:noProof/>
          <w:lang w:val="es-ES"/>
        </w:rPr>
        <w:t>por</w:t>
      </w:r>
      <w:r w:rsidRPr="003A72EE">
        <w:rPr>
          <w:rFonts w:asciiTheme="minorHAnsi" w:hAnsiTheme="minorHAnsi" w:cstheme="minorHAnsi"/>
          <w:noProof/>
          <w:lang w:val="es-ES"/>
        </w:rPr>
        <w:t xml:space="preserve"> la COP14. El Subgrupo acordó seguir financiando la incorporación de un </w:t>
      </w:r>
      <w:r w:rsidR="00BF444B" w:rsidRPr="003A72EE">
        <w:rPr>
          <w:rFonts w:asciiTheme="minorHAnsi" w:hAnsiTheme="minorHAnsi" w:cstheme="minorHAnsi"/>
          <w:noProof/>
          <w:lang w:val="es-ES"/>
        </w:rPr>
        <w:t>auxiliar</w:t>
      </w:r>
      <w:r w:rsidRPr="003A72EE">
        <w:rPr>
          <w:rFonts w:asciiTheme="minorHAnsi" w:hAnsiTheme="minorHAnsi" w:cstheme="minorHAnsi"/>
          <w:noProof/>
          <w:lang w:val="es-ES"/>
        </w:rPr>
        <w:t xml:space="preserve"> </w:t>
      </w:r>
      <w:r w:rsidR="00BF444B" w:rsidRPr="003A72EE">
        <w:rPr>
          <w:rFonts w:asciiTheme="minorHAnsi" w:hAnsiTheme="minorHAnsi" w:cstheme="minorHAnsi"/>
          <w:noProof/>
          <w:lang w:val="es-ES"/>
        </w:rPr>
        <w:t>contable y financiero</w:t>
      </w:r>
      <w:r w:rsidRPr="003A72EE">
        <w:rPr>
          <w:rFonts w:asciiTheme="minorHAnsi" w:hAnsiTheme="minorHAnsi" w:cstheme="minorHAnsi"/>
          <w:noProof/>
          <w:lang w:val="es-ES"/>
        </w:rPr>
        <w:t xml:space="preserve"> y el aumento </w:t>
      </w:r>
      <w:r w:rsidR="00342205" w:rsidRPr="003A72EE">
        <w:rPr>
          <w:rFonts w:asciiTheme="minorHAnsi" w:hAnsiTheme="minorHAnsi" w:cstheme="minorHAnsi"/>
          <w:noProof/>
          <w:lang w:val="es-ES"/>
        </w:rPr>
        <w:t>previsto</w:t>
      </w:r>
      <w:r w:rsidRPr="003A72EE">
        <w:rPr>
          <w:rFonts w:asciiTheme="minorHAnsi" w:hAnsiTheme="minorHAnsi" w:cstheme="minorHAnsi"/>
          <w:noProof/>
          <w:lang w:val="es-ES"/>
        </w:rPr>
        <w:t xml:space="preserve"> de las provisiones pendientes con el </w:t>
      </w:r>
      <w:r w:rsidR="00342205" w:rsidRPr="003A72EE">
        <w:rPr>
          <w:rFonts w:asciiTheme="minorHAnsi" w:hAnsiTheme="minorHAnsi" w:cstheme="minorHAnsi"/>
          <w:noProof/>
          <w:lang w:val="es-ES"/>
        </w:rPr>
        <w:t>excedente</w:t>
      </w:r>
      <w:r w:rsidRPr="003A72EE">
        <w:rPr>
          <w:rFonts w:asciiTheme="minorHAnsi" w:hAnsiTheme="minorHAnsi" w:cstheme="minorHAnsi"/>
          <w:noProof/>
          <w:lang w:val="es-ES"/>
        </w:rPr>
        <w:t xml:space="preserve"> de</w:t>
      </w:r>
      <w:r w:rsidR="008A1D4F" w:rsidRPr="003A72EE">
        <w:rPr>
          <w:rFonts w:asciiTheme="minorHAnsi" w:hAnsiTheme="minorHAnsi" w:cstheme="minorHAnsi"/>
          <w:noProof/>
          <w:lang w:val="es-ES"/>
        </w:rPr>
        <w:t xml:space="preserve"> </w:t>
      </w:r>
      <w:r w:rsidRPr="003A72EE">
        <w:rPr>
          <w:rFonts w:asciiTheme="minorHAnsi" w:hAnsiTheme="minorHAnsi" w:cstheme="minorHAnsi"/>
          <w:noProof/>
          <w:lang w:val="es-ES"/>
        </w:rPr>
        <w:t>2019</w:t>
      </w:r>
      <w:r w:rsidR="008A1D4F" w:rsidRPr="003A72EE">
        <w:rPr>
          <w:rFonts w:asciiTheme="minorHAnsi" w:hAnsiTheme="minorHAnsi" w:cstheme="minorHAnsi"/>
          <w:noProof/>
          <w:lang w:val="es-ES"/>
        </w:rPr>
        <w:t>-</w:t>
      </w:r>
      <w:r w:rsidRPr="003A72EE">
        <w:rPr>
          <w:rFonts w:asciiTheme="minorHAnsi" w:hAnsiTheme="minorHAnsi" w:cstheme="minorHAnsi"/>
          <w:noProof/>
          <w:lang w:val="es-ES"/>
        </w:rPr>
        <w:t>2021.</w:t>
      </w:r>
    </w:p>
    <w:p w14:paraId="775F3CFF" w14:textId="77777777" w:rsidR="00A5061F" w:rsidRPr="003A72EE" w:rsidRDefault="00A5061F" w:rsidP="00711D36">
      <w:pPr>
        <w:widowControl/>
        <w:rPr>
          <w:rFonts w:asciiTheme="minorHAnsi" w:hAnsiTheme="minorHAnsi" w:cstheme="minorHAnsi"/>
          <w:noProof/>
          <w:lang w:val="es-ES"/>
        </w:rPr>
      </w:pPr>
    </w:p>
    <w:p w14:paraId="71DF75E5" w14:textId="267475E8" w:rsidR="00DD5F2D" w:rsidRPr="003A72EE" w:rsidRDefault="00342205" w:rsidP="00711D36">
      <w:pPr>
        <w:widowControl/>
        <w:rPr>
          <w:rFonts w:asciiTheme="minorHAnsi" w:hAnsiTheme="minorHAnsi" w:cstheme="minorHAnsi"/>
          <w:noProof/>
          <w:lang w:val="es-ES"/>
        </w:rPr>
      </w:pPr>
      <w:r w:rsidRPr="003A72EE">
        <w:rPr>
          <w:rFonts w:asciiTheme="minorHAnsi" w:hAnsiTheme="minorHAnsi" w:cstheme="minorHAnsi"/>
          <w:noProof/>
          <w:lang w:val="es-ES"/>
        </w:rPr>
        <w:t xml:space="preserve">El Subgrupo destacó que, </w:t>
      </w:r>
      <w:r w:rsidR="00627A04" w:rsidRPr="003A72EE">
        <w:rPr>
          <w:rFonts w:asciiTheme="minorHAnsi" w:hAnsiTheme="minorHAnsi" w:cstheme="minorHAnsi"/>
          <w:noProof/>
          <w:lang w:val="es-ES"/>
        </w:rPr>
        <w:t>teniendo en cuenta</w:t>
      </w:r>
      <w:r w:rsidRPr="003A72EE">
        <w:rPr>
          <w:rFonts w:asciiTheme="minorHAnsi" w:hAnsiTheme="minorHAnsi" w:cstheme="minorHAnsi"/>
          <w:noProof/>
          <w:lang w:val="es-ES"/>
        </w:rPr>
        <w:t xml:space="preserve"> las reformas recientes, era importante seguir manteniendo la disciplina presupuestaria </w:t>
      </w:r>
      <w:r w:rsidR="00627A04" w:rsidRPr="003A72EE">
        <w:rPr>
          <w:rFonts w:asciiTheme="minorHAnsi" w:hAnsiTheme="minorHAnsi" w:cstheme="minorHAnsi"/>
          <w:noProof/>
          <w:lang w:val="es-ES"/>
        </w:rPr>
        <w:t>respecto a</w:t>
      </w:r>
      <w:r w:rsidRPr="003A72EE">
        <w:rPr>
          <w:rFonts w:asciiTheme="minorHAnsi" w:hAnsiTheme="minorHAnsi" w:cstheme="minorHAnsi"/>
          <w:noProof/>
          <w:lang w:val="es-ES"/>
        </w:rPr>
        <w:t xml:space="preserve"> lo </w:t>
      </w:r>
      <w:r w:rsidR="00627A04" w:rsidRPr="003A72EE">
        <w:rPr>
          <w:rFonts w:asciiTheme="minorHAnsi" w:hAnsiTheme="minorHAnsi" w:cstheme="minorHAnsi"/>
          <w:noProof/>
          <w:lang w:val="es-ES"/>
        </w:rPr>
        <w:t>sufragado</w:t>
      </w:r>
      <w:r w:rsidRPr="003A72EE">
        <w:rPr>
          <w:rFonts w:asciiTheme="minorHAnsi" w:hAnsiTheme="minorHAnsi" w:cstheme="minorHAnsi"/>
          <w:noProof/>
          <w:lang w:val="es-ES"/>
        </w:rPr>
        <w:t xml:space="preserve"> por los fondos básicos y lo </w:t>
      </w:r>
      <w:r w:rsidR="00627A04" w:rsidRPr="003A72EE">
        <w:rPr>
          <w:rFonts w:asciiTheme="minorHAnsi" w:hAnsiTheme="minorHAnsi" w:cstheme="minorHAnsi"/>
          <w:noProof/>
          <w:lang w:val="es-ES"/>
        </w:rPr>
        <w:t>sufragado</w:t>
      </w:r>
      <w:r w:rsidRPr="003A72EE">
        <w:rPr>
          <w:rFonts w:asciiTheme="minorHAnsi" w:hAnsiTheme="minorHAnsi" w:cstheme="minorHAnsi"/>
          <w:noProof/>
          <w:lang w:val="es-ES"/>
        </w:rPr>
        <w:t xml:space="preserve"> por los fondos no básicos de la Convención. Asimismo, se recomendó incluir en el informe una frase para </w:t>
      </w:r>
      <w:r w:rsidR="00627A04" w:rsidRPr="003A72EE">
        <w:rPr>
          <w:rFonts w:asciiTheme="minorHAnsi" w:hAnsiTheme="minorHAnsi" w:cstheme="minorHAnsi"/>
          <w:noProof/>
          <w:lang w:val="es-ES"/>
        </w:rPr>
        <w:t>subrayar</w:t>
      </w:r>
      <w:r w:rsidRPr="003A72EE">
        <w:rPr>
          <w:rFonts w:asciiTheme="minorHAnsi" w:hAnsiTheme="minorHAnsi" w:cstheme="minorHAnsi"/>
          <w:noProof/>
          <w:lang w:val="es-ES"/>
        </w:rPr>
        <w:t xml:space="preserve"> las circunstancias excepcionales por las que se </w:t>
      </w:r>
      <w:r w:rsidR="00627A04" w:rsidRPr="003A72EE">
        <w:rPr>
          <w:rFonts w:asciiTheme="minorHAnsi" w:hAnsiTheme="minorHAnsi" w:cstheme="minorHAnsi"/>
          <w:noProof/>
          <w:lang w:val="es-ES"/>
        </w:rPr>
        <w:t xml:space="preserve">decidió que el </w:t>
      </w:r>
      <w:r w:rsidRPr="003A72EE">
        <w:rPr>
          <w:rFonts w:asciiTheme="minorHAnsi" w:hAnsiTheme="minorHAnsi" w:cstheme="minorHAnsi"/>
          <w:noProof/>
          <w:lang w:val="es-ES"/>
        </w:rPr>
        <w:t xml:space="preserve">presupuesto </w:t>
      </w:r>
      <w:r w:rsidR="00627A04" w:rsidRPr="003A72EE">
        <w:rPr>
          <w:rFonts w:asciiTheme="minorHAnsi" w:hAnsiTheme="minorHAnsi" w:cstheme="minorHAnsi"/>
          <w:noProof/>
          <w:lang w:val="es-ES"/>
        </w:rPr>
        <w:t>reflejara</w:t>
      </w:r>
      <w:r w:rsidRPr="003A72EE">
        <w:rPr>
          <w:rFonts w:asciiTheme="minorHAnsi" w:hAnsiTheme="minorHAnsi" w:cstheme="minorHAnsi"/>
          <w:noProof/>
          <w:lang w:val="es-ES"/>
        </w:rPr>
        <w:t xml:space="preserve"> un incremento del 0</w:t>
      </w:r>
      <w:r w:rsidR="00627A04" w:rsidRPr="003A72EE">
        <w:rPr>
          <w:rFonts w:asciiTheme="minorHAnsi" w:hAnsiTheme="minorHAnsi" w:cstheme="minorHAnsi"/>
          <w:noProof/>
          <w:lang w:val="es-ES"/>
        </w:rPr>
        <w:t xml:space="preserve"> </w:t>
      </w:r>
      <w:r w:rsidRPr="003A72EE">
        <w:rPr>
          <w:rFonts w:asciiTheme="minorHAnsi" w:hAnsiTheme="minorHAnsi" w:cstheme="minorHAnsi"/>
          <w:noProof/>
          <w:lang w:val="es-ES"/>
        </w:rPr>
        <w:t>%.</w:t>
      </w:r>
    </w:p>
    <w:p w14:paraId="579EF02E" w14:textId="20A0052A" w:rsidR="007E32B3" w:rsidRPr="003A72EE" w:rsidRDefault="007E32B3" w:rsidP="00711D36">
      <w:pPr>
        <w:widowControl/>
        <w:rPr>
          <w:rFonts w:asciiTheme="minorHAnsi" w:hAnsiTheme="minorHAnsi" w:cstheme="minorHAnsi"/>
          <w:noProof/>
          <w:lang w:val="es-ES"/>
        </w:rPr>
      </w:pPr>
    </w:p>
    <w:p w14:paraId="35F2EF81" w14:textId="72645737" w:rsidR="007E32B3" w:rsidRPr="003A72EE" w:rsidRDefault="00440B49" w:rsidP="00711D36">
      <w:pPr>
        <w:widowControl/>
        <w:rPr>
          <w:rFonts w:asciiTheme="minorHAnsi" w:hAnsiTheme="minorHAnsi" w:cstheme="minorHAnsi"/>
          <w:noProof/>
          <w:u w:val="single"/>
          <w:lang w:val="es-ES"/>
        </w:rPr>
      </w:pPr>
      <w:r w:rsidRPr="003A72EE">
        <w:rPr>
          <w:rFonts w:asciiTheme="minorHAnsi" w:hAnsiTheme="minorHAnsi" w:cstheme="minorHAnsi"/>
          <w:noProof/>
          <w:u w:val="single"/>
          <w:lang w:val="es-ES"/>
        </w:rPr>
        <w:t>Proyecto de resolución sobre cuestiones financieras y presupuestarias</w:t>
      </w:r>
    </w:p>
    <w:p w14:paraId="6183011B" w14:textId="77777777" w:rsidR="00356EEC" w:rsidRPr="003A72EE" w:rsidRDefault="00356EEC" w:rsidP="00711D36">
      <w:pPr>
        <w:widowControl/>
        <w:rPr>
          <w:rFonts w:asciiTheme="minorHAnsi" w:hAnsiTheme="minorHAnsi" w:cstheme="minorHAnsi"/>
          <w:noProof/>
          <w:lang w:val="es-ES"/>
        </w:rPr>
      </w:pPr>
    </w:p>
    <w:p w14:paraId="07DCC906" w14:textId="21134711" w:rsidR="00440B49" w:rsidRPr="003A72EE" w:rsidRDefault="00440B49" w:rsidP="00AF4B37">
      <w:pPr>
        <w:widowControl/>
        <w:rPr>
          <w:rFonts w:asciiTheme="minorHAnsi" w:hAnsiTheme="minorHAnsi" w:cstheme="minorHAnsi"/>
          <w:noProof/>
          <w:lang w:val="es-ES"/>
        </w:rPr>
      </w:pPr>
      <w:r w:rsidRPr="003A72EE">
        <w:rPr>
          <w:rFonts w:asciiTheme="minorHAnsi" w:hAnsiTheme="minorHAnsi" w:cstheme="minorHAnsi"/>
          <w:noProof/>
          <w:lang w:val="es-ES"/>
        </w:rPr>
        <w:t>La Secretaría destacó que el proyecto de resolución se elaboró sobre la misma base que la Resolución XIII.2 e incluye las modificaciones realizadas por el Subgrupo en junio de 2021, como se informó en la primera parte del informe de junio de 2021.</w:t>
      </w:r>
    </w:p>
    <w:p w14:paraId="07B5B88F" w14:textId="2DF26C5A" w:rsidR="00AF4B37" w:rsidRPr="003A72EE" w:rsidRDefault="00AF4B37" w:rsidP="00D86184">
      <w:pPr>
        <w:widowControl/>
        <w:rPr>
          <w:rFonts w:asciiTheme="minorHAnsi" w:hAnsiTheme="minorHAnsi" w:cstheme="minorHAnsi"/>
          <w:noProof/>
          <w:lang w:val="es-ES"/>
        </w:rPr>
      </w:pPr>
    </w:p>
    <w:p w14:paraId="48337E61" w14:textId="2B2F2502" w:rsidR="0031091C" w:rsidRPr="003A72EE" w:rsidRDefault="0031091C" w:rsidP="00D86184">
      <w:pPr>
        <w:widowControl/>
        <w:rPr>
          <w:rFonts w:asciiTheme="minorHAnsi" w:hAnsiTheme="minorHAnsi" w:cstheme="minorHAnsi"/>
          <w:noProof/>
          <w:lang w:val="es-ES"/>
        </w:rPr>
      </w:pPr>
      <w:r w:rsidRPr="003A72EE">
        <w:rPr>
          <w:rFonts w:asciiTheme="minorHAnsi" w:hAnsiTheme="minorHAnsi" w:cstheme="minorHAnsi"/>
          <w:noProof/>
          <w:lang w:val="es-ES"/>
        </w:rPr>
        <w:t xml:space="preserve">El Subgrupo aprobó el proyecto de resolución sobre cuestiones financieras y presupuestarias </w:t>
      </w:r>
      <w:r w:rsidR="00196761" w:rsidRPr="003A72EE">
        <w:rPr>
          <w:rFonts w:asciiTheme="minorHAnsi" w:hAnsiTheme="minorHAnsi" w:cstheme="minorHAnsi"/>
          <w:noProof/>
          <w:lang w:val="es-ES"/>
        </w:rPr>
        <w:t>sin proponer</w:t>
      </w:r>
      <w:r w:rsidRPr="003A72EE">
        <w:rPr>
          <w:rFonts w:asciiTheme="minorHAnsi" w:hAnsiTheme="minorHAnsi" w:cstheme="minorHAnsi"/>
          <w:noProof/>
          <w:lang w:val="es-ES"/>
        </w:rPr>
        <w:t xml:space="preserve"> ninguna modificación (véase el Anexo 2 de este informe).</w:t>
      </w:r>
    </w:p>
    <w:p w14:paraId="0F3C3555" w14:textId="77777777" w:rsidR="0031091C" w:rsidRPr="003A72EE" w:rsidRDefault="0031091C" w:rsidP="00D86184">
      <w:pPr>
        <w:widowControl/>
        <w:rPr>
          <w:rFonts w:asciiTheme="minorHAnsi" w:hAnsiTheme="minorHAnsi" w:cstheme="minorHAnsi"/>
          <w:noProof/>
          <w:lang w:val="es-ES"/>
        </w:rPr>
      </w:pPr>
    </w:p>
    <w:p w14:paraId="64277059" w14:textId="2486C2D1" w:rsidR="00DD5F2D" w:rsidRPr="003A72EE" w:rsidRDefault="0031091C" w:rsidP="00D86184">
      <w:pPr>
        <w:widowControl/>
        <w:rPr>
          <w:rFonts w:asciiTheme="minorHAnsi" w:hAnsiTheme="minorHAnsi" w:cstheme="minorHAnsi"/>
          <w:noProof/>
          <w:lang w:val="es-ES"/>
        </w:rPr>
      </w:pPr>
      <w:r w:rsidRPr="003A72EE">
        <w:rPr>
          <w:rFonts w:asciiTheme="minorHAnsi" w:hAnsiTheme="minorHAnsi" w:cstheme="minorHAnsi"/>
          <w:noProof/>
          <w:lang w:val="es-ES"/>
        </w:rPr>
        <w:t xml:space="preserve">El Subgrupo solicitó que la lista de partidas no básicas presupuestadas para el período comprendido entre 2019 y 2021, en orden de prioridad recomendada, incluida como Anexo 3 de la Resolución XIII.2, se comunicara por correo electrónico </w:t>
      </w:r>
      <w:r w:rsidR="00774F14" w:rsidRPr="003A72EE">
        <w:rPr>
          <w:rFonts w:asciiTheme="minorHAnsi" w:hAnsiTheme="minorHAnsi" w:cstheme="minorHAnsi"/>
          <w:noProof/>
          <w:lang w:val="es-ES"/>
        </w:rPr>
        <w:t>al</w:t>
      </w:r>
      <w:r w:rsidRPr="003A72EE">
        <w:rPr>
          <w:rFonts w:asciiTheme="minorHAnsi" w:hAnsiTheme="minorHAnsi" w:cstheme="minorHAnsi"/>
          <w:noProof/>
          <w:lang w:val="es-ES"/>
        </w:rPr>
        <w:t xml:space="preserve"> Subgrupo, para </w:t>
      </w:r>
      <w:r w:rsidR="00774F14" w:rsidRPr="003A72EE">
        <w:rPr>
          <w:rFonts w:asciiTheme="minorHAnsi" w:hAnsiTheme="minorHAnsi" w:cstheme="minorHAnsi"/>
          <w:noProof/>
          <w:lang w:val="es-ES"/>
        </w:rPr>
        <w:t>posibilitar el intercambio de</w:t>
      </w:r>
      <w:r w:rsidRPr="003A72EE">
        <w:rPr>
          <w:rFonts w:asciiTheme="minorHAnsi" w:hAnsiTheme="minorHAnsi" w:cstheme="minorHAnsi"/>
          <w:noProof/>
          <w:lang w:val="es-ES"/>
        </w:rPr>
        <w:t xml:space="preserve"> opiniones </w:t>
      </w:r>
      <w:r w:rsidR="00774F14" w:rsidRPr="003A72EE">
        <w:rPr>
          <w:rFonts w:asciiTheme="minorHAnsi" w:hAnsiTheme="minorHAnsi" w:cstheme="minorHAnsi"/>
          <w:noProof/>
          <w:lang w:val="es-ES"/>
        </w:rPr>
        <w:t>y el inicio de</w:t>
      </w:r>
      <w:r w:rsidRPr="003A72EE">
        <w:rPr>
          <w:rFonts w:asciiTheme="minorHAnsi" w:hAnsiTheme="minorHAnsi" w:cstheme="minorHAnsi"/>
          <w:noProof/>
          <w:lang w:val="es-ES"/>
        </w:rPr>
        <w:t xml:space="preserve"> </w:t>
      </w:r>
      <w:r w:rsidR="00774F14" w:rsidRPr="003A72EE">
        <w:rPr>
          <w:rFonts w:asciiTheme="minorHAnsi" w:hAnsiTheme="minorHAnsi" w:cstheme="minorHAnsi"/>
          <w:noProof/>
          <w:lang w:val="es-ES"/>
        </w:rPr>
        <w:t>la elaboración</w:t>
      </w:r>
      <w:r w:rsidRPr="003A72EE">
        <w:rPr>
          <w:rFonts w:asciiTheme="minorHAnsi" w:hAnsiTheme="minorHAnsi" w:cstheme="minorHAnsi"/>
          <w:noProof/>
          <w:lang w:val="es-ES"/>
        </w:rPr>
        <w:t xml:space="preserve"> de la nueva lista de prioridades </w:t>
      </w:r>
      <w:r w:rsidR="00774F14" w:rsidRPr="003A72EE">
        <w:rPr>
          <w:rFonts w:asciiTheme="minorHAnsi" w:hAnsiTheme="minorHAnsi" w:cstheme="minorHAnsi"/>
          <w:noProof/>
          <w:lang w:val="es-ES"/>
        </w:rPr>
        <w:t>del</w:t>
      </w:r>
      <w:r w:rsidRPr="003A72EE">
        <w:rPr>
          <w:rFonts w:asciiTheme="minorHAnsi" w:hAnsiTheme="minorHAnsi" w:cstheme="minorHAnsi"/>
          <w:noProof/>
          <w:lang w:val="es-ES"/>
        </w:rPr>
        <w:t xml:space="preserve"> Comité Permanente que se incluir</w:t>
      </w:r>
      <w:r w:rsidR="00196761" w:rsidRPr="003A72EE">
        <w:rPr>
          <w:rFonts w:asciiTheme="minorHAnsi" w:hAnsiTheme="minorHAnsi" w:cstheme="minorHAnsi"/>
          <w:noProof/>
          <w:lang w:val="es-ES"/>
        </w:rPr>
        <w:t>ía</w:t>
      </w:r>
      <w:r w:rsidRPr="003A72EE">
        <w:rPr>
          <w:rFonts w:asciiTheme="minorHAnsi" w:hAnsiTheme="minorHAnsi" w:cstheme="minorHAnsi"/>
          <w:noProof/>
          <w:lang w:val="es-ES"/>
        </w:rPr>
        <w:t xml:space="preserve"> en el proyecto de resolución para su </w:t>
      </w:r>
      <w:r w:rsidR="00774F14" w:rsidRPr="003A72EE">
        <w:rPr>
          <w:rFonts w:asciiTheme="minorHAnsi" w:hAnsiTheme="minorHAnsi" w:cstheme="minorHAnsi"/>
          <w:noProof/>
          <w:lang w:val="es-ES"/>
        </w:rPr>
        <w:t>examen</w:t>
      </w:r>
      <w:r w:rsidRPr="003A72EE">
        <w:rPr>
          <w:rFonts w:asciiTheme="minorHAnsi" w:hAnsiTheme="minorHAnsi" w:cstheme="minorHAnsi"/>
          <w:noProof/>
          <w:lang w:val="es-ES"/>
        </w:rPr>
        <w:t xml:space="preserve"> en la COP.</w:t>
      </w:r>
    </w:p>
    <w:p w14:paraId="24ADF08E" w14:textId="77777777" w:rsidR="00DD5F2D" w:rsidRPr="003A72EE" w:rsidRDefault="00DD5F2D" w:rsidP="00AF4B37">
      <w:pPr>
        <w:widowControl/>
        <w:rPr>
          <w:rFonts w:asciiTheme="minorHAnsi" w:hAnsiTheme="minorHAnsi" w:cstheme="minorHAnsi"/>
          <w:noProof/>
          <w:lang w:val="es-ES"/>
        </w:rPr>
      </w:pPr>
    </w:p>
    <w:p w14:paraId="6FA71E1F" w14:textId="77777777" w:rsidR="00774F14" w:rsidRPr="003A72EE" w:rsidRDefault="00774F14" w:rsidP="00774F14">
      <w:pPr>
        <w:widowControl/>
        <w:rPr>
          <w:rFonts w:asciiTheme="minorHAnsi" w:hAnsiTheme="minorHAnsi" w:cstheme="minorHAnsi"/>
          <w:i/>
          <w:noProof/>
          <w:color w:val="0000FF"/>
          <w:lang w:val="es-ES"/>
        </w:rPr>
      </w:pPr>
      <w:r w:rsidRPr="003A72EE">
        <w:rPr>
          <w:rFonts w:asciiTheme="minorHAnsi" w:hAnsiTheme="minorHAnsi" w:cstheme="minorHAnsi"/>
          <w:i/>
          <w:noProof/>
          <w:color w:val="0000FF"/>
          <w:lang w:val="es-ES"/>
        </w:rPr>
        <w:t xml:space="preserve">Recomendaciones para las decisiones del Comité Permanente: </w:t>
      </w:r>
    </w:p>
    <w:p w14:paraId="6966D1EB" w14:textId="77777777" w:rsidR="00312AAB" w:rsidRPr="003A72EE" w:rsidRDefault="00312AAB" w:rsidP="00711D36">
      <w:pPr>
        <w:widowControl/>
        <w:ind w:left="426" w:hanging="426"/>
        <w:rPr>
          <w:rFonts w:asciiTheme="minorHAnsi" w:hAnsiTheme="minorHAnsi" w:cstheme="minorHAnsi"/>
          <w:noProof/>
          <w:lang w:val="es-ES"/>
        </w:rPr>
      </w:pPr>
    </w:p>
    <w:p w14:paraId="4D6EBE35" w14:textId="77777777" w:rsidR="00774F14" w:rsidRPr="003A72EE" w:rsidRDefault="00774F14" w:rsidP="00774F14">
      <w:pPr>
        <w:widowControl/>
        <w:rPr>
          <w:rFonts w:asciiTheme="minorHAnsi" w:hAnsiTheme="minorHAnsi" w:cstheme="minorHAnsi"/>
          <w:b/>
          <w:i/>
          <w:noProof/>
          <w:lang w:val="es-ES"/>
        </w:rPr>
      </w:pPr>
      <w:r w:rsidRPr="003A72EE">
        <w:rPr>
          <w:rFonts w:asciiTheme="minorHAnsi" w:hAnsiTheme="minorHAnsi" w:cstheme="minorHAnsi"/>
          <w:b/>
          <w:i/>
          <w:noProof/>
          <w:lang w:val="es-ES"/>
        </w:rPr>
        <w:t xml:space="preserve">El Subgrupo de Finanzas recomienda al Comité Permanente que haga lo siguiente: </w:t>
      </w:r>
    </w:p>
    <w:p w14:paraId="5652CA67" w14:textId="61BD4A89" w:rsidR="00774F14" w:rsidRPr="003A72EE" w:rsidRDefault="005B5816" w:rsidP="00711D36">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t xml:space="preserve">i. </w:t>
      </w:r>
      <w:r w:rsidRPr="003A72EE">
        <w:rPr>
          <w:rFonts w:asciiTheme="minorHAnsi" w:hAnsiTheme="minorHAnsi" w:cstheme="minorHAnsi"/>
          <w:b/>
          <w:i/>
          <w:noProof/>
          <w:lang w:val="es-ES"/>
        </w:rPr>
        <w:tab/>
      </w:r>
      <w:r w:rsidR="00774F14" w:rsidRPr="003A72EE">
        <w:rPr>
          <w:rFonts w:asciiTheme="minorHAnsi" w:hAnsiTheme="minorHAnsi" w:cstheme="minorHAnsi"/>
          <w:b/>
          <w:i/>
          <w:noProof/>
          <w:lang w:val="es-ES"/>
        </w:rPr>
        <w:t>tom</w:t>
      </w:r>
      <w:r w:rsidR="00EA5A38" w:rsidRPr="003A72EE">
        <w:rPr>
          <w:rFonts w:asciiTheme="minorHAnsi" w:hAnsiTheme="minorHAnsi" w:cstheme="minorHAnsi"/>
          <w:b/>
          <w:i/>
          <w:noProof/>
          <w:lang w:val="es-ES"/>
        </w:rPr>
        <w:t>ar</w:t>
      </w:r>
      <w:r w:rsidR="00774F14" w:rsidRPr="003A72EE">
        <w:rPr>
          <w:rFonts w:asciiTheme="minorHAnsi" w:hAnsiTheme="minorHAnsi" w:cstheme="minorHAnsi"/>
          <w:b/>
          <w:i/>
          <w:noProof/>
          <w:lang w:val="es-ES"/>
        </w:rPr>
        <w:t xml:space="preserve"> nota del contenido del documento SC59/2022 Doc.8.3;</w:t>
      </w:r>
    </w:p>
    <w:p w14:paraId="784670AD" w14:textId="1021879B" w:rsidR="00774F14" w:rsidRPr="003A72EE" w:rsidRDefault="005B5816" w:rsidP="00711D36">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lastRenderedPageBreak/>
        <w:t xml:space="preserve">ii. </w:t>
      </w:r>
      <w:r w:rsidRPr="003A72EE">
        <w:rPr>
          <w:rFonts w:asciiTheme="minorHAnsi" w:hAnsiTheme="minorHAnsi" w:cstheme="minorHAnsi"/>
          <w:b/>
          <w:i/>
          <w:noProof/>
          <w:lang w:val="es-ES"/>
        </w:rPr>
        <w:tab/>
      </w:r>
      <w:r w:rsidR="00774F14" w:rsidRPr="003A72EE">
        <w:rPr>
          <w:rFonts w:asciiTheme="minorHAnsi" w:hAnsiTheme="minorHAnsi" w:cstheme="minorHAnsi"/>
          <w:b/>
          <w:i/>
          <w:noProof/>
          <w:lang w:val="es-ES"/>
        </w:rPr>
        <w:t>encarg</w:t>
      </w:r>
      <w:r w:rsidR="00EA5A38" w:rsidRPr="003A72EE">
        <w:rPr>
          <w:rFonts w:asciiTheme="minorHAnsi" w:hAnsiTheme="minorHAnsi" w:cstheme="minorHAnsi"/>
          <w:b/>
          <w:i/>
          <w:noProof/>
          <w:lang w:val="es-ES"/>
        </w:rPr>
        <w:t>ar</w:t>
      </w:r>
      <w:r w:rsidR="00774F14" w:rsidRPr="003A72EE">
        <w:rPr>
          <w:rFonts w:asciiTheme="minorHAnsi" w:hAnsiTheme="minorHAnsi" w:cstheme="minorHAnsi"/>
          <w:b/>
          <w:i/>
          <w:noProof/>
          <w:lang w:val="es-ES"/>
        </w:rPr>
        <w:t xml:space="preserve"> a la Secretaría que</w:t>
      </w:r>
      <w:r w:rsidR="009E7E61" w:rsidRPr="003A72EE">
        <w:rPr>
          <w:rFonts w:asciiTheme="minorHAnsi" w:hAnsiTheme="minorHAnsi" w:cstheme="minorHAnsi"/>
          <w:b/>
          <w:i/>
          <w:noProof/>
          <w:lang w:val="es-ES"/>
        </w:rPr>
        <w:t>,</w:t>
      </w:r>
      <w:r w:rsidR="009E7E61" w:rsidRPr="003A72EE">
        <w:rPr>
          <w:noProof/>
          <w:lang w:val="es-ES"/>
        </w:rPr>
        <w:t xml:space="preserve"> </w:t>
      </w:r>
      <w:r w:rsidR="009E7E61" w:rsidRPr="003A72EE">
        <w:rPr>
          <w:rFonts w:asciiTheme="minorHAnsi" w:hAnsiTheme="minorHAnsi" w:cstheme="minorHAnsi"/>
          <w:b/>
          <w:i/>
          <w:noProof/>
          <w:lang w:val="es-ES"/>
        </w:rPr>
        <w:t>debido a las circunstancias excepcionales, presente a la 14ª reunión de la Conferencia de las Partes Contratantes solo un escenario presupuestario A que refleje un aumento del 0 % en comparación con los trienios 2016-2018 y 2019-2021 y 2022, tal como se describe en el documento SC59/2022 Doc.8.3; y</w:t>
      </w:r>
    </w:p>
    <w:p w14:paraId="633C1187" w14:textId="20CEC2F8" w:rsidR="009E7E61" w:rsidRPr="003A72EE" w:rsidRDefault="005B5816" w:rsidP="00711D36">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t xml:space="preserve">iii. </w:t>
      </w:r>
      <w:r w:rsidRPr="003A72EE">
        <w:rPr>
          <w:rFonts w:asciiTheme="minorHAnsi" w:hAnsiTheme="minorHAnsi" w:cstheme="minorHAnsi"/>
          <w:b/>
          <w:i/>
          <w:noProof/>
          <w:lang w:val="es-ES"/>
        </w:rPr>
        <w:tab/>
      </w:r>
      <w:r w:rsidR="00EA5A38" w:rsidRPr="003A72EE">
        <w:rPr>
          <w:rFonts w:asciiTheme="minorHAnsi" w:hAnsiTheme="minorHAnsi" w:cstheme="minorHAnsi"/>
          <w:b/>
          <w:i/>
          <w:noProof/>
          <w:lang w:val="es-ES"/>
        </w:rPr>
        <w:t>aprobar</w:t>
      </w:r>
      <w:r w:rsidR="009E7E61" w:rsidRPr="003A72EE">
        <w:rPr>
          <w:rFonts w:asciiTheme="minorHAnsi" w:hAnsiTheme="minorHAnsi" w:cstheme="minorHAnsi"/>
          <w:b/>
          <w:i/>
          <w:noProof/>
          <w:lang w:val="es-ES"/>
        </w:rPr>
        <w:t xml:space="preserve"> el proyecto de resolución sobre cuestiones financieras y presupuestarias que se examinará en la COP14, como se presenta en el Anexo 2 de este informe.</w:t>
      </w:r>
    </w:p>
    <w:p w14:paraId="22C692C0" w14:textId="086570F6" w:rsidR="005B5816" w:rsidRPr="003A72EE" w:rsidRDefault="005B5816" w:rsidP="009E7E61">
      <w:pPr>
        <w:widowControl/>
        <w:rPr>
          <w:rFonts w:asciiTheme="minorHAnsi" w:hAnsiTheme="minorHAnsi" w:cstheme="minorHAnsi"/>
          <w:noProof/>
          <w:lang w:val="es-ES"/>
        </w:rPr>
      </w:pPr>
    </w:p>
    <w:p w14:paraId="729B18E8" w14:textId="77777777" w:rsidR="00CA2A73" w:rsidRPr="003A72EE" w:rsidRDefault="00CA2A73" w:rsidP="00711D36">
      <w:pPr>
        <w:widowControl/>
        <w:rPr>
          <w:rFonts w:asciiTheme="minorHAnsi" w:hAnsiTheme="minorHAnsi" w:cstheme="minorHAnsi"/>
          <w:noProof/>
          <w:lang w:val="es-ES"/>
        </w:rPr>
      </w:pPr>
    </w:p>
    <w:p w14:paraId="1BE60F27" w14:textId="55A91A7B" w:rsidR="009E7E61" w:rsidRPr="003A72EE" w:rsidRDefault="001F11ED" w:rsidP="001F11ED">
      <w:pPr>
        <w:widowControl/>
        <w:autoSpaceDE/>
        <w:autoSpaceDN/>
        <w:ind w:left="426" w:hanging="426"/>
        <w:rPr>
          <w:rFonts w:asciiTheme="minorHAnsi" w:hAnsiTheme="minorHAnsi" w:cstheme="minorHAnsi"/>
          <w:b/>
          <w:noProof/>
          <w:lang w:val="es-ES"/>
        </w:rPr>
      </w:pPr>
      <w:r w:rsidRPr="003A72EE">
        <w:rPr>
          <w:rFonts w:asciiTheme="minorHAnsi" w:hAnsiTheme="minorHAnsi" w:cstheme="minorHAnsi"/>
          <w:b/>
          <w:noProof/>
          <w:lang w:val="es-ES"/>
        </w:rPr>
        <w:t>4.</w:t>
      </w:r>
      <w:r w:rsidRPr="003A72EE">
        <w:rPr>
          <w:rFonts w:asciiTheme="minorHAnsi" w:hAnsiTheme="minorHAnsi" w:cstheme="minorHAnsi"/>
          <w:b/>
          <w:noProof/>
          <w:lang w:val="es-ES"/>
        </w:rPr>
        <w:tab/>
      </w:r>
      <w:r w:rsidR="009E7E61" w:rsidRPr="003A72EE">
        <w:rPr>
          <w:rFonts w:asciiTheme="minorHAnsi" w:hAnsiTheme="minorHAnsi" w:cstheme="minorHAnsi"/>
          <w:b/>
          <w:noProof/>
          <w:lang w:val="es-ES"/>
        </w:rPr>
        <w:t>Posibles consecuencias financieras de los proyectos de resolución (documento SC59/2022 Doc.8.4)</w:t>
      </w:r>
    </w:p>
    <w:p w14:paraId="00CB758A" w14:textId="03839761" w:rsidR="005A32A8" w:rsidRPr="003A72EE" w:rsidRDefault="005A32A8" w:rsidP="00711D36">
      <w:pPr>
        <w:widowControl/>
        <w:rPr>
          <w:rFonts w:asciiTheme="minorHAnsi" w:hAnsiTheme="minorHAnsi" w:cstheme="minorHAnsi"/>
          <w:b/>
          <w:noProof/>
          <w:lang w:val="es-ES"/>
        </w:rPr>
      </w:pPr>
    </w:p>
    <w:p w14:paraId="199A4FA7" w14:textId="032B734D" w:rsidR="009E7E61" w:rsidRPr="003A72EE" w:rsidRDefault="009E7E61" w:rsidP="00711D36">
      <w:pPr>
        <w:widowControl/>
        <w:rPr>
          <w:rFonts w:asciiTheme="minorHAnsi" w:hAnsiTheme="minorHAnsi" w:cstheme="minorHAnsi"/>
          <w:noProof/>
          <w:lang w:val="es-ES"/>
        </w:rPr>
      </w:pPr>
      <w:r w:rsidRPr="003A72EE">
        <w:rPr>
          <w:rFonts w:asciiTheme="minorHAnsi" w:hAnsiTheme="minorHAnsi" w:cstheme="minorHAnsi"/>
          <w:noProof/>
          <w:lang w:val="es-ES"/>
        </w:rPr>
        <w:t xml:space="preserve">La Secretaria General presentó el documento y explicó que se trataba de un documento preliminar, que las estimaciones se presentaban sobre la base de las estimaciones realizadas por las Partes. Asimismo, describió que la Secretaría había añadido aportaciones cuando era necesario y que no se incluían los días de trabajo del personal </w:t>
      </w:r>
      <w:r w:rsidR="00241CAB" w:rsidRPr="003A72EE">
        <w:rPr>
          <w:rFonts w:asciiTheme="minorHAnsi" w:hAnsiTheme="minorHAnsi" w:cstheme="minorHAnsi"/>
          <w:noProof/>
          <w:lang w:val="es-ES"/>
        </w:rPr>
        <w:t>que se requerían</w:t>
      </w:r>
      <w:r w:rsidRPr="003A72EE">
        <w:rPr>
          <w:rFonts w:asciiTheme="minorHAnsi" w:hAnsiTheme="minorHAnsi" w:cstheme="minorHAnsi"/>
          <w:noProof/>
          <w:lang w:val="es-ES"/>
        </w:rPr>
        <w:t xml:space="preserve"> para realizar actividades y tareas que ya </w:t>
      </w:r>
      <w:r w:rsidR="00241CAB" w:rsidRPr="003A72EE">
        <w:rPr>
          <w:rFonts w:asciiTheme="minorHAnsi" w:hAnsiTheme="minorHAnsi" w:cstheme="minorHAnsi"/>
          <w:noProof/>
          <w:lang w:val="es-ES"/>
        </w:rPr>
        <w:t>se incluyen</w:t>
      </w:r>
      <w:r w:rsidRPr="003A72EE">
        <w:rPr>
          <w:rFonts w:asciiTheme="minorHAnsi" w:hAnsiTheme="minorHAnsi" w:cstheme="minorHAnsi"/>
          <w:noProof/>
          <w:lang w:val="es-ES"/>
        </w:rPr>
        <w:t xml:space="preserve"> en las </w:t>
      </w:r>
      <w:r w:rsidR="00241CAB" w:rsidRPr="003A72EE">
        <w:rPr>
          <w:rFonts w:asciiTheme="minorHAnsi" w:hAnsiTheme="minorHAnsi" w:cstheme="minorHAnsi"/>
          <w:noProof/>
          <w:lang w:val="es-ES"/>
        </w:rPr>
        <w:t>actividades</w:t>
      </w:r>
      <w:r w:rsidR="005B2F84" w:rsidRPr="003A72EE">
        <w:rPr>
          <w:rFonts w:asciiTheme="minorHAnsi" w:hAnsiTheme="minorHAnsi" w:cstheme="minorHAnsi"/>
          <w:noProof/>
          <w:lang w:val="es-ES"/>
        </w:rPr>
        <w:t xml:space="preserve"> principales</w:t>
      </w:r>
      <w:r w:rsidR="00241CAB" w:rsidRPr="003A72EE">
        <w:rPr>
          <w:rFonts w:asciiTheme="minorHAnsi" w:hAnsiTheme="minorHAnsi" w:cstheme="minorHAnsi"/>
          <w:noProof/>
          <w:lang w:val="es-ES"/>
        </w:rPr>
        <w:t xml:space="preserve"> </w:t>
      </w:r>
      <w:r w:rsidRPr="003A72EE">
        <w:rPr>
          <w:rFonts w:asciiTheme="minorHAnsi" w:hAnsiTheme="minorHAnsi" w:cstheme="minorHAnsi"/>
          <w:noProof/>
          <w:lang w:val="es-ES"/>
        </w:rPr>
        <w:t xml:space="preserve">de la Secretaría y en su plan de trabajo. </w:t>
      </w:r>
      <w:r w:rsidR="00241CAB" w:rsidRPr="003A72EE">
        <w:rPr>
          <w:rFonts w:asciiTheme="minorHAnsi" w:hAnsiTheme="minorHAnsi" w:cstheme="minorHAnsi"/>
          <w:noProof/>
          <w:lang w:val="es-ES"/>
        </w:rPr>
        <w:t>La</w:t>
      </w:r>
      <w:r w:rsidRPr="003A72EE">
        <w:rPr>
          <w:rFonts w:asciiTheme="minorHAnsi" w:hAnsiTheme="minorHAnsi" w:cstheme="minorHAnsi"/>
          <w:noProof/>
          <w:lang w:val="es-ES"/>
        </w:rPr>
        <w:t xml:space="preserve"> Secretari</w:t>
      </w:r>
      <w:r w:rsidR="00241CAB" w:rsidRPr="003A72EE">
        <w:rPr>
          <w:rFonts w:asciiTheme="minorHAnsi" w:hAnsiTheme="minorHAnsi" w:cstheme="minorHAnsi"/>
          <w:noProof/>
          <w:lang w:val="es-ES"/>
        </w:rPr>
        <w:t>a</w:t>
      </w:r>
      <w:r w:rsidRPr="003A72EE">
        <w:rPr>
          <w:rFonts w:asciiTheme="minorHAnsi" w:hAnsiTheme="minorHAnsi" w:cstheme="minorHAnsi"/>
          <w:noProof/>
          <w:lang w:val="es-ES"/>
        </w:rPr>
        <w:t xml:space="preserve"> General señaló que las </w:t>
      </w:r>
      <w:r w:rsidR="00241CAB" w:rsidRPr="003A72EE">
        <w:rPr>
          <w:rFonts w:asciiTheme="minorHAnsi" w:hAnsiTheme="minorHAnsi" w:cstheme="minorHAnsi"/>
          <w:noProof/>
          <w:lang w:val="es-ES"/>
        </w:rPr>
        <w:t>repercusiones</w:t>
      </w:r>
      <w:r w:rsidRPr="003A72EE">
        <w:rPr>
          <w:rFonts w:asciiTheme="minorHAnsi" w:hAnsiTheme="minorHAnsi" w:cstheme="minorHAnsi"/>
          <w:noProof/>
          <w:lang w:val="es-ES"/>
        </w:rPr>
        <w:t xml:space="preserve"> financieras y administrativas de los proyectos de resolución dependerán de las decisiones que tome el Comité Permanente </w:t>
      </w:r>
      <w:r w:rsidR="00241CAB" w:rsidRPr="003A72EE">
        <w:rPr>
          <w:rFonts w:asciiTheme="minorHAnsi" w:hAnsiTheme="minorHAnsi" w:cstheme="minorHAnsi"/>
          <w:noProof/>
          <w:lang w:val="es-ES"/>
        </w:rPr>
        <w:t>en relación con</w:t>
      </w:r>
      <w:r w:rsidRPr="003A72EE">
        <w:rPr>
          <w:rFonts w:asciiTheme="minorHAnsi" w:hAnsiTheme="minorHAnsi" w:cstheme="minorHAnsi"/>
          <w:noProof/>
          <w:lang w:val="es-ES"/>
        </w:rPr>
        <w:t xml:space="preserve"> el contenido de los proyectos de resolución. Por lo tanto, el documento deberá ser </w:t>
      </w:r>
      <w:r w:rsidR="00241CAB" w:rsidRPr="003A72EE">
        <w:rPr>
          <w:rFonts w:asciiTheme="minorHAnsi" w:hAnsiTheme="minorHAnsi" w:cstheme="minorHAnsi"/>
          <w:noProof/>
          <w:lang w:val="es-ES"/>
        </w:rPr>
        <w:t>modificado</w:t>
      </w:r>
      <w:r w:rsidRPr="003A72EE">
        <w:rPr>
          <w:rFonts w:asciiTheme="minorHAnsi" w:hAnsiTheme="minorHAnsi" w:cstheme="minorHAnsi"/>
          <w:noProof/>
          <w:lang w:val="es-ES"/>
        </w:rPr>
        <w:t xml:space="preserve"> después </w:t>
      </w:r>
      <w:r w:rsidR="00CE2DD2" w:rsidRPr="003A72EE">
        <w:rPr>
          <w:rFonts w:asciiTheme="minorHAnsi" w:hAnsiTheme="minorHAnsi" w:cstheme="minorHAnsi"/>
          <w:noProof/>
          <w:lang w:val="es-ES"/>
        </w:rPr>
        <w:t xml:space="preserve">de la reunión </w:t>
      </w:r>
      <w:r w:rsidRPr="003A72EE">
        <w:rPr>
          <w:rFonts w:asciiTheme="minorHAnsi" w:hAnsiTheme="minorHAnsi" w:cstheme="minorHAnsi"/>
          <w:noProof/>
          <w:lang w:val="es-ES"/>
        </w:rPr>
        <w:t xml:space="preserve">del Comité Permanente </w:t>
      </w:r>
      <w:r w:rsidR="00CE2DD2" w:rsidRPr="003A72EE">
        <w:rPr>
          <w:rFonts w:asciiTheme="minorHAnsi" w:hAnsiTheme="minorHAnsi" w:cstheme="minorHAnsi"/>
          <w:noProof/>
          <w:lang w:val="es-ES"/>
        </w:rPr>
        <w:t>para someterlo a la consideración de</w:t>
      </w:r>
      <w:r w:rsidRPr="003A72EE">
        <w:rPr>
          <w:rFonts w:asciiTheme="minorHAnsi" w:hAnsiTheme="minorHAnsi" w:cstheme="minorHAnsi"/>
          <w:noProof/>
          <w:lang w:val="es-ES"/>
        </w:rPr>
        <w:t xml:space="preserve"> la COP14.</w:t>
      </w:r>
    </w:p>
    <w:p w14:paraId="18FA96CE" w14:textId="328073D9" w:rsidR="00356EEC" w:rsidRPr="003A72EE" w:rsidRDefault="00356EEC" w:rsidP="00711D36">
      <w:pPr>
        <w:widowControl/>
        <w:rPr>
          <w:rFonts w:asciiTheme="minorHAnsi" w:hAnsiTheme="minorHAnsi" w:cstheme="minorHAnsi"/>
          <w:noProof/>
          <w:lang w:val="es-ES"/>
        </w:rPr>
      </w:pPr>
    </w:p>
    <w:p w14:paraId="2A61FE5D" w14:textId="77777777" w:rsidR="00C30815" w:rsidRPr="003A72EE" w:rsidRDefault="00C30815" w:rsidP="00C30815">
      <w:pPr>
        <w:widowControl/>
        <w:rPr>
          <w:rFonts w:asciiTheme="minorHAnsi" w:hAnsiTheme="minorHAnsi" w:cstheme="minorHAnsi"/>
          <w:b/>
          <w:i/>
          <w:noProof/>
          <w:lang w:val="es-ES"/>
        </w:rPr>
      </w:pPr>
      <w:r w:rsidRPr="003A72EE">
        <w:rPr>
          <w:rFonts w:asciiTheme="minorHAnsi" w:hAnsiTheme="minorHAnsi" w:cstheme="minorHAnsi"/>
          <w:b/>
          <w:i/>
          <w:noProof/>
          <w:lang w:val="es-ES"/>
        </w:rPr>
        <w:t xml:space="preserve">El Subgrupo de Finanzas recomienda al Comité Permanente que haga lo siguiente: </w:t>
      </w:r>
    </w:p>
    <w:p w14:paraId="0D82D1F1" w14:textId="56DA9DC8" w:rsidR="00C30815" w:rsidRPr="003A72EE" w:rsidRDefault="001F11ED" w:rsidP="007163B4">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t xml:space="preserve">i. </w:t>
      </w:r>
      <w:r w:rsidRPr="003A72EE">
        <w:rPr>
          <w:rFonts w:asciiTheme="minorHAnsi" w:hAnsiTheme="minorHAnsi" w:cstheme="minorHAnsi"/>
          <w:b/>
          <w:i/>
          <w:noProof/>
          <w:lang w:val="es-ES"/>
        </w:rPr>
        <w:tab/>
      </w:r>
      <w:r w:rsidR="00C30815" w:rsidRPr="003A72EE">
        <w:rPr>
          <w:rFonts w:asciiTheme="minorHAnsi" w:hAnsiTheme="minorHAnsi" w:cstheme="minorHAnsi"/>
          <w:b/>
          <w:i/>
          <w:noProof/>
          <w:lang w:val="es-ES"/>
        </w:rPr>
        <w:t>tom</w:t>
      </w:r>
      <w:r w:rsidR="00EA5A38" w:rsidRPr="003A72EE">
        <w:rPr>
          <w:rFonts w:asciiTheme="minorHAnsi" w:hAnsiTheme="minorHAnsi" w:cstheme="minorHAnsi"/>
          <w:b/>
          <w:i/>
          <w:noProof/>
          <w:lang w:val="es-ES"/>
        </w:rPr>
        <w:t>ar</w:t>
      </w:r>
      <w:r w:rsidR="00C30815" w:rsidRPr="003A72EE">
        <w:rPr>
          <w:rFonts w:asciiTheme="minorHAnsi" w:hAnsiTheme="minorHAnsi" w:cstheme="minorHAnsi"/>
          <w:b/>
          <w:i/>
          <w:noProof/>
          <w:lang w:val="es-ES"/>
        </w:rPr>
        <w:t xml:space="preserve"> nota de las</w:t>
      </w:r>
      <w:r w:rsidR="00EA5A38" w:rsidRPr="003A72EE">
        <w:rPr>
          <w:rFonts w:asciiTheme="minorHAnsi" w:hAnsiTheme="minorHAnsi" w:cstheme="minorHAnsi"/>
          <w:b/>
          <w:i/>
          <w:noProof/>
          <w:lang w:val="es-ES"/>
        </w:rPr>
        <w:t xml:space="preserve"> posibles</w:t>
      </w:r>
      <w:r w:rsidR="00C30815" w:rsidRPr="003A72EE">
        <w:rPr>
          <w:rFonts w:asciiTheme="minorHAnsi" w:hAnsiTheme="minorHAnsi" w:cstheme="minorHAnsi"/>
          <w:b/>
          <w:i/>
          <w:noProof/>
          <w:lang w:val="es-ES"/>
        </w:rPr>
        <w:t xml:space="preserve"> repercusiones administrativas y financieras de los proyectos de resolución presentados a la </w:t>
      </w:r>
      <w:r w:rsidR="0088584B" w:rsidRPr="003A72EE">
        <w:rPr>
          <w:rFonts w:asciiTheme="minorHAnsi" w:hAnsiTheme="minorHAnsi" w:cstheme="minorHAnsi"/>
          <w:b/>
          <w:i/>
          <w:noProof/>
          <w:lang w:val="es-ES"/>
        </w:rPr>
        <w:t xml:space="preserve">reunión </w:t>
      </w:r>
      <w:r w:rsidR="00C30815" w:rsidRPr="003A72EE">
        <w:rPr>
          <w:rFonts w:asciiTheme="minorHAnsi" w:hAnsiTheme="minorHAnsi" w:cstheme="minorHAnsi"/>
          <w:b/>
          <w:i/>
          <w:noProof/>
          <w:lang w:val="es-ES"/>
        </w:rPr>
        <w:t xml:space="preserve">SC59/2022, a </w:t>
      </w:r>
      <w:r w:rsidR="00EA5A38" w:rsidRPr="003A72EE">
        <w:rPr>
          <w:rFonts w:asciiTheme="minorHAnsi" w:hAnsiTheme="minorHAnsi" w:cstheme="minorHAnsi"/>
          <w:b/>
          <w:i/>
          <w:noProof/>
          <w:lang w:val="es-ES"/>
        </w:rPr>
        <w:t>modificarse</w:t>
      </w:r>
      <w:r w:rsidR="00C30815" w:rsidRPr="003A72EE">
        <w:rPr>
          <w:rFonts w:asciiTheme="minorHAnsi" w:hAnsiTheme="minorHAnsi" w:cstheme="minorHAnsi"/>
          <w:b/>
          <w:i/>
          <w:noProof/>
          <w:lang w:val="es-ES"/>
        </w:rPr>
        <w:t xml:space="preserve"> sobre la base de los proyectos de resolución acordados por la </w:t>
      </w:r>
      <w:r w:rsidR="0088584B" w:rsidRPr="003A72EE">
        <w:rPr>
          <w:rFonts w:asciiTheme="minorHAnsi" w:hAnsiTheme="minorHAnsi" w:cstheme="minorHAnsi"/>
          <w:b/>
          <w:i/>
          <w:noProof/>
          <w:lang w:val="es-ES"/>
        </w:rPr>
        <w:t xml:space="preserve">reunión </w:t>
      </w:r>
      <w:r w:rsidR="00C30815" w:rsidRPr="003A72EE">
        <w:rPr>
          <w:rFonts w:asciiTheme="minorHAnsi" w:hAnsiTheme="minorHAnsi" w:cstheme="minorHAnsi"/>
          <w:b/>
          <w:i/>
          <w:noProof/>
          <w:lang w:val="es-ES"/>
        </w:rPr>
        <w:t>SC59/2022.</w:t>
      </w:r>
    </w:p>
    <w:p w14:paraId="268B43A3" w14:textId="2A906FB6" w:rsidR="00356EEC" w:rsidRDefault="00356EEC" w:rsidP="00711D36">
      <w:pPr>
        <w:widowControl/>
        <w:rPr>
          <w:rFonts w:asciiTheme="minorHAnsi" w:hAnsiTheme="minorHAnsi" w:cstheme="minorHAnsi"/>
          <w:noProof/>
          <w:lang w:val="es-ES"/>
        </w:rPr>
      </w:pPr>
    </w:p>
    <w:p w14:paraId="021A69D2" w14:textId="77777777" w:rsidR="00126728" w:rsidRPr="003A72EE" w:rsidRDefault="00126728" w:rsidP="00711D36">
      <w:pPr>
        <w:widowControl/>
        <w:rPr>
          <w:rFonts w:asciiTheme="minorHAnsi" w:hAnsiTheme="minorHAnsi" w:cstheme="minorHAnsi"/>
          <w:noProof/>
          <w:lang w:val="es-ES"/>
        </w:rPr>
      </w:pPr>
    </w:p>
    <w:p w14:paraId="40A68D2C" w14:textId="753885BB" w:rsidR="00356EEC" w:rsidRPr="003A72EE" w:rsidRDefault="007163B4" w:rsidP="0088584B">
      <w:pPr>
        <w:widowControl/>
        <w:autoSpaceDE/>
        <w:autoSpaceDN/>
        <w:ind w:left="426" w:hanging="426"/>
        <w:rPr>
          <w:rFonts w:asciiTheme="minorHAnsi" w:hAnsiTheme="minorHAnsi" w:cstheme="minorHAnsi"/>
          <w:b/>
          <w:noProof/>
          <w:lang w:val="es-ES"/>
        </w:rPr>
      </w:pPr>
      <w:r w:rsidRPr="003A72EE">
        <w:rPr>
          <w:rFonts w:asciiTheme="minorHAnsi" w:hAnsiTheme="minorHAnsi" w:cstheme="minorHAnsi"/>
          <w:b/>
          <w:noProof/>
          <w:lang w:val="es-ES"/>
        </w:rPr>
        <w:t>5.</w:t>
      </w:r>
      <w:r w:rsidRPr="003A72EE">
        <w:rPr>
          <w:rFonts w:asciiTheme="minorHAnsi" w:hAnsiTheme="minorHAnsi" w:cstheme="minorHAnsi"/>
          <w:b/>
          <w:noProof/>
          <w:lang w:val="es-ES"/>
        </w:rPr>
        <w:tab/>
      </w:r>
      <w:r w:rsidR="0088584B" w:rsidRPr="003A72EE">
        <w:rPr>
          <w:rFonts w:asciiTheme="minorHAnsi" w:hAnsiTheme="minorHAnsi" w:cstheme="minorHAnsi"/>
          <w:b/>
          <w:noProof/>
          <w:lang w:val="es-ES"/>
        </w:rPr>
        <w:t>Informe sobre cuestiones financieras para 2019-2021 y 2022 (documento SC59/2022 Doc.8.1): continuación</w:t>
      </w:r>
      <w:r w:rsidR="00AD079A" w:rsidRPr="003A72EE">
        <w:rPr>
          <w:rStyle w:val="FootnoteReference"/>
          <w:rFonts w:asciiTheme="minorHAnsi" w:hAnsiTheme="minorHAnsi" w:cstheme="minorHAnsi"/>
          <w:b/>
          <w:noProof/>
          <w:lang w:val="es-ES"/>
        </w:rPr>
        <w:footnoteReference w:id="3"/>
      </w:r>
    </w:p>
    <w:p w14:paraId="50F43379" w14:textId="000D0A39" w:rsidR="00356EEC" w:rsidRPr="003A72EE" w:rsidRDefault="00356EEC" w:rsidP="00763865">
      <w:pPr>
        <w:widowControl/>
        <w:rPr>
          <w:rFonts w:asciiTheme="minorHAnsi" w:hAnsiTheme="minorHAnsi" w:cstheme="minorHAnsi"/>
          <w:noProof/>
          <w:lang w:val="es-ES"/>
        </w:rPr>
      </w:pPr>
    </w:p>
    <w:p w14:paraId="0A2A5C9C" w14:textId="54F18A8C" w:rsidR="0088584B" w:rsidRPr="003A72EE" w:rsidRDefault="0088584B" w:rsidP="00763865">
      <w:pPr>
        <w:widowControl/>
        <w:rPr>
          <w:rFonts w:asciiTheme="minorHAnsi" w:hAnsiTheme="minorHAnsi" w:cstheme="minorHAnsi"/>
          <w:noProof/>
          <w:lang w:val="es-ES"/>
        </w:rPr>
      </w:pPr>
      <w:r w:rsidRPr="003A72EE">
        <w:rPr>
          <w:rFonts w:asciiTheme="minorHAnsi" w:hAnsiTheme="minorHAnsi" w:cstheme="minorHAnsi"/>
          <w:noProof/>
          <w:lang w:val="es-ES"/>
        </w:rPr>
        <w:t>La Secretaría presentó los elementos del excedente del presupuesto básico a finales de 2021, como se resume en el Cuadro 1 que figura a continuación.</w:t>
      </w:r>
    </w:p>
    <w:p w14:paraId="67375531" w14:textId="77777777" w:rsidR="002E00B9" w:rsidRPr="003A72EE" w:rsidRDefault="002E00B9" w:rsidP="00763865">
      <w:pPr>
        <w:widowControl/>
        <w:rPr>
          <w:rFonts w:asciiTheme="minorHAnsi" w:hAnsiTheme="minorHAnsi" w:cstheme="minorHAnsi"/>
          <w:noProof/>
          <w:lang w:val="es-ES"/>
        </w:rPr>
      </w:pPr>
    </w:p>
    <w:p w14:paraId="436781D2" w14:textId="62C6B291" w:rsidR="00356EEC" w:rsidRPr="003A72EE" w:rsidRDefault="005B2F84" w:rsidP="00711D36">
      <w:pPr>
        <w:rPr>
          <w:rFonts w:cs="Times New Roman"/>
          <w:i/>
          <w:noProof/>
          <w:lang w:val="es-ES"/>
        </w:rPr>
      </w:pPr>
      <w:r w:rsidRPr="003A72EE">
        <w:rPr>
          <w:i/>
          <w:noProof/>
          <w:lang w:val="es-ES"/>
        </w:rPr>
        <w:t>Cuadro</w:t>
      </w:r>
      <w:r w:rsidR="00356EEC" w:rsidRPr="003A72EE">
        <w:rPr>
          <w:i/>
          <w:noProof/>
          <w:lang w:val="es-ES"/>
        </w:rPr>
        <w:t xml:space="preserve"> </w:t>
      </w:r>
      <w:r w:rsidR="00426C7C" w:rsidRPr="003A72EE">
        <w:rPr>
          <w:i/>
          <w:noProof/>
          <w:lang w:val="es-ES"/>
        </w:rPr>
        <w:t>1</w:t>
      </w:r>
      <w:r w:rsidR="00356EEC" w:rsidRPr="003A72EE">
        <w:rPr>
          <w:i/>
          <w:noProof/>
          <w:lang w:val="es-ES"/>
        </w:rPr>
        <w:t xml:space="preserve">: </w:t>
      </w:r>
      <w:r w:rsidR="0088584B" w:rsidRPr="003A72EE">
        <w:rPr>
          <w:i/>
          <w:noProof/>
          <w:lang w:val="es-ES"/>
        </w:rPr>
        <w:t xml:space="preserve">Excedente del presupuesto básico de </w:t>
      </w:r>
      <w:r w:rsidR="00356EEC" w:rsidRPr="003A72EE">
        <w:rPr>
          <w:i/>
          <w:noProof/>
          <w:lang w:val="es-ES"/>
        </w:rPr>
        <w:t xml:space="preserve">2021 </w:t>
      </w:r>
      <w:r w:rsidR="00D33B64" w:rsidRPr="003A72EE">
        <w:rPr>
          <w:i/>
          <w:noProof/>
          <w:lang w:val="es-ES"/>
        </w:rPr>
        <w:t>a ser asignado</w:t>
      </w:r>
      <w:r w:rsidR="00356EEC" w:rsidRPr="003A72EE">
        <w:rPr>
          <w:i/>
          <w:noProof/>
          <w:lang w:val="es-ES"/>
        </w:rPr>
        <w:t xml:space="preserve"> (</w:t>
      </w:r>
      <w:r w:rsidR="00D33B64" w:rsidRPr="003A72EE">
        <w:rPr>
          <w:i/>
          <w:noProof/>
          <w:lang w:val="es-ES"/>
        </w:rPr>
        <w:t>en miles de francos suizos</w:t>
      </w:r>
      <w:r w:rsidR="00356EEC" w:rsidRPr="003A72EE">
        <w:rPr>
          <w:i/>
          <w:noProof/>
          <w:lang w:val="es-ES"/>
        </w:rPr>
        <w:t>)</w:t>
      </w:r>
    </w:p>
    <w:tbl>
      <w:tblPr>
        <w:tblW w:w="8926" w:type="dxa"/>
        <w:tblLook w:val="04A0" w:firstRow="1" w:lastRow="0" w:firstColumn="1" w:lastColumn="0" w:noHBand="0" w:noVBand="1"/>
      </w:tblPr>
      <w:tblGrid>
        <w:gridCol w:w="7225"/>
        <w:gridCol w:w="1701"/>
      </w:tblGrid>
      <w:tr w:rsidR="00356EEC" w:rsidRPr="003A72EE" w14:paraId="38A616F3" w14:textId="77777777" w:rsidTr="00AB178F">
        <w:trPr>
          <w:trHeight w:val="780"/>
        </w:trPr>
        <w:tc>
          <w:tcPr>
            <w:tcW w:w="722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EC3F76" w14:textId="4D0D6739" w:rsidR="00356EEC" w:rsidRPr="003A72EE" w:rsidRDefault="00356EEC" w:rsidP="00711D36">
            <w:pPr>
              <w:rPr>
                <w:b/>
                <w:bCs/>
                <w:noProof/>
                <w:color w:val="000000"/>
                <w:lang w:val="es-ES" w:eastAsia="en-GB"/>
              </w:rPr>
            </w:pPr>
            <w:r w:rsidRPr="003A72EE">
              <w:rPr>
                <w:b/>
                <w:bCs/>
                <w:noProof/>
                <w:color w:val="000000"/>
                <w:lang w:val="es-ES" w:eastAsia="en-GB"/>
              </w:rPr>
              <w:t xml:space="preserve">(I) </w:t>
            </w:r>
            <w:r w:rsidR="00D33B64" w:rsidRPr="003A72EE">
              <w:rPr>
                <w:b/>
                <w:bCs/>
                <w:noProof/>
                <w:color w:val="000000"/>
                <w:lang w:val="es-ES" w:eastAsia="en-GB"/>
              </w:rPr>
              <w:t>Saldo del fondo a 31 de diciembre de 2021 conforme a los estados financieros auditados</w:t>
            </w:r>
          </w:p>
        </w:tc>
        <w:tc>
          <w:tcPr>
            <w:tcW w:w="1701" w:type="dxa"/>
            <w:tcBorders>
              <w:top w:val="single" w:sz="4" w:space="0" w:color="auto"/>
              <w:left w:val="nil"/>
              <w:bottom w:val="single" w:sz="4" w:space="0" w:color="auto"/>
              <w:right w:val="single" w:sz="4" w:space="0" w:color="auto"/>
            </w:tcBorders>
            <w:shd w:val="clear" w:color="auto" w:fill="DBE5F1"/>
            <w:noWrap/>
            <w:vAlign w:val="center"/>
            <w:hideMark/>
          </w:tcPr>
          <w:p w14:paraId="264B7A78" w14:textId="575ABCF2" w:rsidR="00356EEC" w:rsidRPr="003A72EE" w:rsidRDefault="00356EEC" w:rsidP="00711D36">
            <w:pPr>
              <w:jc w:val="right"/>
              <w:rPr>
                <w:b/>
                <w:bCs/>
                <w:noProof/>
                <w:color w:val="000000"/>
                <w:lang w:val="es-ES" w:eastAsia="en-GB"/>
              </w:rPr>
            </w:pPr>
            <w:r w:rsidRPr="003A72EE">
              <w:rPr>
                <w:b/>
                <w:bCs/>
                <w:noProof/>
                <w:color w:val="000000"/>
                <w:lang w:val="es-ES" w:eastAsia="en-GB"/>
              </w:rPr>
              <w:t>3</w:t>
            </w:r>
            <w:r w:rsidR="00D33B64" w:rsidRPr="003A72EE">
              <w:rPr>
                <w:b/>
                <w:bCs/>
                <w:noProof/>
                <w:color w:val="000000"/>
                <w:lang w:val="es-ES" w:eastAsia="en-GB"/>
              </w:rPr>
              <w:t xml:space="preserve"> </w:t>
            </w:r>
            <w:r w:rsidRPr="003A72EE">
              <w:rPr>
                <w:b/>
                <w:bCs/>
                <w:noProof/>
                <w:color w:val="000000"/>
                <w:lang w:val="es-ES" w:eastAsia="en-GB"/>
              </w:rPr>
              <w:t>738</w:t>
            </w:r>
          </w:p>
        </w:tc>
      </w:tr>
      <w:tr w:rsidR="00356EEC" w:rsidRPr="003A72EE" w14:paraId="1F22CC29" w14:textId="77777777" w:rsidTr="00AB178F">
        <w:trPr>
          <w:trHeight w:val="375"/>
        </w:trPr>
        <w:tc>
          <w:tcPr>
            <w:tcW w:w="7225" w:type="dxa"/>
            <w:tcBorders>
              <w:top w:val="nil"/>
              <w:left w:val="single" w:sz="4" w:space="0" w:color="auto"/>
              <w:bottom w:val="single" w:sz="4" w:space="0" w:color="auto"/>
              <w:right w:val="single" w:sz="4" w:space="0" w:color="auto"/>
            </w:tcBorders>
            <w:vAlign w:val="center"/>
            <w:hideMark/>
          </w:tcPr>
          <w:p w14:paraId="56CB3B72" w14:textId="2C9A62A9" w:rsidR="00356EEC" w:rsidRPr="003A72EE" w:rsidRDefault="00356EEC" w:rsidP="00711D36">
            <w:pPr>
              <w:rPr>
                <w:b/>
                <w:bCs/>
                <w:noProof/>
                <w:color w:val="000000"/>
                <w:lang w:val="es-ES" w:eastAsia="en-GB"/>
              </w:rPr>
            </w:pPr>
            <w:r w:rsidRPr="003A72EE">
              <w:rPr>
                <w:b/>
                <w:bCs/>
                <w:noProof/>
                <w:color w:val="000000"/>
                <w:lang w:val="es-ES" w:eastAsia="en-GB"/>
              </w:rPr>
              <w:t>Reserv</w:t>
            </w:r>
            <w:r w:rsidR="00D33B64" w:rsidRPr="003A72EE">
              <w:rPr>
                <w:b/>
                <w:bCs/>
                <w:noProof/>
                <w:color w:val="000000"/>
                <w:lang w:val="es-ES" w:eastAsia="en-GB"/>
              </w:rPr>
              <w:t>a</w:t>
            </w:r>
            <w:r w:rsidRPr="003A72EE">
              <w:rPr>
                <w:b/>
                <w:bCs/>
                <w:noProof/>
                <w:color w:val="000000"/>
                <w:lang w:val="es-ES" w:eastAsia="en-GB"/>
              </w:rPr>
              <w:t xml:space="preserve">, </w:t>
            </w:r>
            <w:r w:rsidR="00D33B64" w:rsidRPr="003A72EE">
              <w:rPr>
                <w:b/>
                <w:bCs/>
                <w:noProof/>
                <w:color w:val="000000"/>
                <w:lang w:val="es-ES" w:eastAsia="en-GB"/>
              </w:rPr>
              <w:t>aprobada y previamente comprometida:</w:t>
            </w:r>
          </w:p>
        </w:tc>
        <w:tc>
          <w:tcPr>
            <w:tcW w:w="1701" w:type="dxa"/>
            <w:tcBorders>
              <w:top w:val="nil"/>
              <w:left w:val="nil"/>
              <w:bottom w:val="single" w:sz="4" w:space="0" w:color="auto"/>
              <w:right w:val="single" w:sz="4" w:space="0" w:color="auto"/>
            </w:tcBorders>
            <w:noWrap/>
            <w:vAlign w:val="center"/>
            <w:hideMark/>
          </w:tcPr>
          <w:p w14:paraId="4DB47614" w14:textId="77777777" w:rsidR="00356EEC" w:rsidRPr="003A72EE" w:rsidRDefault="00356EEC" w:rsidP="00711D36">
            <w:pPr>
              <w:jc w:val="right"/>
              <w:rPr>
                <w:noProof/>
                <w:color w:val="000000"/>
                <w:lang w:val="es-ES" w:eastAsia="en-GB"/>
              </w:rPr>
            </w:pPr>
            <w:r w:rsidRPr="003A72EE">
              <w:rPr>
                <w:noProof/>
                <w:color w:val="000000"/>
                <w:lang w:val="es-ES" w:eastAsia="en-GB"/>
              </w:rPr>
              <w:t> </w:t>
            </w:r>
          </w:p>
        </w:tc>
      </w:tr>
      <w:tr w:rsidR="00356EEC" w:rsidRPr="003A72EE" w14:paraId="5EECF01A" w14:textId="77777777" w:rsidTr="00AB178F">
        <w:trPr>
          <w:trHeight w:val="375"/>
        </w:trPr>
        <w:tc>
          <w:tcPr>
            <w:tcW w:w="7225" w:type="dxa"/>
            <w:tcBorders>
              <w:top w:val="nil"/>
              <w:left w:val="single" w:sz="4" w:space="0" w:color="auto"/>
              <w:bottom w:val="single" w:sz="4" w:space="0" w:color="auto"/>
              <w:right w:val="single" w:sz="4" w:space="0" w:color="auto"/>
            </w:tcBorders>
            <w:vAlign w:val="center"/>
            <w:hideMark/>
          </w:tcPr>
          <w:p w14:paraId="14FF1425" w14:textId="123E98BD" w:rsidR="00356EEC" w:rsidRPr="003A72EE" w:rsidRDefault="00D33B64" w:rsidP="00711D36">
            <w:pPr>
              <w:rPr>
                <w:noProof/>
                <w:color w:val="000000"/>
                <w:lang w:val="es-ES" w:eastAsia="en-GB"/>
              </w:rPr>
            </w:pPr>
            <w:r w:rsidRPr="003A72EE">
              <w:rPr>
                <w:noProof/>
                <w:color w:val="000000"/>
                <w:lang w:val="es-ES" w:eastAsia="en-GB"/>
              </w:rPr>
              <w:t>Fondo de reserva del 15 % (párrafo 33 de la Resolución XIII.2)</w:t>
            </w:r>
          </w:p>
        </w:tc>
        <w:tc>
          <w:tcPr>
            <w:tcW w:w="1701" w:type="dxa"/>
            <w:tcBorders>
              <w:top w:val="nil"/>
              <w:left w:val="nil"/>
              <w:bottom w:val="single" w:sz="4" w:space="0" w:color="auto"/>
              <w:right w:val="single" w:sz="4" w:space="0" w:color="auto"/>
            </w:tcBorders>
            <w:noWrap/>
            <w:vAlign w:val="center"/>
            <w:hideMark/>
          </w:tcPr>
          <w:p w14:paraId="18B47B5A" w14:textId="77777777" w:rsidR="00356EEC" w:rsidRPr="003A72EE" w:rsidRDefault="00356EEC" w:rsidP="00711D36">
            <w:pPr>
              <w:jc w:val="right"/>
              <w:rPr>
                <w:noProof/>
                <w:color w:val="000000"/>
                <w:lang w:val="es-ES" w:eastAsia="en-GB"/>
              </w:rPr>
            </w:pPr>
            <w:r w:rsidRPr="003A72EE">
              <w:rPr>
                <w:noProof/>
                <w:color w:val="000000"/>
                <w:lang w:val="es-ES" w:eastAsia="en-GB"/>
              </w:rPr>
              <w:t>762</w:t>
            </w:r>
          </w:p>
        </w:tc>
      </w:tr>
      <w:tr w:rsidR="00356EEC" w:rsidRPr="003A72EE" w14:paraId="29CAC549" w14:textId="77777777" w:rsidTr="00AB178F">
        <w:trPr>
          <w:trHeight w:val="375"/>
        </w:trPr>
        <w:tc>
          <w:tcPr>
            <w:tcW w:w="7225" w:type="dxa"/>
            <w:tcBorders>
              <w:top w:val="nil"/>
              <w:left w:val="single" w:sz="4" w:space="0" w:color="auto"/>
              <w:bottom w:val="single" w:sz="4" w:space="0" w:color="auto"/>
              <w:right w:val="single" w:sz="4" w:space="0" w:color="auto"/>
            </w:tcBorders>
            <w:vAlign w:val="center"/>
            <w:hideMark/>
          </w:tcPr>
          <w:p w14:paraId="42C40F6E" w14:textId="5AF72DC6" w:rsidR="00356EEC" w:rsidRPr="003A72EE" w:rsidRDefault="00D33B64" w:rsidP="00711D36">
            <w:pPr>
              <w:rPr>
                <w:noProof/>
                <w:lang w:val="es-ES" w:eastAsia="en-GB"/>
              </w:rPr>
            </w:pPr>
            <w:r w:rsidRPr="003A72EE">
              <w:rPr>
                <w:noProof/>
                <w:lang w:val="es-ES" w:eastAsia="en-GB"/>
              </w:rPr>
              <w:t>Uso aprobado por la ExCOP3 de los ahorros presupuestarios de 2020 (para cubrir el déficit y para las provisiones pendientes)</w:t>
            </w:r>
          </w:p>
        </w:tc>
        <w:tc>
          <w:tcPr>
            <w:tcW w:w="1701" w:type="dxa"/>
            <w:tcBorders>
              <w:top w:val="nil"/>
              <w:left w:val="nil"/>
              <w:bottom w:val="single" w:sz="4" w:space="0" w:color="auto"/>
              <w:right w:val="single" w:sz="4" w:space="0" w:color="auto"/>
            </w:tcBorders>
            <w:noWrap/>
            <w:vAlign w:val="center"/>
            <w:hideMark/>
          </w:tcPr>
          <w:p w14:paraId="7690BDB5" w14:textId="77777777" w:rsidR="00356EEC" w:rsidRPr="003A72EE" w:rsidRDefault="00356EEC" w:rsidP="00711D36">
            <w:pPr>
              <w:jc w:val="right"/>
              <w:rPr>
                <w:noProof/>
                <w:color w:val="000000"/>
                <w:lang w:val="es-ES" w:eastAsia="en-GB"/>
              </w:rPr>
            </w:pPr>
            <w:r w:rsidRPr="003A72EE">
              <w:rPr>
                <w:noProof/>
                <w:color w:val="000000"/>
                <w:lang w:val="es-ES" w:eastAsia="en-GB"/>
              </w:rPr>
              <w:t>196</w:t>
            </w:r>
          </w:p>
        </w:tc>
      </w:tr>
      <w:tr w:rsidR="00356EEC" w:rsidRPr="003A72EE" w14:paraId="6D030A3B" w14:textId="77777777" w:rsidTr="00AB178F">
        <w:trPr>
          <w:trHeight w:val="375"/>
        </w:trPr>
        <w:tc>
          <w:tcPr>
            <w:tcW w:w="7225" w:type="dxa"/>
            <w:tcBorders>
              <w:top w:val="nil"/>
              <w:left w:val="single" w:sz="4" w:space="0" w:color="auto"/>
              <w:bottom w:val="single" w:sz="4" w:space="0" w:color="auto"/>
              <w:right w:val="single" w:sz="4" w:space="0" w:color="auto"/>
            </w:tcBorders>
            <w:vAlign w:val="center"/>
            <w:hideMark/>
          </w:tcPr>
          <w:p w14:paraId="62FF5729" w14:textId="21DC2D41" w:rsidR="00356EEC" w:rsidRPr="003A72EE" w:rsidRDefault="000C7F8C" w:rsidP="00711D36">
            <w:pPr>
              <w:rPr>
                <w:noProof/>
                <w:color w:val="000000"/>
                <w:lang w:val="es-ES" w:eastAsia="en-GB"/>
              </w:rPr>
            </w:pPr>
            <w:r w:rsidRPr="003A72EE">
              <w:rPr>
                <w:noProof/>
                <w:color w:val="000000"/>
                <w:lang w:val="es-ES" w:eastAsia="en-GB"/>
              </w:rPr>
              <w:t>Saldos previamente comprometidos (Cuadro 1 del documento SC59/2022 Doc. 8.1)</w:t>
            </w:r>
          </w:p>
        </w:tc>
        <w:tc>
          <w:tcPr>
            <w:tcW w:w="1701" w:type="dxa"/>
            <w:tcBorders>
              <w:top w:val="nil"/>
              <w:left w:val="nil"/>
              <w:bottom w:val="single" w:sz="4" w:space="0" w:color="auto"/>
              <w:right w:val="single" w:sz="4" w:space="0" w:color="auto"/>
            </w:tcBorders>
            <w:noWrap/>
            <w:vAlign w:val="center"/>
            <w:hideMark/>
          </w:tcPr>
          <w:p w14:paraId="78BFB155" w14:textId="415FDC20" w:rsidR="00356EEC" w:rsidRPr="003A72EE" w:rsidRDefault="00356EEC" w:rsidP="00F068B4">
            <w:pPr>
              <w:jc w:val="right"/>
              <w:rPr>
                <w:noProof/>
                <w:color w:val="000000"/>
                <w:lang w:val="es-ES" w:eastAsia="en-GB"/>
              </w:rPr>
            </w:pPr>
            <w:r w:rsidRPr="003A72EE">
              <w:rPr>
                <w:noProof/>
                <w:color w:val="000000"/>
                <w:lang w:val="es-ES" w:eastAsia="en-GB"/>
              </w:rPr>
              <w:t xml:space="preserve">767 </w:t>
            </w:r>
          </w:p>
        </w:tc>
      </w:tr>
      <w:tr w:rsidR="00356EEC" w:rsidRPr="003A72EE" w14:paraId="0769AEE2" w14:textId="77777777" w:rsidTr="00AB178F">
        <w:trPr>
          <w:trHeight w:val="375"/>
        </w:trPr>
        <w:tc>
          <w:tcPr>
            <w:tcW w:w="7225" w:type="dxa"/>
            <w:tcBorders>
              <w:top w:val="nil"/>
              <w:left w:val="single" w:sz="4" w:space="0" w:color="auto"/>
              <w:bottom w:val="single" w:sz="4" w:space="0" w:color="auto"/>
              <w:right w:val="single" w:sz="4" w:space="0" w:color="auto"/>
            </w:tcBorders>
            <w:vAlign w:val="center"/>
            <w:hideMark/>
          </w:tcPr>
          <w:p w14:paraId="1CD265AD" w14:textId="4C35ABAD" w:rsidR="00356EEC" w:rsidRPr="003A72EE" w:rsidRDefault="000C7F8C" w:rsidP="00711D36">
            <w:pPr>
              <w:rPr>
                <w:noProof/>
                <w:color w:val="000000"/>
                <w:lang w:val="es-ES" w:eastAsia="en-GB"/>
              </w:rPr>
            </w:pPr>
            <w:r w:rsidRPr="003A72EE">
              <w:rPr>
                <w:noProof/>
                <w:color w:val="000000"/>
                <w:lang w:val="es-ES" w:eastAsia="en-GB"/>
              </w:rPr>
              <w:t>Abril de 2022: Aprobación entre períodos de sesiones del presupuesto del Comité Permanente para la contratación del próximo Secretario General</w:t>
            </w:r>
          </w:p>
        </w:tc>
        <w:tc>
          <w:tcPr>
            <w:tcW w:w="1701" w:type="dxa"/>
            <w:tcBorders>
              <w:top w:val="nil"/>
              <w:left w:val="nil"/>
              <w:bottom w:val="single" w:sz="4" w:space="0" w:color="auto"/>
              <w:right w:val="single" w:sz="4" w:space="0" w:color="auto"/>
            </w:tcBorders>
            <w:noWrap/>
            <w:vAlign w:val="center"/>
            <w:hideMark/>
          </w:tcPr>
          <w:p w14:paraId="4E9363D5" w14:textId="4403629C" w:rsidR="00356EEC" w:rsidRPr="003A72EE" w:rsidRDefault="00356EEC" w:rsidP="00711D36">
            <w:pPr>
              <w:jc w:val="right"/>
              <w:rPr>
                <w:noProof/>
                <w:color w:val="000000"/>
                <w:lang w:val="es-ES" w:eastAsia="en-GB"/>
              </w:rPr>
            </w:pPr>
            <w:r w:rsidRPr="003A72EE">
              <w:rPr>
                <w:noProof/>
                <w:color w:val="000000"/>
                <w:lang w:val="es-ES" w:eastAsia="en-GB"/>
              </w:rPr>
              <w:t>89</w:t>
            </w:r>
            <w:r w:rsidR="000C7F8C" w:rsidRPr="003A72EE">
              <w:rPr>
                <w:noProof/>
                <w:color w:val="000000"/>
                <w:lang w:val="es-ES" w:eastAsia="en-GB"/>
              </w:rPr>
              <w:t>,</w:t>
            </w:r>
            <w:r w:rsidRPr="003A72EE">
              <w:rPr>
                <w:noProof/>
                <w:color w:val="000000"/>
                <w:lang w:val="es-ES" w:eastAsia="en-GB"/>
              </w:rPr>
              <w:t>5</w:t>
            </w:r>
          </w:p>
        </w:tc>
      </w:tr>
      <w:tr w:rsidR="00356EEC" w:rsidRPr="003A72EE" w14:paraId="0D61E4AE" w14:textId="77777777" w:rsidTr="00AB178F">
        <w:trPr>
          <w:trHeight w:val="375"/>
        </w:trPr>
        <w:tc>
          <w:tcPr>
            <w:tcW w:w="7225" w:type="dxa"/>
            <w:tcBorders>
              <w:top w:val="nil"/>
              <w:left w:val="single" w:sz="4" w:space="0" w:color="auto"/>
              <w:bottom w:val="single" w:sz="4" w:space="0" w:color="auto"/>
              <w:right w:val="single" w:sz="4" w:space="0" w:color="auto"/>
            </w:tcBorders>
            <w:shd w:val="clear" w:color="auto" w:fill="DDEBF7"/>
            <w:vAlign w:val="center"/>
            <w:hideMark/>
          </w:tcPr>
          <w:p w14:paraId="7C66D908" w14:textId="69886C32" w:rsidR="00356EEC" w:rsidRPr="003A72EE" w:rsidRDefault="00356EEC" w:rsidP="00711D36">
            <w:pPr>
              <w:rPr>
                <w:b/>
                <w:bCs/>
                <w:noProof/>
                <w:color w:val="000000"/>
                <w:lang w:val="es-ES" w:eastAsia="en-GB"/>
              </w:rPr>
            </w:pPr>
            <w:r w:rsidRPr="003A72EE">
              <w:rPr>
                <w:b/>
                <w:bCs/>
                <w:noProof/>
                <w:color w:val="000000"/>
                <w:lang w:val="es-ES" w:eastAsia="en-GB"/>
              </w:rPr>
              <w:t xml:space="preserve">(II) </w:t>
            </w:r>
            <w:r w:rsidR="000C7F8C" w:rsidRPr="003A72EE">
              <w:rPr>
                <w:b/>
                <w:bCs/>
                <w:noProof/>
                <w:color w:val="000000"/>
                <w:lang w:val="es-ES" w:eastAsia="en-GB"/>
              </w:rPr>
              <w:t>Reserva total, aprobada y previamente comprometida</w:t>
            </w:r>
          </w:p>
        </w:tc>
        <w:tc>
          <w:tcPr>
            <w:tcW w:w="1701" w:type="dxa"/>
            <w:tcBorders>
              <w:top w:val="nil"/>
              <w:left w:val="nil"/>
              <w:bottom w:val="single" w:sz="4" w:space="0" w:color="auto"/>
              <w:right w:val="single" w:sz="4" w:space="0" w:color="auto"/>
            </w:tcBorders>
            <w:shd w:val="clear" w:color="auto" w:fill="DBE5F1"/>
            <w:noWrap/>
            <w:vAlign w:val="center"/>
            <w:hideMark/>
          </w:tcPr>
          <w:p w14:paraId="10A10C4F" w14:textId="5BD63809" w:rsidR="00356EEC" w:rsidRPr="003A72EE" w:rsidRDefault="00AD079A" w:rsidP="00711D36">
            <w:pPr>
              <w:jc w:val="right"/>
              <w:rPr>
                <w:b/>
                <w:bCs/>
                <w:noProof/>
                <w:color w:val="000000"/>
                <w:lang w:val="es-ES" w:eastAsia="en-GB"/>
              </w:rPr>
            </w:pPr>
            <w:r w:rsidRPr="003A72EE">
              <w:rPr>
                <w:b/>
                <w:bCs/>
                <w:noProof/>
                <w:color w:val="000000"/>
                <w:lang w:val="es-ES" w:eastAsia="en-GB"/>
              </w:rPr>
              <w:t>1</w:t>
            </w:r>
            <w:r w:rsidR="000C7F8C" w:rsidRPr="003A72EE">
              <w:rPr>
                <w:b/>
                <w:bCs/>
                <w:noProof/>
                <w:color w:val="000000"/>
                <w:lang w:val="es-ES" w:eastAsia="en-GB"/>
              </w:rPr>
              <w:t xml:space="preserve"> </w:t>
            </w:r>
            <w:r w:rsidRPr="003A72EE">
              <w:rPr>
                <w:b/>
                <w:bCs/>
                <w:noProof/>
                <w:color w:val="000000"/>
                <w:lang w:val="es-ES" w:eastAsia="en-GB"/>
              </w:rPr>
              <w:t>815</w:t>
            </w:r>
          </w:p>
        </w:tc>
      </w:tr>
      <w:tr w:rsidR="00356EEC" w:rsidRPr="003A72EE" w14:paraId="260A9E80" w14:textId="77777777" w:rsidTr="00AB178F">
        <w:trPr>
          <w:trHeight w:val="495"/>
        </w:trPr>
        <w:tc>
          <w:tcPr>
            <w:tcW w:w="7225" w:type="dxa"/>
            <w:tcBorders>
              <w:top w:val="nil"/>
              <w:left w:val="single" w:sz="4" w:space="0" w:color="auto"/>
              <w:bottom w:val="single" w:sz="4" w:space="0" w:color="auto"/>
              <w:right w:val="single" w:sz="4" w:space="0" w:color="auto"/>
            </w:tcBorders>
            <w:shd w:val="clear" w:color="auto" w:fill="9BC2E6"/>
            <w:vAlign w:val="center"/>
            <w:hideMark/>
          </w:tcPr>
          <w:p w14:paraId="7F8EA09A" w14:textId="7A53754A" w:rsidR="00356EEC" w:rsidRPr="003A72EE" w:rsidRDefault="00356EEC" w:rsidP="00711D36">
            <w:pPr>
              <w:rPr>
                <w:b/>
                <w:bCs/>
                <w:noProof/>
                <w:color w:val="000000"/>
                <w:lang w:val="es-ES" w:eastAsia="en-GB"/>
              </w:rPr>
            </w:pPr>
            <w:r w:rsidRPr="003A72EE">
              <w:rPr>
                <w:b/>
                <w:bCs/>
                <w:noProof/>
                <w:color w:val="000000"/>
                <w:lang w:val="es-ES" w:eastAsia="en-GB"/>
              </w:rPr>
              <w:t xml:space="preserve">(III=I-II) </w:t>
            </w:r>
            <w:r w:rsidR="000C7F8C" w:rsidRPr="003A72EE">
              <w:rPr>
                <w:b/>
                <w:bCs/>
                <w:noProof/>
                <w:color w:val="000000"/>
                <w:lang w:val="es-ES" w:eastAsia="en-GB"/>
              </w:rPr>
              <w:t>Excedente básico de 2021 después de aprobado y previamente comprometido, por asignar</w:t>
            </w:r>
          </w:p>
        </w:tc>
        <w:tc>
          <w:tcPr>
            <w:tcW w:w="1701" w:type="dxa"/>
            <w:tcBorders>
              <w:top w:val="nil"/>
              <w:left w:val="nil"/>
              <w:bottom w:val="single" w:sz="4" w:space="0" w:color="auto"/>
              <w:right w:val="single" w:sz="4" w:space="0" w:color="auto"/>
            </w:tcBorders>
            <w:shd w:val="clear" w:color="auto" w:fill="9BC2E6"/>
            <w:noWrap/>
            <w:vAlign w:val="center"/>
            <w:hideMark/>
          </w:tcPr>
          <w:p w14:paraId="1DB43965" w14:textId="3C9429F8" w:rsidR="00356EEC" w:rsidRPr="003A72EE" w:rsidRDefault="00356EEC" w:rsidP="00711D36">
            <w:pPr>
              <w:jc w:val="right"/>
              <w:rPr>
                <w:b/>
                <w:bCs/>
                <w:noProof/>
                <w:color w:val="000000"/>
                <w:lang w:val="es-ES" w:eastAsia="en-GB"/>
              </w:rPr>
            </w:pPr>
            <w:r w:rsidRPr="003A72EE">
              <w:rPr>
                <w:b/>
                <w:bCs/>
                <w:noProof/>
                <w:color w:val="000000"/>
                <w:lang w:val="es-ES" w:eastAsia="en-GB"/>
              </w:rPr>
              <w:t xml:space="preserve">                     </w:t>
            </w:r>
            <w:r w:rsidR="00AD079A" w:rsidRPr="003A72EE">
              <w:rPr>
                <w:b/>
                <w:bCs/>
                <w:noProof/>
                <w:color w:val="000000"/>
                <w:lang w:val="es-ES" w:eastAsia="en-GB"/>
              </w:rPr>
              <w:t>1</w:t>
            </w:r>
            <w:r w:rsidR="005B2F84" w:rsidRPr="003A72EE">
              <w:rPr>
                <w:b/>
                <w:bCs/>
                <w:noProof/>
                <w:color w:val="000000"/>
                <w:lang w:val="es-ES" w:eastAsia="en-GB"/>
              </w:rPr>
              <w:t>.</w:t>
            </w:r>
            <w:r w:rsidR="00AD079A" w:rsidRPr="003A72EE">
              <w:rPr>
                <w:b/>
                <w:bCs/>
                <w:noProof/>
                <w:color w:val="000000"/>
                <w:lang w:val="es-ES" w:eastAsia="en-GB"/>
              </w:rPr>
              <w:t>924</w:t>
            </w:r>
            <w:r w:rsidR="000C7F8C" w:rsidRPr="003A72EE">
              <w:rPr>
                <w:b/>
                <w:bCs/>
                <w:noProof/>
                <w:color w:val="000000"/>
                <w:lang w:val="es-ES" w:eastAsia="en-GB"/>
              </w:rPr>
              <w:t xml:space="preserve"> </w:t>
            </w:r>
            <w:r w:rsidRPr="003A72EE">
              <w:rPr>
                <w:b/>
                <w:bCs/>
                <w:noProof/>
                <w:color w:val="000000"/>
                <w:lang w:val="es-ES" w:eastAsia="en-GB"/>
              </w:rPr>
              <w:t xml:space="preserve"> </w:t>
            </w:r>
          </w:p>
        </w:tc>
      </w:tr>
    </w:tbl>
    <w:p w14:paraId="006F60EE" w14:textId="77777777" w:rsidR="00356EEC" w:rsidRPr="003A72EE" w:rsidRDefault="00356EEC" w:rsidP="00711D36">
      <w:pPr>
        <w:widowControl/>
        <w:ind w:left="426" w:hanging="426"/>
        <w:rPr>
          <w:rFonts w:asciiTheme="minorHAnsi" w:hAnsiTheme="minorHAnsi" w:cstheme="minorHAnsi"/>
          <w:noProof/>
          <w:lang w:val="es-ES"/>
        </w:rPr>
      </w:pPr>
    </w:p>
    <w:p w14:paraId="4BE6486D" w14:textId="1B1D7857" w:rsidR="00356EEC" w:rsidRPr="003A72EE" w:rsidRDefault="0079497A" w:rsidP="0079497A">
      <w:pPr>
        <w:widowControl/>
        <w:rPr>
          <w:rFonts w:asciiTheme="minorHAnsi" w:hAnsiTheme="minorHAnsi" w:cstheme="minorHAnsi"/>
          <w:noProof/>
          <w:lang w:val="es-ES"/>
        </w:rPr>
      </w:pPr>
      <w:r w:rsidRPr="003A72EE">
        <w:rPr>
          <w:rFonts w:asciiTheme="minorHAnsi" w:hAnsiTheme="minorHAnsi" w:cstheme="minorHAnsi"/>
          <w:noProof/>
          <w:lang w:val="es-ES"/>
        </w:rPr>
        <w:t>La Secretaria General enumeró las opciones para el posible uso de los ahorros de 2021</w:t>
      </w:r>
      <w:r w:rsidR="00A72214" w:rsidRPr="003A72EE">
        <w:rPr>
          <w:rFonts w:asciiTheme="minorHAnsi" w:hAnsiTheme="minorHAnsi" w:cstheme="minorHAnsi"/>
          <w:noProof/>
          <w:lang w:val="es-ES"/>
        </w:rPr>
        <w:t>,</w:t>
      </w:r>
      <w:r w:rsidRPr="003A72EE">
        <w:rPr>
          <w:rFonts w:asciiTheme="minorHAnsi" w:hAnsiTheme="minorHAnsi" w:cstheme="minorHAnsi"/>
          <w:noProof/>
          <w:lang w:val="es-ES"/>
        </w:rPr>
        <w:t xml:space="preserve"> sugerido en el párrafo 40 del documento SC59/2022 Doc.8.1. En cuanto a la opción c) sobre la financiación de los gastos de viaje de los delegados patrocinados </w:t>
      </w:r>
      <w:r w:rsidR="00BF444B" w:rsidRPr="003A72EE">
        <w:rPr>
          <w:rFonts w:asciiTheme="minorHAnsi" w:hAnsiTheme="minorHAnsi" w:cstheme="minorHAnsi"/>
          <w:noProof/>
          <w:lang w:val="es-ES"/>
        </w:rPr>
        <w:t>que asistirán</w:t>
      </w:r>
      <w:r w:rsidR="00A72214" w:rsidRPr="003A72EE">
        <w:rPr>
          <w:rFonts w:asciiTheme="minorHAnsi" w:hAnsiTheme="minorHAnsi" w:cstheme="minorHAnsi"/>
          <w:noProof/>
          <w:lang w:val="es-ES"/>
        </w:rPr>
        <w:t xml:space="preserve"> </w:t>
      </w:r>
      <w:r w:rsidR="00BF444B" w:rsidRPr="003A72EE">
        <w:rPr>
          <w:rFonts w:asciiTheme="minorHAnsi" w:hAnsiTheme="minorHAnsi" w:cstheme="minorHAnsi"/>
          <w:noProof/>
          <w:lang w:val="es-ES"/>
        </w:rPr>
        <w:t>a</w:t>
      </w:r>
      <w:r w:rsidRPr="003A72EE">
        <w:rPr>
          <w:rFonts w:asciiTheme="minorHAnsi" w:hAnsiTheme="minorHAnsi" w:cstheme="minorHAnsi"/>
          <w:noProof/>
          <w:lang w:val="es-ES"/>
        </w:rPr>
        <w:t xml:space="preserve"> la COP14, la Secretaría explicó que</w:t>
      </w:r>
      <w:r w:rsidR="00BF444B" w:rsidRPr="003A72EE">
        <w:rPr>
          <w:rFonts w:asciiTheme="minorHAnsi" w:hAnsiTheme="minorHAnsi" w:cstheme="minorHAnsi"/>
          <w:noProof/>
          <w:lang w:val="es-ES"/>
        </w:rPr>
        <w:t xml:space="preserve"> no será fácil</w:t>
      </w:r>
      <w:r w:rsidRPr="003A72EE">
        <w:rPr>
          <w:rFonts w:asciiTheme="minorHAnsi" w:hAnsiTheme="minorHAnsi" w:cstheme="minorHAnsi"/>
          <w:noProof/>
          <w:lang w:val="es-ES"/>
        </w:rPr>
        <w:t xml:space="preserve"> </w:t>
      </w:r>
      <w:r w:rsidR="00BF444B" w:rsidRPr="003A72EE">
        <w:rPr>
          <w:rFonts w:asciiTheme="minorHAnsi" w:hAnsiTheme="minorHAnsi" w:cstheme="minorHAnsi"/>
          <w:noProof/>
          <w:lang w:val="es-ES"/>
        </w:rPr>
        <w:t>recaudar</w:t>
      </w:r>
      <w:r w:rsidRPr="003A72EE">
        <w:rPr>
          <w:rFonts w:asciiTheme="minorHAnsi" w:hAnsiTheme="minorHAnsi" w:cstheme="minorHAnsi"/>
          <w:noProof/>
          <w:lang w:val="es-ES"/>
        </w:rPr>
        <w:t xml:space="preserve"> la totalidad de los </w:t>
      </w:r>
      <w:r w:rsidR="00BF444B" w:rsidRPr="003A72EE">
        <w:rPr>
          <w:rFonts w:asciiTheme="minorHAnsi" w:hAnsiTheme="minorHAnsi" w:cstheme="minorHAnsi"/>
          <w:noProof/>
          <w:lang w:val="es-ES"/>
        </w:rPr>
        <w:t>fondos</w:t>
      </w:r>
      <w:r w:rsidR="00AC4DCB" w:rsidRPr="003A72EE">
        <w:rPr>
          <w:rFonts w:asciiTheme="minorHAnsi" w:hAnsiTheme="minorHAnsi" w:cstheme="minorHAnsi"/>
          <w:noProof/>
          <w:lang w:val="es-ES"/>
        </w:rPr>
        <w:t xml:space="preserve"> necesarios</w:t>
      </w:r>
      <w:r w:rsidR="00A72214" w:rsidRPr="003A72EE">
        <w:rPr>
          <w:rFonts w:asciiTheme="minorHAnsi" w:hAnsiTheme="minorHAnsi" w:cstheme="minorHAnsi"/>
          <w:noProof/>
          <w:lang w:val="es-ES"/>
        </w:rPr>
        <w:t xml:space="preserve">, </w:t>
      </w:r>
      <w:r w:rsidR="00AC4DCB" w:rsidRPr="003A72EE">
        <w:rPr>
          <w:rFonts w:asciiTheme="minorHAnsi" w:hAnsiTheme="minorHAnsi" w:cstheme="minorHAnsi"/>
          <w:noProof/>
          <w:lang w:val="es-ES"/>
        </w:rPr>
        <w:t>teniendo en cuenta</w:t>
      </w:r>
      <w:r w:rsidR="00A72214" w:rsidRPr="003A72EE">
        <w:rPr>
          <w:rFonts w:asciiTheme="minorHAnsi" w:hAnsiTheme="minorHAnsi" w:cstheme="minorHAnsi"/>
          <w:noProof/>
          <w:lang w:val="es-ES"/>
        </w:rPr>
        <w:t xml:space="preserve"> </w:t>
      </w:r>
      <w:r w:rsidRPr="003A72EE">
        <w:rPr>
          <w:rFonts w:asciiTheme="minorHAnsi" w:hAnsiTheme="minorHAnsi" w:cstheme="minorHAnsi"/>
          <w:noProof/>
          <w:lang w:val="es-ES"/>
        </w:rPr>
        <w:t xml:space="preserve">el </w:t>
      </w:r>
      <w:r w:rsidR="00AC4DCB" w:rsidRPr="003A72EE">
        <w:rPr>
          <w:rFonts w:asciiTheme="minorHAnsi" w:hAnsiTheme="minorHAnsi" w:cstheme="minorHAnsi"/>
          <w:noProof/>
          <w:lang w:val="es-ES"/>
        </w:rPr>
        <w:t xml:space="preserve">gran </w:t>
      </w:r>
      <w:r w:rsidRPr="003A72EE">
        <w:rPr>
          <w:rFonts w:asciiTheme="minorHAnsi" w:hAnsiTheme="minorHAnsi" w:cstheme="minorHAnsi"/>
          <w:noProof/>
          <w:lang w:val="es-ES"/>
        </w:rPr>
        <w:t xml:space="preserve">número de reuniones internacionales que se </w:t>
      </w:r>
      <w:r w:rsidR="00AC4DCB" w:rsidRPr="003A72EE">
        <w:rPr>
          <w:rFonts w:asciiTheme="minorHAnsi" w:hAnsiTheme="minorHAnsi" w:cstheme="minorHAnsi"/>
          <w:noProof/>
          <w:lang w:val="es-ES"/>
        </w:rPr>
        <w:t>celebrarán en 2022,</w:t>
      </w:r>
      <w:r w:rsidRPr="003A72EE">
        <w:rPr>
          <w:rFonts w:asciiTheme="minorHAnsi" w:hAnsiTheme="minorHAnsi" w:cstheme="minorHAnsi"/>
          <w:noProof/>
          <w:lang w:val="es-ES"/>
        </w:rPr>
        <w:t xml:space="preserve"> </w:t>
      </w:r>
      <w:r w:rsidR="00AC4DCB" w:rsidRPr="003A72EE">
        <w:rPr>
          <w:rFonts w:asciiTheme="minorHAnsi" w:hAnsiTheme="minorHAnsi" w:cstheme="minorHAnsi"/>
          <w:noProof/>
          <w:lang w:val="es-ES"/>
        </w:rPr>
        <w:t xml:space="preserve">para </w:t>
      </w:r>
      <w:r w:rsidRPr="003A72EE">
        <w:rPr>
          <w:rFonts w:asciiTheme="minorHAnsi" w:hAnsiTheme="minorHAnsi" w:cstheme="minorHAnsi"/>
          <w:noProof/>
          <w:lang w:val="es-ES"/>
        </w:rPr>
        <w:t xml:space="preserve">las que otras Secretarías </w:t>
      </w:r>
      <w:r w:rsidR="00A72214" w:rsidRPr="003A72EE">
        <w:rPr>
          <w:rFonts w:asciiTheme="minorHAnsi" w:hAnsiTheme="minorHAnsi" w:cstheme="minorHAnsi"/>
          <w:noProof/>
          <w:lang w:val="es-ES"/>
        </w:rPr>
        <w:t>han</w:t>
      </w:r>
      <w:r w:rsidRPr="003A72EE">
        <w:rPr>
          <w:rFonts w:asciiTheme="minorHAnsi" w:hAnsiTheme="minorHAnsi" w:cstheme="minorHAnsi"/>
          <w:noProof/>
          <w:lang w:val="es-ES"/>
        </w:rPr>
        <w:t xml:space="preserve"> recaudado fondos</w:t>
      </w:r>
      <w:r w:rsidR="00A72214" w:rsidRPr="003A72EE">
        <w:rPr>
          <w:rFonts w:asciiTheme="minorHAnsi" w:hAnsiTheme="minorHAnsi" w:cstheme="minorHAnsi"/>
          <w:noProof/>
          <w:lang w:val="es-ES"/>
        </w:rPr>
        <w:t>,</w:t>
      </w:r>
      <w:r w:rsidRPr="003A72EE">
        <w:rPr>
          <w:rFonts w:asciiTheme="minorHAnsi" w:hAnsiTheme="minorHAnsi" w:cstheme="minorHAnsi"/>
          <w:noProof/>
          <w:lang w:val="es-ES"/>
        </w:rPr>
        <w:t xml:space="preserve"> </w:t>
      </w:r>
      <w:r w:rsidR="00AC4DCB" w:rsidRPr="003A72EE">
        <w:rPr>
          <w:rFonts w:asciiTheme="minorHAnsi" w:hAnsiTheme="minorHAnsi" w:cstheme="minorHAnsi"/>
          <w:noProof/>
          <w:lang w:val="es-ES"/>
        </w:rPr>
        <w:t>así como</w:t>
      </w:r>
      <w:r w:rsidRPr="003A72EE">
        <w:rPr>
          <w:rFonts w:asciiTheme="minorHAnsi" w:hAnsiTheme="minorHAnsi" w:cstheme="minorHAnsi"/>
          <w:noProof/>
          <w:lang w:val="es-ES"/>
        </w:rPr>
        <w:t xml:space="preserve"> </w:t>
      </w:r>
      <w:r w:rsidR="00A72214" w:rsidRPr="003A72EE">
        <w:rPr>
          <w:rFonts w:asciiTheme="minorHAnsi" w:hAnsiTheme="minorHAnsi" w:cstheme="minorHAnsi"/>
          <w:noProof/>
          <w:lang w:val="es-ES"/>
        </w:rPr>
        <w:t>las repercusiones</w:t>
      </w:r>
      <w:r w:rsidRPr="003A72EE">
        <w:rPr>
          <w:rFonts w:asciiTheme="minorHAnsi" w:hAnsiTheme="minorHAnsi" w:cstheme="minorHAnsi"/>
          <w:noProof/>
          <w:lang w:val="es-ES"/>
        </w:rPr>
        <w:t xml:space="preserve"> económic</w:t>
      </w:r>
      <w:r w:rsidR="00A72214" w:rsidRPr="003A72EE">
        <w:rPr>
          <w:rFonts w:asciiTheme="minorHAnsi" w:hAnsiTheme="minorHAnsi" w:cstheme="minorHAnsi"/>
          <w:noProof/>
          <w:lang w:val="es-ES"/>
        </w:rPr>
        <w:t>as derivadas</w:t>
      </w:r>
      <w:r w:rsidRPr="003A72EE">
        <w:rPr>
          <w:rFonts w:asciiTheme="minorHAnsi" w:hAnsiTheme="minorHAnsi" w:cstheme="minorHAnsi"/>
          <w:noProof/>
          <w:lang w:val="es-ES"/>
        </w:rPr>
        <w:t xml:space="preserve"> de la pandemia</w:t>
      </w:r>
      <w:r w:rsidR="00A72214" w:rsidRPr="003A72EE">
        <w:rPr>
          <w:rFonts w:asciiTheme="minorHAnsi" w:hAnsiTheme="minorHAnsi" w:cstheme="minorHAnsi"/>
          <w:noProof/>
          <w:lang w:val="es-ES"/>
        </w:rPr>
        <w:t xml:space="preserve"> del</w:t>
      </w:r>
      <w:r w:rsidRPr="003A72EE">
        <w:rPr>
          <w:rFonts w:asciiTheme="minorHAnsi" w:hAnsiTheme="minorHAnsi" w:cstheme="minorHAnsi"/>
          <w:noProof/>
          <w:lang w:val="es-ES"/>
        </w:rPr>
        <w:t xml:space="preserve"> COVID-19. El Subgrupo expresó </w:t>
      </w:r>
      <w:r w:rsidR="00A72214" w:rsidRPr="003A72EE">
        <w:rPr>
          <w:rFonts w:asciiTheme="minorHAnsi" w:hAnsiTheme="minorHAnsi" w:cstheme="minorHAnsi"/>
          <w:noProof/>
          <w:lang w:val="es-ES"/>
        </w:rPr>
        <w:t xml:space="preserve">que prefería </w:t>
      </w:r>
      <w:r w:rsidRPr="003A72EE">
        <w:rPr>
          <w:rFonts w:asciiTheme="minorHAnsi" w:hAnsiTheme="minorHAnsi" w:cstheme="minorHAnsi"/>
          <w:noProof/>
          <w:lang w:val="es-ES"/>
        </w:rPr>
        <w:t xml:space="preserve">que las partidas </w:t>
      </w:r>
      <w:r w:rsidR="00A72214" w:rsidRPr="003A72EE">
        <w:rPr>
          <w:rFonts w:asciiTheme="minorHAnsi" w:hAnsiTheme="minorHAnsi" w:cstheme="minorHAnsi"/>
          <w:noProof/>
          <w:lang w:val="es-ES"/>
        </w:rPr>
        <w:t>presupuestarias</w:t>
      </w:r>
      <w:r w:rsidRPr="003A72EE">
        <w:rPr>
          <w:rFonts w:asciiTheme="minorHAnsi" w:hAnsiTheme="minorHAnsi" w:cstheme="minorHAnsi"/>
          <w:noProof/>
          <w:lang w:val="es-ES"/>
        </w:rPr>
        <w:t xml:space="preserve"> </w:t>
      </w:r>
      <w:r w:rsidR="00AC4DCB" w:rsidRPr="003A72EE">
        <w:rPr>
          <w:rFonts w:asciiTheme="minorHAnsi" w:hAnsiTheme="minorHAnsi" w:cstheme="minorHAnsi"/>
          <w:noProof/>
          <w:lang w:val="es-ES"/>
        </w:rPr>
        <w:t>complementarias</w:t>
      </w:r>
      <w:r w:rsidRPr="003A72EE">
        <w:rPr>
          <w:rFonts w:asciiTheme="minorHAnsi" w:hAnsiTheme="minorHAnsi" w:cstheme="minorHAnsi"/>
          <w:noProof/>
          <w:lang w:val="es-ES"/>
        </w:rPr>
        <w:t xml:space="preserve"> se sigan </w:t>
      </w:r>
      <w:r w:rsidR="00A72214" w:rsidRPr="003A72EE">
        <w:rPr>
          <w:rFonts w:asciiTheme="minorHAnsi" w:hAnsiTheme="minorHAnsi" w:cstheme="minorHAnsi"/>
          <w:noProof/>
          <w:lang w:val="es-ES"/>
        </w:rPr>
        <w:t>sufragando</w:t>
      </w:r>
      <w:r w:rsidRPr="003A72EE">
        <w:rPr>
          <w:rFonts w:asciiTheme="minorHAnsi" w:hAnsiTheme="minorHAnsi" w:cstheme="minorHAnsi"/>
          <w:noProof/>
          <w:lang w:val="es-ES"/>
        </w:rPr>
        <w:t xml:space="preserve"> con recursos </w:t>
      </w:r>
      <w:r w:rsidR="00AC4DCB" w:rsidRPr="003A72EE">
        <w:rPr>
          <w:rFonts w:asciiTheme="minorHAnsi" w:hAnsiTheme="minorHAnsi" w:cstheme="minorHAnsi"/>
          <w:noProof/>
          <w:lang w:val="es-ES"/>
        </w:rPr>
        <w:t>complementarios</w:t>
      </w:r>
      <w:r w:rsidRPr="003A72EE">
        <w:rPr>
          <w:rFonts w:asciiTheme="minorHAnsi" w:hAnsiTheme="minorHAnsi" w:cstheme="minorHAnsi"/>
          <w:noProof/>
          <w:lang w:val="es-ES"/>
        </w:rPr>
        <w:t xml:space="preserve">. </w:t>
      </w:r>
      <w:r w:rsidR="00BF444B" w:rsidRPr="003A72EE">
        <w:rPr>
          <w:rFonts w:asciiTheme="minorHAnsi" w:hAnsiTheme="minorHAnsi" w:cstheme="minorHAnsi"/>
          <w:noProof/>
          <w:lang w:val="es-ES"/>
        </w:rPr>
        <w:t>El Subgrupo confía</w:t>
      </w:r>
      <w:r w:rsidRPr="003A72EE">
        <w:rPr>
          <w:rFonts w:asciiTheme="minorHAnsi" w:hAnsiTheme="minorHAnsi" w:cstheme="minorHAnsi"/>
          <w:noProof/>
          <w:lang w:val="es-ES"/>
        </w:rPr>
        <w:t xml:space="preserve"> en que la Secretaría contin</w:t>
      </w:r>
      <w:r w:rsidR="00AC4DCB" w:rsidRPr="003A72EE">
        <w:rPr>
          <w:rFonts w:asciiTheme="minorHAnsi" w:hAnsiTheme="minorHAnsi" w:cstheme="minorHAnsi"/>
          <w:noProof/>
          <w:lang w:val="es-ES"/>
        </w:rPr>
        <w:t>uará</w:t>
      </w:r>
      <w:r w:rsidRPr="003A72EE">
        <w:rPr>
          <w:rFonts w:asciiTheme="minorHAnsi" w:hAnsiTheme="minorHAnsi" w:cstheme="minorHAnsi"/>
          <w:noProof/>
          <w:lang w:val="es-ES"/>
        </w:rPr>
        <w:t xml:space="preserve"> con sus esfuerzos de recaudación de fondos para este fin.</w:t>
      </w:r>
    </w:p>
    <w:p w14:paraId="1067A140" w14:textId="77777777" w:rsidR="0079497A" w:rsidRPr="003A72EE" w:rsidRDefault="0079497A" w:rsidP="0079497A">
      <w:pPr>
        <w:widowControl/>
        <w:rPr>
          <w:rFonts w:asciiTheme="minorHAnsi" w:hAnsiTheme="minorHAnsi" w:cstheme="minorHAnsi"/>
          <w:noProof/>
          <w:lang w:val="es-ES"/>
        </w:rPr>
      </w:pPr>
    </w:p>
    <w:p w14:paraId="324F3E63" w14:textId="118EF1AD" w:rsidR="00D32871" w:rsidRPr="003A72EE" w:rsidRDefault="00AC4DCB" w:rsidP="0052223D">
      <w:pPr>
        <w:widowControl/>
        <w:rPr>
          <w:rFonts w:asciiTheme="minorHAnsi" w:hAnsiTheme="minorHAnsi" w:cstheme="minorHAnsi"/>
          <w:noProof/>
          <w:lang w:val="es-ES"/>
        </w:rPr>
      </w:pPr>
      <w:r w:rsidRPr="003A72EE">
        <w:rPr>
          <w:rFonts w:asciiTheme="minorHAnsi" w:hAnsiTheme="minorHAnsi" w:cstheme="minorHAnsi"/>
          <w:noProof/>
          <w:lang w:val="es-ES"/>
        </w:rPr>
        <w:t xml:space="preserve">El grupo aprobó la opción a) de asignar 228 000 francos suizos para compensar el déficit existente en el presupuesto básico para las actividades principales de la Secretaría en el trienio 2023-2025. El Subgrupo sugirió que era prematuro considerar la opción b) de asignar recursos adicionales para la consolidación de las resoluciones, ya que </w:t>
      </w:r>
      <w:r w:rsidR="00AB2BC6" w:rsidRPr="003A72EE">
        <w:rPr>
          <w:rFonts w:asciiTheme="minorHAnsi" w:hAnsiTheme="minorHAnsi" w:cstheme="minorHAnsi"/>
          <w:noProof/>
          <w:lang w:val="es-ES"/>
        </w:rPr>
        <w:t xml:space="preserve">ello debería </w:t>
      </w:r>
      <w:r w:rsidR="001F74B2" w:rsidRPr="003A72EE">
        <w:rPr>
          <w:rFonts w:asciiTheme="minorHAnsi" w:hAnsiTheme="minorHAnsi" w:cstheme="minorHAnsi"/>
          <w:noProof/>
          <w:lang w:val="es-ES"/>
        </w:rPr>
        <w:t>someterse a debates adicionales</w:t>
      </w:r>
      <w:r w:rsidRPr="003A72EE">
        <w:rPr>
          <w:rFonts w:asciiTheme="minorHAnsi" w:hAnsiTheme="minorHAnsi" w:cstheme="minorHAnsi"/>
          <w:noProof/>
          <w:lang w:val="es-ES"/>
        </w:rPr>
        <w:t xml:space="preserve"> y</w:t>
      </w:r>
      <w:r w:rsidR="00AB2BC6" w:rsidRPr="003A72EE">
        <w:rPr>
          <w:rFonts w:asciiTheme="minorHAnsi" w:hAnsiTheme="minorHAnsi" w:cstheme="minorHAnsi"/>
          <w:noProof/>
          <w:lang w:val="es-ES"/>
        </w:rPr>
        <w:t xml:space="preserve"> dependería de</w:t>
      </w:r>
      <w:r w:rsidRPr="003A72EE">
        <w:rPr>
          <w:rFonts w:asciiTheme="minorHAnsi" w:hAnsiTheme="minorHAnsi" w:cstheme="minorHAnsi"/>
          <w:noProof/>
          <w:lang w:val="es-ES"/>
        </w:rPr>
        <w:t xml:space="preserve"> </w:t>
      </w:r>
      <w:r w:rsidR="00AB2BC6" w:rsidRPr="003A72EE">
        <w:rPr>
          <w:rFonts w:asciiTheme="minorHAnsi" w:hAnsiTheme="minorHAnsi" w:cstheme="minorHAnsi"/>
          <w:noProof/>
          <w:lang w:val="es-ES"/>
        </w:rPr>
        <w:t>la</w:t>
      </w:r>
      <w:r w:rsidRPr="003A72EE">
        <w:rPr>
          <w:rFonts w:asciiTheme="minorHAnsi" w:hAnsiTheme="minorHAnsi" w:cstheme="minorHAnsi"/>
          <w:noProof/>
          <w:lang w:val="es-ES"/>
        </w:rPr>
        <w:t xml:space="preserve"> </w:t>
      </w:r>
      <w:r w:rsidR="001F74B2" w:rsidRPr="003A72EE">
        <w:rPr>
          <w:rFonts w:asciiTheme="minorHAnsi" w:hAnsiTheme="minorHAnsi" w:cstheme="minorHAnsi"/>
          <w:noProof/>
          <w:lang w:val="es-ES"/>
        </w:rPr>
        <w:t>aprobación por parte</w:t>
      </w:r>
      <w:r w:rsidRPr="003A72EE">
        <w:rPr>
          <w:rFonts w:asciiTheme="minorHAnsi" w:hAnsiTheme="minorHAnsi" w:cstheme="minorHAnsi"/>
          <w:noProof/>
          <w:lang w:val="es-ES"/>
        </w:rPr>
        <w:t xml:space="preserve"> del Comité Permanente.</w:t>
      </w:r>
    </w:p>
    <w:p w14:paraId="186E76BF" w14:textId="77777777" w:rsidR="00AC4DCB" w:rsidRPr="003A72EE" w:rsidRDefault="00AC4DCB" w:rsidP="0052223D">
      <w:pPr>
        <w:widowControl/>
        <w:rPr>
          <w:noProof/>
          <w:lang w:val="es-ES"/>
        </w:rPr>
      </w:pPr>
    </w:p>
    <w:p w14:paraId="012EC8FB" w14:textId="51A55F93" w:rsidR="00C77D35" w:rsidRPr="003A72EE" w:rsidRDefault="001F74B2" w:rsidP="0052223D">
      <w:pPr>
        <w:widowControl/>
        <w:rPr>
          <w:noProof/>
          <w:lang w:val="es-ES"/>
        </w:rPr>
      </w:pPr>
      <w:r w:rsidRPr="003A72EE">
        <w:rPr>
          <w:noProof/>
          <w:lang w:val="es-ES"/>
        </w:rPr>
        <w:t>El Subgrupo también aprobó la asignación de 360 000 francos suizos para el aumento de las provisiones pendientes, con la condición de que cualquier parte no utilizada se devuelva al excedente para su asignación al final de cada año dentro del trienio 2023-2025.</w:t>
      </w:r>
    </w:p>
    <w:p w14:paraId="3D409B01" w14:textId="77777777" w:rsidR="001F74B2" w:rsidRPr="003A72EE" w:rsidRDefault="001F74B2" w:rsidP="0052223D">
      <w:pPr>
        <w:widowControl/>
        <w:rPr>
          <w:noProof/>
          <w:lang w:val="es-ES"/>
        </w:rPr>
      </w:pPr>
    </w:p>
    <w:p w14:paraId="437CC46B" w14:textId="15E07D4F" w:rsidR="00763865" w:rsidRPr="003A72EE" w:rsidRDefault="001F74B2" w:rsidP="0052223D">
      <w:pPr>
        <w:widowControl/>
        <w:rPr>
          <w:noProof/>
          <w:lang w:val="es-ES"/>
        </w:rPr>
      </w:pPr>
      <w:r w:rsidRPr="003A72EE">
        <w:rPr>
          <w:noProof/>
          <w:lang w:val="es-ES"/>
        </w:rPr>
        <w:t xml:space="preserve">La Secretaria General presentó la propuesta de asignar los saldos restantes del </w:t>
      </w:r>
      <w:r w:rsidR="00352A0B" w:rsidRPr="003A72EE">
        <w:rPr>
          <w:noProof/>
          <w:lang w:val="es-ES"/>
        </w:rPr>
        <w:t xml:space="preserve">“Presupuesto para 2020 aprobado por la reunión SC58 y ahorros no comprometidos traspasados al año siguiente” </w:t>
      </w:r>
      <w:r w:rsidRPr="003A72EE">
        <w:rPr>
          <w:noProof/>
          <w:lang w:val="es-ES"/>
        </w:rPr>
        <w:t xml:space="preserve">como ahorros adicionales del fondo de reserva. El Subgrupo expresó que estos recursos deberían mantenerse en el </w:t>
      </w:r>
      <w:r w:rsidR="00352A0B" w:rsidRPr="003A72EE">
        <w:rPr>
          <w:noProof/>
          <w:lang w:val="es-ES"/>
        </w:rPr>
        <w:t>excedente</w:t>
      </w:r>
      <w:r w:rsidRPr="003A72EE">
        <w:rPr>
          <w:noProof/>
          <w:lang w:val="es-ES"/>
        </w:rPr>
        <w:t xml:space="preserve"> para </w:t>
      </w:r>
      <w:r w:rsidR="00352A0B" w:rsidRPr="003A72EE">
        <w:rPr>
          <w:noProof/>
          <w:lang w:val="es-ES"/>
        </w:rPr>
        <w:t xml:space="preserve">su asignación por </w:t>
      </w:r>
      <w:r w:rsidRPr="003A72EE">
        <w:rPr>
          <w:noProof/>
          <w:lang w:val="es-ES"/>
        </w:rPr>
        <w:t>el Comité Permanente</w:t>
      </w:r>
      <w:r w:rsidR="00352A0B" w:rsidRPr="003A72EE">
        <w:rPr>
          <w:noProof/>
          <w:lang w:val="es-ES"/>
        </w:rPr>
        <w:t xml:space="preserve">, en vez de la creación de una </w:t>
      </w:r>
      <w:r w:rsidRPr="003A72EE">
        <w:rPr>
          <w:noProof/>
          <w:lang w:val="es-ES"/>
        </w:rPr>
        <w:t>nueva reserva operativa, en ausencia de una política de reserva pertinente.</w:t>
      </w:r>
    </w:p>
    <w:p w14:paraId="1679A6B9" w14:textId="53FDCEEA" w:rsidR="00AD079A" w:rsidRPr="003A72EE" w:rsidRDefault="00AD079A" w:rsidP="00763865">
      <w:pPr>
        <w:widowControl/>
        <w:rPr>
          <w:noProof/>
          <w:lang w:val="es-ES"/>
        </w:rPr>
      </w:pPr>
    </w:p>
    <w:p w14:paraId="45CDE275" w14:textId="5DE5D1E6" w:rsidR="00352A0B" w:rsidRPr="003A72EE" w:rsidRDefault="00352A0B" w:rsidP="00763865">
      <w:pPr>
        <w:widowControl/>
        <w:rPr>
          <w:noProof/>
          <w:lang w:val="es-ES"/>
        </w:rPr>
      </w:pPr>
      <w:r w:rsidRPr="003A72EE">
        <w:rPr>
          <w:noProof/>
          <w:lang w:val="es-ES"/>
        </w:rPr>
        <w:t>El Subgrupo recomendó que el Comité Permanente aprobara la asignación del excedente de 2021 tal como se resume en el Cuadro 2 que figura a continuación y en el Anexo 1 del presente informe:</w:t>
      </w:r>
    </w:p>
    <w:p w14:paraId="750295F0" w14:textId="3AAE4991" w:rsidR="002E00B9" w:rsidRPr="003A72EE" w:rsidRDefault="002E00B9" w:rsidP="00763865">
      <w:pPr>
        <w:widowControl/>
        <w:rPr>
          <w:noProof/>
          <w:lang w:val="es-ES"/>
        </w:rPr>
      </w:pPr>
    </w:p>
    <w:p w14:paraId="4B491984" w14:textId="6C368784" w:rsidR="002E00B9" w:rsidRPr="003A72EE" w:rsidRDefault="00352A0B" w:rsidP="00763865">
      <w:pPr>
        <w:widowControl/>
        <w:rPr>
          <w:noProof/>
          <w:lang w:val="es-ES"/>
        </w:rPr>
      </w:pPr>
      <w:r w:rsidRPr="003A72EE">
        <w:rPr>
          <w:i/>
          <w:noProof/>
          <w:lang w:val="es-ES"/>
        </w:rPr>
        <w:t>Cuadro</w:t>
      </w:r>
      <w:r w:rsidR="002E00B9" w:rsidRPr="003A72EE">
        <w:rPr>
          <w:i/>
          <w:noProof/>
          <w:lang w:val="es-ES"/>
        </w:rPr>
        <w:t xml:space="preserve"> </w:t>
      </w:r>
      <w:r w:rsidR="00426C7C" w:rsidRPr="003A72EE">
        <w:rPr>
          <w:i/>
          <w:noProof/>
          <w:lang w:val="es-ES"/>
        </w:rPr>
        <w:t>2</w:t>
      </w:r>
      <w:r w:rsidR="002E00B9" w:rsidRPr="003A72EE">
        <w:rPr>
          <w:i/>
          <w:noProof/>
          <w:lang w:val="es-ES"/>
        </w:rPr>
        <w:t xml:space="preserve">: </w:t>
      </w:r>
      <w:r w:rsidRPr="003A72EE">
        <w:rPr>
          <w:i/>
          <w:noProof/>
          <w:lang w:val="es-ES"/>
        </w:rPr>
        <w:t xml:space="preserve">Asignación del excedente del presupuesto básico de </w:t>
      </w:r>
      <w:r w:rsidR="002E00B9" w:rsidRPr="003A72EE">
        <w:rPr>
          <w:i/>
          <w:noProof/>
          <w:lang w:val="es-ES"/>
        </w:rPr>
        <w:t>2021 (</w:t>
      </w:r>
      <w:r w:rsidRPr="003A72EE">
        <w:rPr>
          <w:i/>
          <w:noProof/>
          <w:lang w:val="es-ES"/>
        </w:rPr>
        <w:t>en miles de francos suizos</w:t>
      </w:r>
      <w:r w:rsidR="002E00B9" w:rsidRPr="003A72EE">
        <w:rPr>
          <w:i/>
          <w:noProof/>
          <w:lang w:val="es-ES"/>
        </w:rPr>
        <w:t>)</w:t>
      </w:r>
    </w:p>
    <w:tbl>
      <w:tblPr>
        <w:tblW w:w="8931" w:type="dxa"/>
        <w:tblInd w:w="-5" w:type="dxa"/>
        <w:tblLook w:val="04A0" w:firstRow="1" w:lastRow="0" w:firstColumn="1" w:lastColumn="0" w:noHBand="0" w:noVBand="1"/>
      </w:tblPr>
      <w:tblGrid>
        <w:gridCol w:w="7797"/>
        <w:gridCol w:w="1134"/>
      </w:tblGrid>
      <w:tr w:rsidR="00AD079A" w:rsidRPr="003A72EE" w14:paraId="33ADCE0D" w14:textId="77777777" w:rsidTr="00951EDA">
        <w:trPr>
          <w:trHeight w:val="575"/>
        </w:trPr>
        <w:tc>
          <w:tcPr>
            <w:tcW w:w="7797" w:type="dxa"/>
            <w:tcBorders>
              <w:top w:val="single" w:sz="4" w:space="0" w:color="auto"/>
              <w:left w:val="single" w:sz="4" w:space="0" w:color="auto"/>
              <w:bottom w:val="single" w:sz="4" w:space="0" w:color="auto"/>
              <w:right w:val="single" w:sz="4" w:space="0" w:color="auto"/>
            </w:tcBorders>
            <w:shd w:val="clear" w:color="000000" w:fill="D9E2F3" w:themeFill="accent5" w:themeFillTint="33"/>
            <w:vAlign w:val="center"/>
            <w:hideMark/>
          </w:tcPr>
          <w:p w14:paraId="24F3BCCF" w14:textId="179D85D3" w:rsidR="00AD079A" w:rsidRPr="003A72EE" w:rsidRDefault="002E00B9" w:rsidP="00AD079A">
            <w:pPr>
              <w:widowControl/>
              <w:autoSpaceDE/>
              <w:autoSpaceDN/>
              <w:rPr>
                <w:b/>
                <w:bCs/>
                <w:noProof/>
                <w:lang w:val="es-ES" w:eastAsia="en-GB"/>
              </w:rPr>
            </w:pPr>
            <w:r w:rsidRPr="003A72EE" w:rsidDel="002E00B9">
              <w:rPr>
                <w:noProof/>
                <w:lang w:val="es-ES"/>
              </w:rPr>
              <w:t xml:space="preserve"> </w:t>
            </w:r>
            <w:r w:rsidR="00AD079A" w:rsidRPr="003A72EE">
              <w:rPr>
                <w:b/>
                <w:bCs/>
                <w:noProof/>
                <w:lang w:val="es-ES" w:eastAsia="en-GB"/>
              </w:rPr>
              <w:t xml:space="preserve">(I) SC59/2022 </w:t>
            </w:r>
            <w:r w:rsidR="00352A0B" w:rsidRPr="003A72EE">
              <w:rPr>
                <w:b/>
                <w:bCs/>
                <w:noProof/>
                <w:lang w:val="es-ES" w:eastAsia="en-GB"/>
              </w:rPr>
              <w:t xml:space="preserve">Asignación de excedentes del presupuesto básico: </w:t>
            </w:r>
          </w:p>
        </w:tc>
        <w:tc>
          <w:tcPr>
            <w:tcW w:w="1134" w:type="dxa"/>
            <w:tcBorders>
              <w:top w:val="single" w:sz="4" w:space="0" w:color="auto"/>
              <w:left w:val="nil"/>
              <w:bottom w:val="single" w:sz="4" w:space="0" w:color="auto"/>
              <w:right w:val="single" w:sz="4" w:space="0" w:color="auto"/>
            </w:tcBorders>
            <w:shd w:val="clear" w:color="000000" w:fill="D9E2F3" w:themeFill="accent5" w:themeFillTint="33"/>
            <w:noWrap/>
            <w:vAlign w:val="center"/>
            <w:hideMark/>
          </w:tcPr>
          <w:p w14:paraId="359F19CE" w14:textId="226655EF" w:rsidR="00AD079A" w:rsidRPr="003A72EE" w:rsidRDefault="00AD079A" w:rsidP="002E00B9">
            <w:pPr>
              <w:widowControl/>
              <w:autoSpaceDE/>
              <w:autoSpaceDN/>
              <w:jc w:val="right"/>
              <w:rPr>
                <w:b/>
                <w:bCs/>
                <w:noProof/>
                <w:color w:val="000000"/>
                <w:lang w:val="es-ES" w:eastAsia="en-GB"/>
              </w:rPr>
            </w:pPr>
            <w:r w:rsidRPr="003A72EE">
              <w:rPr>
                <w:b/>
                <w:bCs/>
                <w:noProof/>
                <w:color w:val="000000"/>
                <w:lang w:val="es-ES" w:eastAsia="en-GB"/>
              </w:rPr>
              <w:t>1</w:t>
            </w:r>
            <w:r w:rsidR="00352A0B" w:rsidRPr="003A72EE">
              <w:rPr>
                <w:b/>
                <w:bCs/>
                <w:noProof/>
                <w:color w:val="000000"/>
                <w:lang w:val="es-ES" w:eastAsia="en-GB"/>
              </w:rPr>
              <w:t xml:space="preserve"> </w:t>
            </w:r>
            <w:r w:rsidRPr="003A72EE">
              <w:rPr>
                <w:b/>
                <w:bCs/>
                <w:noProof/>
                <w:color w:val="000000"/>
                <w:lang w:val="es-ES" w:eastAsia="en-GB"/>
              </w:rPr>
              <w:t xml:space="preserve">924 </w:t>
            </w:r>
          </w:p>
        </w:tc>
      </w:tr>
      <w:tr w:rsidR="00AD079A" w:rsidRPr="003A72EE" w14:paraId="0D316EEA" w14:textId="77777777" w:rsidTr="003563E9">
        <w:trPr>
          <w:trHeight w:val="57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E08C8" w14:textId="3FD8BE94" w:rsidR="00AD079A" w:rsidRPr="003A72EE" w:rsidRDefault="00352A0B" w:rsidP="00AD079A">
            <w:pPr>
              <w:widowControl/>
              <w:autoSpaceDE/>
              <w:autoSpaceDN/>
              <w:rPr>
                <w:noProof/>
                <w:color w:val="FF0000"/>
                <w:lang w:val="es-ES" w:eastAsia="en-GB"/>
              </w:rPr>
            </w:pPr>
            <w:r w:rsidRPr="003A72EE">
              <w:rPr>
                <w:noProof/>
                <w:color w:val="FF0000"/>
                <w:lang w:val="es-ES" w:eastAsia="en-GB"/>
              </w:rPr>
              <w:t xml:space="preserve">Examen de </w:t>
            </w:r>
            <w:r w:rsidR="00821E90" w:rsidRPr="003A72EE">
              <w:rPr>
                <w:noProof/>
                <w:color w:val="FF0000"/>
                <w:lang w:val="es-ES" w:eastAsia="en-GB"/>
              </w:rPr>
              <w:t xml:space="preserve">las </w:t>
            </w:r>
            <w:r w:rsidRPr="003A72EE">
              <w:rPr>
                <w:noProof/>
                <w:color w:val="FF0000"/>
                <w:lang w:val="es-ES" w:eastAsia="en-GB"/>
              </w:rPr>
              <w:t>resoluciones</w:t>
            </w:r>
            <w:r w:rsidR="000D3076" w:rsidRPr="003A72EE">
              <w:rPr>
                <w:noProof/>
                <w:color w:val="FF0000"/>
                <w:lang w:val="es-ES" w:eastAsia="en-GB"/>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E3B8B2" w14:textId="5E838DAC" w:rsidR="00AD079A" w:rsidRPr="003A72EE" w:rsidRDefault="00AD079A" w:rsidP="002E00B9">
            <w:pPr>
              <w:widowControl/>
              <w:autoSpaceDE/>
              <w:autoSpaceDN/>
              <w:jc w:val="right"/>
              <w:rPr>
                <w:noProof/>
                <w:color w:val="FF0000"/>
                <w:lang w:val="es-ES" w:eastAsia="en-GB"/>
              </w:rPr>
            </w:pPr>
            <w:r w:rsidRPr="003A72EE">
              <w:rPr>
                <w:noProof/>
                <w:color w:val="FF0000"/>
                <w:lang w:val="es-ES" w:eastAsia="en-GB"/>
              </w:rPr>
              <w:t>10</w:t>
            </w:r>
            <w:r w:rsidR="000D3076" w:rsidRPr="003A72EE">
              <w:rPr>
                <w:noProof/>
                <w:color w:val="FF0000"/>
                <w:lang w:val="es-ES" w:eastAsia="en-GB"/>
              </w:rPr>
              <w:t xml:space="preserve">* </w:t>
            </w:r>
          </w:p>
        </w:tc>
      </w:tr>
      <w:tr w:rsidR="00AD079A" w:rsidRPr="003A72EE" w14:paraId="69450FBB" w14:textId="77777777" w:rsidTr="00D869E7">
        <w:trPr>
          <w:trHeight w:val="615"/>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7FAA27E3" w14:textId="56D2A0A0" w:rsidR="00AD079A" w:rsidRPr="003A72EE" w:rsidRDefault="00052FFA" w:rsidP="00AD079A">
            <w:pPr>
              <w:widowControl/>
              <w:autoSpaceDE/>
              <w:autoSpaceDN/>
              <w:rPr>
                <w:noProof/>
                <w:color w:val="000000"/>
                <w:lang w:val="es-ES" w:eastAsia="en-GB"/>
              </w:rPr>
            </w:pPr>
            <w:r w:rsidRPr="003A72EE">
              <w:rPr>
                <w:noProof/>
                <w:color w:val="000000"/>
                <w:lang w:val="es-ES" w:eastAsia="en-GB"/>
              </w:rPr>
              <w:t>Uso autorizado</w:t>
            </w:r>
            <w:r w:rsidR="00821E90" w:rsidRPr="003A72EE">
              <w:rPr>
                <w:noProof/>
                <w:color w:val="000000"/>
                <w:lang w:val="es-ES" w:eastAsia="en-GB"/>
              </w:rPr>
              <w:t xml:space="preserve"> del excedente para cubrir </w:t>
            </w:r>
            <w:r w:rsidRPr="003A72EE">
              <w:rPr>
                <w:noProof/>
                <w:color w:val="000000"/>
                <w:lang w:val="es-ES" w:eastAsia="en-GB"/>
              </w:rPr>
              <w:t>el déficit en el presupuesto básico en el trienio 2023-2025</w:t>
            </w:r>
            <w:r w:rsidR="00821E90" w:rsidRPr="003A72EE">
              <w:rPr>
                <w:noProof/>
                <w:color w:val="000000"/>
                <w:lang w:val="es-ES" w:eastAsia="en-GB"/>
              </w:rPr>
              <w:t xml:space="preserve">, </w:t>
            </w:r>
            <w:r w:rsidR="00117BBC" w:rsidRPr="003A72EE">
              <w:rPr>
                <w:noProof/>
                <w:color w:val="000000"/>
                <w:lang w:val="es-ES" w:eastAsia="en-GB"/>
              </w:rPr>
              <w:t>de conformidad con</w:t>
            </w:r>
            <w:r w:rsidR="00821E90" w:rsidRPr="003A72EE">
              <w:rPr>
                <w:noProof/>
                <w:color w:val="000000"/>
                <w:lang w:val="es-ES" w:eastAsia="en-GB"/>
              </w:rPr>
              <w:t xml:space="preserve"> en el párrafo 15 de la Resolución XIII.2 </w:t>
            </w:r>
          </w:p>
        </w:tc>
        <w:tc>
          <w:tcPr>
            <w:tcW w:w="1134" w:type="dxa"/>
            <w:tcBorders>
              <w:top w:val="nil"/>
              <w:left w:val="nil"/>
              <w:bottom w:val="single" w:sz="4" w:space="0" w:color="auto"/>
              <w:right w:val="single" w:sz="4" w:space="0" w:color="auto"/>
            </w:tcBorders>
            <w:shd w:val="clear" w:color="auto" w:fill="auto"/>
            <w:noWrap/>
            <w:vAlign w:val="center"/>
            <w:hideMark/>
          </w:tcPr>
          <w:p w14:paraId="3DC92960" w14:textId="047845B7" w:rsidR="00AD079A" w:rsidRPr="003A72EE" w:rsidRDefault="00AD079A" w:rsidP="002E00B9">
            <w:pPr>
              <w:widowControl/>
              <w:autoSpaceDE/>
              <w:autoSpaceDN/>
              <w:jc w:val="right"/>
              <w:rPr>
                <w:noProof/>
                <w:color w:val="000000"/>
                <w:lang w:val="es-ES" w:eastAsia="en-GB"/>
              </w:rPr>
            </w:pPr>
            <w:r w:rsidRPr="003A72EE">
              <w:rPr>
                <w:noProof/>
                <w:color w:val="000000"/>
                <w:lang w:val="es-ES" w:eastAsia="en-GB"/>
              </w:rPr>
              <w:t xml:space="preserve">228 </w:t>
            </w:r>
          </w:p>
        </w:tc>
      </w:tr>
      <w:tr w:rsidR="00AD079A" w:rsidRPr="003A72EE" w14:paraId="2D27AB83" w14:textId="77777777" w:rsidTr="00D869E7">
        <w:trPr>
          <w:trHeight w:val="60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19795A31" w14:textId="0723417B" w:rsidR="00AD079A" w:rsidRPr="003A72EE" w:rsidRDefault="00052FFA" w:rsidP="00AD079A">
            <w:pPr>
              <w:widowControl/>
              <w:autoSpaceDE/>
              <w:autoSpaceDN/>
              <w:rPr>
                <w:noProof/>
                <w:color w:val="000000"/>
                <w:lang w:val="es-ES" w:eastAsia="en-GB"/>
              </w:rPr>
            </w:pPr>
            <w:r w:rsidRPr="003A72EE">
              <w:rPr>
                <w:noProof/>
                <w:color w:val="000000"/>
                <w:lang w:val="es-ES" w:eastAsia="en-GB"/>
              </w:rPr>
              <w:t xml:space="preserve">Uso autorizado del excedente para cubrir el aumento en la provisión de contribuciones pendientes en el trienio 2023-2025, como </w:t>
            </w:r>
            <w:r w:rsidR="00117BBC" w:rsidRPr="003A72EE">
              <w:rPr>
                <w:noProof/>
                <w:color w:val="000000"/>
                <w:lang w:val="es-ES" w:eastAsia="en-GB"/>
              </w:rPr>
              <w:t>se describe</w:t>
            </w:r>
            <w:r w:rsidRPr="003A72EE">
              <w:rPr>
                <w:noProof/>
                <w:color w:val="000000"/>
                <w:lang w:val="es-ES" w:eastAsia="en-GB"/>
              </w:rPr>
              <w:t xml:space="preserve"> en la Resolución ExCOP3.2**</w:t>
            </w:r>
          </w:p>
        </w:tc>
        <w:tc>
          <w:tcPr>
            <w:tcW w:w="1134" w:type="dxa"/>
            <w:tcBorders>
              <w:top w:val="nil"/>
              <w:left w:val="nil"/>
              <w:bottom w:val="single" w:sz="4" w:space="0" w:color="auto"/>
              <w:right w:val="single" w:sz="4" w:space="0" w:color="auto"/>
            </w:tcBorders>
            <w:shd w:val="clear" w:color="auto" w:fill="auto"/>
            <w:noWrap/>
            <w:vAlign w:val="center"/>
            <w:hideMark/>
          </w:tcPr>
          <w:p w14:paraId="5F85DACC" w14:textId="6D4B9698" w:rsidR="00AD079A" w:rsidRPr="003A72EE" w:rsidRDefault="00AD079A" w:rsidP="002E00B9">
            <w:pPr>
              <w:widowControl/>
              <w:autoSpaceDE/>
              <w:autoSpaceDN/>
              <w:jc w:val="right"/>
              <w:rPr>
                <w:noProof/>
                <w:color w:val="000000"/>
                <w:lang w:val="es-ES" w:eastAsia="en-GB"/>
              </w:rPr>
            </w:pPr>
            <w:r w:rsidRPr="003A72EE">
              <w:rPr>
                <w:noProof/>
                <w:color w:val="000000"/>
                <w:lang w:val="es-ES" w:eastAsia="en-GB"/>
              </w:rPr>
              <w:t xml:space="preserve">360 </w:t>
            </w:r>
          </w:p>
        </w:tc>
      </w:tr>
      <w:tr w:rsidR="00AD079A" w:rsidRPr="003A72EE" w14:paraId="1396DE0D" w14:textId="77777777" w:rsidTr="0062629D">
        <w:trPr>
          <w:trHeight w:val="474"/>
        </w:trPr>
        <w:tc>
          <w:tcPr>
            <w:tcW w:w="7797" w:type="dxa"/>
            <w:tcBorders>
              <w:top w:val="nil"/>
              <w:left w:val="single" w:sz="4" w:space="0" w:color="auto"/>
              <w:bottom w:val="single" w:sz="4" w:space="0" w:color="auto"/>
              <w:right w:val="single" w:sz="4" w:space="0" w:color="auto"/>
            </w:tcBorders>
            <w:shd w:val="clear" w:color="000000" w:fill="D9E1F2"/>
            <w:vAlign w:val="center"/>
            <w:hideMark/>
          </w:tcPr>
          <w:p w14:paraId="65EB8D8A" w14:textId="6AC42A7D" w:rsidR="00AD079A" w:rsidRPr="003A72EE" w:rsidRDefault="00AD079A" w:rsidP="00AD079A">
            <w:pPr>
              <w:widowControl/>
              <w:autoSpaceDE/>
              <w:autoSpaceDN/>
              <w:rPr>
                <w:b/>
                <w:bCs/>
                <w:noProof/>
                <w:color w:val="000000"/>
                <w:lang w:val="es-ES" w:eastAsia="en-GB"/>
              </w:rPr>
            </w:pPr>
            <w:r w:rsidRPr="003A72EE">
              <w:rPr>
                <w:b/>
                <w:bCs/>
                <w:noProof/>
                <w:color w:val="000000"/>
                <w:lang w:val="es-ES" w:eastAsia="en-GB"/>
              </w:rPr>
              <w:t>(I</w:t>
            </w:r>
            <w:r w:rsidR="00C77D35" w:rsidRPr="003A72EE">
              <w:rPr>
                <w:b/>
                <w:bCs/>
                <w:noProof/>
                <w:color w:val="000000"/>
                <w:lang w:val="es-ES" w:eastAsia="en-GB"/>
              </w:rPr>
              <w:t>I</w:t>
            </w:r>
            <w:r w:rsidRPr="003A72EE">
              <w:rPr>
                <w:b/>
                <w:bCs/>
                <w:noProof/>
                <w:color w:val="000000"/>
                <w:lang w:val="es-ES" w:eastAsia="en-GB"/>
              </w:rPr>
              <w:t xml:space="preserve">) </w:t>
            </w:r>
            <w:r w:rsidR="00DD6078" w:rsidRPr="003A72EE">
              <w:rPr>
                <w:b/>
                <w:bCs/>
                <w:noProof/>
                <w:color w:val="000000"/>
                <w:lang w:val="es-ES" w:eastAsia="en-GB"/>
              </w:rPr>
              <w:t>Subtotal del excedente de 2021 asignado</w:t>
            </w:r>
          </w:p>
        </w:tc>
        <w:tc>
          <w:tcPr>
            <w:tcW w:w="1134" w:type="dxa"/>
            <w:tcBorders>
              <w:top w:val="nil"/>
              <w:left w:val="nil"/>
              <w:bottom w:val="single" w:sz="4" w:space="0" w:color="auto"/>
              <w:right w:val="single" w:sz="4" w:space="0" w:color="auto"/>
            </w:tcBorders>
            <w:shd w:val="clear" w:color="000000" w:fill="D9E1F2"/>
            <w:noWrap/>
            <w:vAlign w:val="center"/>
            <w:hideMark/>
          </w:tcPr>
          <w:p w14:paraId="18A1D5E1" w14:textId="7D3F1D9C" w:rsidR="00AD079A" w:rsidRPr="003A72EE" w:rsidRDefault="00595B92" w:rsidP="002E00B9">
            <w:pPr>
              <w:widowControl/>
              <w:autoSpaceDE/>
              <w:autoSpaceDN/>
              <w:jc w:val="right"/>
              <w:rPr>
                <w:b/>
                <w:noProof/>
                <w:lang w:val="es-ES" w:eastAsia="en-GB"/>
              </w:rPr>
            </w:pPr>
            <w:r w:rsidRPr="003A72EE">
              <w:rPr>
                <w:b/>
                <w:noProof/>
                <w:lang w:val="es-ES" w:eastAsia="en-GB"/>
              </w:rPr>
              <w:t>5</w:t>
            </w:r>
            <w:r w:rsidR="00C77D35" w:rsidRPr="003A72EE">
              <w:rPr>
                <w:b/>
                <w:noProof/>
                <w:lang w:val="es-ES" w:eastAsia="en-GB"/>
              </w:rPr>
              <w:t>9</w:t>
            </w:r>
            <w:r w:rsidRPr="003A72EE">
              <w:rPr>
                <w:b/>
                <w:noProof/>
                <w:lang w:val="es-ES" w:eastAsia="en-GB"/>
              </w:rPr>
              <w:t xml:space="preserve">8 </w:t>
            </w:r>
          </w:p>
        </w:tc>
      </w:tr>
      <w:tr w:rsidR="00AD079A" w:rsidRPr="003A72EE" w14:paraId="7DF1C0EE" w14:textId="77777777" w:rsidTr="0062629D">
        <w:trPr>
          <w:trHeight w:val="552"/>
        </w:trPr>
        <w:tc>
          <w:tcPr>
            <w:tcW w:w="7797" w:type="dxa"/>
            <w:tcBorders>
              <w:top w:val="nil"/>
              <w:left w:val="single" w:sz="4" w:space="0" w:color="auto"/>
              <w:bottom w:val="single" w:sz="4" w:space="0" w:color="auto"/>
              <w:right w:val="single" w:sz="4" w:space="0" w:color="auto"/>
            </w:tcBorders>
            <w:shd w:val="clear" w:color="000000" w:fill="8EA9DB"/>
            <w:noWrap/>
            <w:vAlign w:val="center"/>
            <w:hideMark/>
          </w:tcPr>
          <w:p w14:paraId="1DD14CE0" w14:textId="52EDD1F8" w:rsidR="00AD079A" w:rsidRPr="003A72EE" w:rsidRDefault="00AD079A" w:rsidP="00AD079A">
            <w:pPr>
              <w:widowControl/>
              <w:autoSpaceDE/>
              <w:autoSpaceDN/>
              <w:rPr>
                <w:b/>
                <w:bCs/>
                <w:noProof/>
                <w:color w:val="000000"/>
                <w:lang w:val="es-ES" w:eastAsia="en-GB"/>
              </w:rPr>
            </w:pPr>
            <w:r w:rsidRPr="003A72EE">
              <w:rPr>
                <w:b/>
                <w:bCs/>
                <w:noProof/>
                <w:color w:val="000000"/>
                <w:lang w:val="es-ES" w:eastAsia="en-GB"/>
              </w:rPr>
              <w:t>(I</w:t>
            </w:r>
            <w:r w:rsidR="00C77D35" w:rsidRPr="003A72EE">
              <w:rPr>
                <w:b/>
                <w:bCs/>
                <w:noProof/>
                <w:color w:val="000000"/>
                <w:lang w:val="es-ES" w:eastAsia="en-GB"/>
              </w:rPr>
              <w:t>II</w:t>
            </w:r>
            <w:r w:rsidRPr="003A72EE">
              <w:rPr>
                <w:b/>
                <w:bCs/>
                <w:noProof/>
                <w:color w:val="000000"/>
                <w:lang w:val="es-ES" w:eastAsia="en-GB"/>
              </w:rPr>
              <w:t xml:space="preserve">=I-II) </w:t>
            </w:r>
            <w:r w:rsidR="00DD6078" w:rsidRPr="003A72EE">
              <w:rPr>
                <w:b/>
                <w:bCs/>
                <w:noProof/>
                <w:color w:val="000000"/>
                <w:lang w:val="es-ES" w:eastAsia="en-GB"/>
              </w:rPr>
              <w:t>Excedente básico restante para futuras asignaciones</w:t>
            </w:r>
          </w:p>
        </w:tc>
        <w:tc>
          <w:tcPr>
            <w:tcW w:w="1134" w:type="dxa"/>
            <w:tcBorders>
              <w:top w:val="nil"/>
              <w:left w:val="nil"/>
              <w:bottom w:val="single" w:sz="4" w:space="0" w:color="auto"/>
              <w:right w:val="single" w:sz="4" w:space="0" w:color="auto"/>
            </w:tcBorders>
            <w:shd w:val="clear" w:color="000000" w:fill="8EA9DB"/>
            <w:noWrap/>
            <w:vAlign w:val="center"/>
            <w:hideMark/>
          </w:tcPr>
          <w:p w14:paraId="017EF10A" w14:textId="0815EF86" w:rsidR="00AD079A" w:rsidRPr="003A72EE" w:rsidRDefault="00AD079A" w:rsidP="002E00B9">
            <w:pPr>
              <w:widowControl/>
              <w:autoSpaceDE/>
              <w:autoSpaceDN/>
              <w:jc w:val="right"/>
              <w:rPr>
                <w:b/>
                <w:bCs/>
                <w:noProof/>
                <w:color w:val="000000"/>
                <w:lang w:val="es-ES" w:eastAsia="en-GB"/>
              </w:rPr>
            </w:pPr>
            <w:r w:rsidRPr="003A72EE">
              <w:rPr>
                <w:b/>
                <w:bCs/>
                <w:noProof/>
                <w:color w:val="000000"/>
                <w:lang w:val="es-ES" w:eastAsia="en-GB"/>
              </w:rPr>
              <w:t>1</w:t>
            </w:r>
            <w:r w:rsidR="00DD6078" w:rsidRPr="003A72EE">
              <w:rPr>
                <w:b/>
                <w:bCs/>
                <w:noProof/>
                <w:color w:val="000000"/>
                <w:lang w:val="es-ES" w:eastAsia="en-GB"/>
              </w:rPr>
              <w:t xml:space="preserve"> </w:t>
            </w:r>
            <w:r w:rsidR="00595B92" w:rsidRPr="003A72EE">
              <w:rPr>
                <w:b/>
                <w:bCs/>
                <w:noProof/>
                <w:color w:val="000000"/>
                <w:lang w:val="es-ES" w:eastAsia="en-GB"/>
              </w:rPr>
              <w:t xml:space="preserve">326 </w:t>
            </w:r>
          </w:p>
        </w:tc>
      </w:tr>
    </w:tbl>
    <w:p w14:paraId="68DBD267" w14:textId="2C12FB6A" w:rsidR="00AD079A" w:rsidRPr="003A72EE" w:rsidRDefault="00AD079A" w:rsidP="00763865">
      <w:pPr>
        <w:widowControl/>
        <w:rPr>
          <w:noProof/>
          <w:color w:val="FF0000"/>
          <w:lang w:val="es-ES"/>
        </w:rPr>
      </w:pPr>
      <w:r w:rsidRPr="003A72EE">
        <w:rPr>
          <w:noProof/>
          <w:color w:val="FF0000"/>
          <w:lang w:val="es-ES"/>
        </w:rPr>
        <w:t>*</w:t>
      </w:r>
      <w:r w:rsidR="000D3076" w:rsidRPr="003A72EE">
        <w:rPr>
          <w:noProof/>
          <w:color w:val="FF0000"/>
          <w:lang w:val="es-ES"/>
        </w:rPr>
        <w:t xml:space="preserve"> </w:t>
      </w:r>
      <w:r w:rsidR="00DD6078" w:rsidRPr="003A72EE">
        <w:rPr>
          <w:noProof/>
          <w:color w:val="FF0000"/>
          <w:lang w:val="es-ES"/>
        </w:rPr>
        <w:t xml:space="preserve">Dependiendo de los resultados de los debates en la reanudación de la reunión </w:t>
      </w:r>
      <w:r w:rsidRPr="003A72EE">
        <w:rPr>
          <w:noProof/>
          <w:color w:val="FF0000"/>
          <w:lang w:val="es-ES"/>
        </w:rPr>
        <w:t>SC</w:t>
      </w:r>
      <w:r w:rsidR="00DC23F7" w:rsidRPr="003A72EE">
        <w:rPr>
          <w:noProof/>
          <w:color w:val="FF0000"/>
          <w:lang w:val="es-ES"/>
        </w:rPr>
        <w:t>59/</w:t>
      </w:r>
      <w:r w:rsidRPr="003A72EE">
        <w:rPr>
          <w:noProof/>
          <w:color w:val="FF0000"/>
          <w:lang w:val="es-ES"/>
        </w:rPr>
        <w:t>2022</w:t>
      </w:r>
    </w:p>
    <w:p w14:paraId="16E89DB6" w14:textId="0B7452AC" w:rsidR="00DD6078" w:rsidRPr="003A72EE" w:rsidRDefault="00AD079A" w:rsidP="00763865">
      <w:pPr>
        <w:widowControl/>
        <w:rPr>
          <w:noProof/>
          <w:lang w:val="es-ES"/>
        </w:rPr>
      </w:pPr>
      <w:r w:rsidRPr="003A72EE">
        <w:rPr>
          <w:noProof/>
          <w:lang w:val="es-ES"/>
        </w:rPr>
        <w:t xml:space="preserve">** </w:t>
      </w:r>
      <w:r w:rsidR="00DD6078" w:rsidRPr="003A72EE">
        <w:rPr>
          <w:noProof/>
          <w:lang w:val="es-ES"/>
        </w:rPr>
        <w:t>Las partes no utilizadas se devolverán al excedente para su asignación al final de cada año dentro del trienio 2023-2025</w:t>
      </w:r>
    </w:p>
    <w:p w14:paraId="63A53AED" w14:textId="77777777" w:rsidR="00356EEC" w:rsidRPr="003A72EE" w:rsidRDefault="00356EEC" w:rsidP="00711D36">
      <w:pPr>
        <w:widowControl/>
        <w:rPr>
          <w:rFonts w:asciiTheme="minorHAnsi" w:hAnsiTheme="minorHAnsi" w:cstheme="minorHAnsi"/>
          <w:b/>
          <w:i/>
          <w:noProof/>
          <w:lang w:val="es-ES"/>
        </w:rPr>
      </w:pPr>
    </w:p>
    <w:p w14:paraId="69158315" w14:textId="77777777" w:rsidR="00DD6078" w:rsidRPr="003A72EE" w:rsidRDefault="00DD6078" w:rsidP="00DD6078">
      <w:pPr>
        <w:widowControl/>
        <w:rPr>
          <w:rFonts w:asciiTheme="minorHAnsi" w:hAnsiTheme="minorHAnsi" w:cstheme="minorHAnsi"/>
          <w:i/>
          <w:noProof/>
          <w:color w:val="0000FF"/>
          <w:lang w:val="es-ES"/>
        </w:rPr>
      </w:pPr>
      <w:r w:rsidRPr="003A72EE">
        <w:rPr>
          <w:rFonts w:asciiTheme="minorHAnsi" w:hAnsiTheme="minorHAnsi" w:cstheme="minorHAnsi"/>
          <w:i/>
          <w:noProof/>
          <w:color w:val="0000FF"/>
          <w:lang w:val="es-ES"/>
        </w:rPr>
        <w:t xml:space="preserve">Recomendaciones para las decisiones del Comité Permanente: </w:t>
      </w:r>
    </w:p>
    <w:p w14:paraId="2C2ACD2D" w14:textId="77777777" w:rsidR="00356EEC" w:rsidRPr="003A72EE" w:rsidRDefault="00356EEC" w:rsidP="00711D36">
      <w:pPr>
        <w:widowControl/>
        <w:rPr>
          <w:rFonts w:asciiTheme="minorHAnsi" w:hAnsiTheme="minorHAnsi" w:cstheme="minorHAnsi"/>
          <w:b/>
          <w:i/>
          <w:noProof/>
          <w:lang w:val="es-ES"/>
        </w:rPr>
      </w:pPr>
    </w:p>
    <w:p w14:paraId="7403C17E" w14:textId="77777777" w:rsidR="00DD6078" w:rsidRPr="003A72EE" w:rsidRDefault="00DD6078" w:rsidP="00DD6078">
      <w:pPr>
        <w:widowControl/>
        <w:rPr>
          <w:rFonts w:asciiTheme="minorHAnsi" w:hAnsiTheme="minorHAnsi" w:cstheme="minorHAnsi"/>
          <w:b/>
          <w:i/>
          <w:noProof/>
          <w:lang w:val="es-ES"/>
        </w:rPr>
      </w:pPr>
      <w:r w:rsidRPr="003A72EE">
        <w:rPr>
          <w:rFonts w:asciiTheme="minorHAnsi" w:hAnsiTheme="minorHAnsi" w:cstheme="minorHAnsi"/>
          <w:b/>
          <w:i/>
          <w:noProof/>
          <w:lang w:val="es-ES"/>
        </w:rPr>
        <w:t xml:space="preserve">El Subgrupo de Finanzas recomienda al Comité Permanente que haga lo siguiente: </w:t>
      </w:r>
    </w:p>
    <w:p w14:paraId="3B860EA9" w14:textId="6E93CB85" w:rsidR="00117BBC" w:rsidRPr="003A72EE" w:rsidRDefault="00F068B4" w:rsidP="00974A00">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lastRenderedPageBreak/>
        <w:t>i.</w:t>
      </w:r>
      <w:r w:rsidRPr="003A72EE">
        <w:rPr>
          <w:rFonts w:asciiTheme="minorHAnsi" w:hAnsiTheme="minorHAnsi" w:cstheme="minorHAnsi"/>
          <w:b/>
          <w:i/>
          <w:noProof/>
          <w:lang w:val="es-ES"/>
        </w:rPr>
        <w:tab/>
      </w:r>
      <w:r w:rsidR="00117BBC" w:rsidRPr="003A72EE">
        <w:rPr>
          <w:rFonts w:asciiTheme="minorHAnsi" w:hAnsiTheme="minorHAnsi" w:cstheme="minorHAnsi"/>
          <w:b/>
          <w:i/>
          <w:noProof/>
          <w:lang w:val="es-ES"/>
        </w:rPr>
        <w:t xml:space="preserve">aprobar la asignación del excedente de 2021 y aprobar la opción a) de asignar 228 000 francos suizos para cubrir el déficit presupuestario de conformidad con el párrafo 15 la Resolución XIII.2, </w:t>
      </w:r>
      <w:r w:rsidR="00117BBC" w:rsidRPr="003A72EE">
        <w:rPr>
          <w:rFonts w:asciiTheme="minorHAnsi" w:hAnsiTheme="minorHAnsi" w:cstheme="minorHAnsi"/>
          <w:b/>
          <w:i/>
          <w:noProof/>
          <w:color w:val="FF0000"/>
          <w:lang w:val="es-ES"/>
        </w:rPr>
        <w:t>y la opción b) de asignar 10 000 francos suizos (por confirmar) para el examen de las resoluciones, dependiendo de la aprobación del Comité Permanente, como se describe en el párrafo 40 del documento SC59/2022 Doc. 8.1</w:t>
      </w:r>
      <w:r w:rsidR="00117BBC" w:rsidRPr="003A72EE">
        <w:rPr>
          <w:rFonts w:asciiTheme="minorHAnsi" w:hAnsiTheme="minorHAnsi" w:cstheme="minorHAnsi"/>
          <w:b/>
          <w:i/>
          <w:noProof/>
          <w:lang w:val="es-ES"/>
        </w:rPr>
        <w:t>;</w:t>
      </w:r>
    </w:p>
    <w:p w14:paraId="3BF0291A" w14:textId="04C9A564" w:rsidR="00117BBC" w:rsidRPr="003A72EE" w:rsidRDefault="000D3076" w:rsidP="00974A00">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t>ii.</w:t>
      </w:r>
      <w:r w:rsidRPr="003A72EE">
        <w:rPr>
          <w:rFonts w:asciiTheme="minorHAnsi" w:hAnsiTheme="minorHAnsi" w:cstheme="minorHAnsi"/>
          <w:b/>
          <w:i/>
          <w:noProof/>
          <w:lang w:val="es-ES"/>
        </w:rPr>
        <w:tab/>
      </w:r>
      <w:r w:rsidR="00117BBC" w:rsidRPr="003A72EE">
        <w:rPr>
          <w:rFonts w:asciiTheme="minorHAnsi" w:hAnsiTheme="minorHAnsi" w:cstheme="minorHAnsi"/>
          <w:b/>
          <w:i/>
          <w:noProof/>
          <w:lang w:val="es-ES"/>
        </w:rPr>
        <w:t>aprobar la asignación del excedente de 2021 de 360 000 francos suizos para el aumento de las provisiones pendientes en el trienio 2023-2025, con la condición de</w:t>
      </w:r>
      <w:r w:rsidR="00880792" w:rsidRPr="003A72EE">
        <w:rPr>
          <w:rFonts w:asciiTheme="minorHAnsi" w:hAnsiTheme="minorHAnsi" w:cstheme="minorHAnsi"/>
          <w:b/>
          <w:i/>
          <w:noProof/>
          <w:lang w:val="es-ES"/>
        </w:rPr>
        <w:t xml:space="preserve"> que</w:t>
      </w:r>
      <w:r w:rsidR="00117BBC" w:rsidRPr="003A72EE">
        <w:rPr>
          <w:rFonts w:asciiTheme="minorHAnsi" w:hAnsiTheme="minorHAnsi" w:cstheme="minorHAnsi"/>
          <w:b/>
          <w:i/>
          <w:noProof/>
          <w:lang w:val="es-ES"/>
        </w:rPr>
        <w:t xml:space="preserve"> </w:t>
      </w:r>
      <w:r w:rsidR="00317DDE" w:rsidRPr="003A72EE">
        <w:rPr>
          <w:rFonts w:asciiTheme="minorHAnsi" w:hAnsiTheme="minorHAnsi" w:cstheme="minorHAnsi"/>
          <w:b/>
          <w:i/>
          <w:noProof/>
          <w:lang w:val="es-ES"/>
        </w:rPr>
        <w:t>las</w:t>
      </w:r>
      <w:r w:rsidR="00117BBC" w:rsidRPr="003A72EE">
        <w:rPr>
          <w:rFonts w:asciiTheme="minorHAnsi" w:hAnsiTheme="minorHAnsi" w:cstheme="minorHAnsi"/>
          <w:b/>
          <w:i/>
          <w:noProof/>
          <w:lang w:val="es-ES"/>
        </w:rPr>
        <w:t xml:space="preserve"> parte</w:t>
      </w:r>
      <w:r w:rsidR="00317DDE" w:rsidRPr="003A72EE">
        <w:rPr>
          <w:rFonts w:asciiTheme="minorHAnsi" w:hAnsiTheme="minorHAnsi" w:cstheme="minorHAnsi"/>
          <w:b/>
          <w:i/>
          <w:noProof/>
          <w:lang w:val="es-ES"/>
        </w:rPr>
        <w:t>s</w:t>
      </w:r>
      <w:r w:rsidR="00117BBC" w:rsidRPr="003A72EE">
        <w:rPr>
          <w:rFonts w:asciiTheme="minorHAnsi" w:hAnsiTheme="minorHAnsi" w:cstheme="minorHAnsi"/>
          <w:b/>
          <w:i/>
          <w:noProof/>
          <w:lang w:val="es-ES"/>
        </w:rPr>
        <w:t xml:space="preserve"> no utilizada</w:t>
      </w:r>
      <w:r w:rsidR="00317DDE" w:rsidRPr="003A72EE">
        <w:rPr>
          <w:rFonts w:asciiTheme="minorHAnsi" w:hAnsiTheme="minorHAnsi" w:cstheme="minorHAnsi"/>
          <w:b/>
          <w:i/>
          <w:noProof/>
          <w:lang w:val="es-ES"/>
        </w:rPr>
        <w:t>s</w:t>
      </w:r>
      <w:r w:rsidR="00117BBC" w:rsidRPr="003A72EE">
        <w:rPr>
          <w:rFonts w:asciiTheme="minorHAnsi" w:hAnsiTheme="minorHAnsi" w:cstheme="minorHAnsi"/>
          <w:b/>
          <w:i/>
          <w:noProof/>
          <w:lang w:val="es-ES"/>
        </w:rPr>
        <w:t xml:space="preserve"> se </w:t>
      </w:r>
      <w:r w:rsidR="00317DDE" w:rsidRPr="003A72EE">
        <w:rPr>
          <w:rFonts w:asciiTheme="minorHAnsi" w:hAnsiTheme="minorHAnsi" w:cstheme="minorHAnsi"/>
          <w:b/>
          <w:i/>
          <w:noProof/>
          <w:lang w:val="es-ES"/>
        </w:rPr>
        <w:t>devolverán</w:t>
      </w:r>
      <w:r w:rsidR="00117BBC" w:rsidRPr="003A72EE">
        <w:rPr>
          <w:rFonts w:asciiTheme="minorHAnsi" w:hAnsiTheme="minorHAnsi" w:cstheme="minorHAnsi"/>
          <w:b/>
          <w:i/>
          <w:noProof/>
          <w:lang w:val="es-ES"/>
        </w:rPr>
        <w:t xml:space="preserve"> al excedente para su posterior asignación al final de cada año dentro del trienio 2023-2025; y</w:t>
      </w:r>
    </w:p>
    <w:p w14:paraId="47B66B4C" w14:textId="46DA9052" w:rsidR="00317DDE" w:rsidRPr="003A72EE" w:rsidRDefault="00F068B4" w:rsidP="00254B41">
      <w:pPr>
        <w:widowControl/>
        <w:ind w:left="426" w:hanging="426"/>
        <w:rPr>
          <w:rFonts w:asciiTheme="minorHAnsi" w:hAnsiTheme="minorHAnsi" w:cstheme="minorHAnsi"/>
          <w:b/>
          <w:i/>
          <w:noProof/>
          <w:lang w:val="es-ES"/>
        </w:rPr>
      </w:pPr>
      <w:r w:rsidRPr="003A72EE">
        <w:rPr>
          <w:rFonts w:asciiTheme="minorHAnsi" w:hAnsiTheme="minorHAnsi" w:cstheme="minorHAnsi"/>
          <w:b/>
          <w:i/>
          <w:noProof/>
          <w:lang w:val="es-ES"/>
        </w:rPr>
        <w:t>ii</w:t>
      </w:r>
      <w:r w:rsidR="000D3076" w:rsidRPr="003A72EE">
        <w:rPr>
          <w:rFonts w:asciiTheme="minorHAnsi" w:hAnsiTheme="minorHAnsi" w:cstheme="minorHAnsi"/>
          <w:b/>
          <w:i/>
          <w:noProof/>
          <w:lang w:val="es-ES"/>
        </w:rPr>
        <w:t>i</w:t>
      </w:r>
      <w:r w:rsidRPr="003A72EE">
        <w:rPr>
          <w:rFonts w:asciiTheme="minorHAnsi" w:hAnsiTheme="minorHAnsi" w:cstheme="minorHAnsi"/>
          <w:b/>
          <w:i/>
          <w:noProof/>
          <w:lang w:val="es-ES"/>
        </w:rPr>
        <w:t xml:space="preserve">. </w:t>
      </w:r>
      <w:r w:rsidRPr="003A72EE">
        <w:rPr>
          <w:rFonts w:asciiTheme="minorHAnsi" w:hAnsiTheme="minorHAnsi" w:cstheme="minorHAnsi"/>
          <w:b/>
          <w:i/>
          <w:noProof/>
          <w:lang w:val="es-ES"/>
        </w:rPr>
        <w:tab/>
      </w:r>
      <w:r w:rsidR="00317DDE" w:rsidRPr="003A72EE">
        <w:rPr>
          <w:rFonts w:asciiTheme="minorHAnsi" w:hAnsiTheme="minorHAnsi" w:cstheme="minorHAnsi"/>
          <w:b/>
          <w:i/>
          <w:noProof/>
          <w:lang w:val="es-ES"/>
        </w:rPr>
        <w:t>tomar nota de la asignación de fondos entre períodos de sesiones para ajustarse al presupuesto básico aprobado por la ExCOP3 para 2022, como se describe en los párrafos 22 y 38 del documento SC59/2022 Doc</w:t>
      </w:r>
      <w:r w:rsidR="00880792" w:rsidRPr="003A72EE">
        <w:rPr>
          <w:rFonts w:asciiTheme="minorHAnsi" w:hAnsiTheme="minorHAnsi" w:cstheme="minorHAnsi"/>
          <w:b/>
          <w:i/>
          <w:noProof/>
          <w:lang w:val="es-ES"/>
        </w:rPr>
        <w:t>.</w:t>
      </w:r>
      <w:r w:rsidR="00317DDE" w:rsidRPr="003A72EE">
        <w:rPr>
          <w:rFonts w:asciiTheme="minorHAnsi" w:hAnsiTheme="minorHAnsi" w:cstheme="minorHAnsi"/>
          <w:b/>
          <w:i/>
          <w:noProof/>
          <w:lang w:val="es-ES"/>
        </w:rPr>
        <w:t xml:space="preserve"> 8.1. y como se presenta en el Anexo 1 del presente informe.</w:t>
      </w:r>
    </w:p>
    <w:p w14:paraId="15486EF7" w14:textId="77777777" w:rsidR="00AB178F" w:rsidRPr="003A72EE" w:rsidRDefault="00AB178F">
      <w:pPr>
        <w:widowControl/>
        <w:autoSpaceDE/>
        <w:autoSpaceDN/>
        <w:spacing w:after="160" w:line="259" w:lineRule="auto"/>
        <w:rPr>
          <w:rFonts w:asciiTheme="minorHAnsi" w:hAnsiTheme="minorHAnsi" w:cstheme="minorHAnsi"/>
          <w:b/>
          <w:i/>
          <w:noProof/>
          <w:lang w:val="es-ES"/>
        </w:rPr>
      </w:pPr>
      <w:r w:rsidRPr="003A72EE">
        <w:rPr>
          <w:rFonts w:asciiTheme="minorHAnsi" w:hAnsiTheme="minorHAnsi" w:cstheme="minorHAnsi"/>
          <w:b/>
          <w:i/>
          <w:noProof/>
          <w:lang w:val="es-ES"/>
        </w:rPr>
        <w:br w:type="page"/>
      </w:r>
    </w:p>
    <w:p w14:paraId="53625FE2" w14:textId="77777777" w:rsidR="00AB178F" w:rsidRPr="003A72EE" w:rsidRDefault="00AB178F" w:rsidP="00AB178F">
      <w:pPr>
        <w:rPr>
          <w:rFonts w:asciiTheme="minorHAnsi" w:hAnsiTheme="minorHAnsi" w:cs="Arial"/>
          <w:b/>
          <w:bCs/>
          <w:noProof/>
          <w:sz w:val="24"/>
          <w:szCs w:val="24"/>
          <w:lang w:val="es-ES" w:eastAsia="en-GB"/>
        </w:rPr>
        <w:sectPr w:rsidR="00AB178F" w:rsidRPr="003A72EE" w:rsidSect="00591472">
          <w:footerReference w:type="default" r:id="rId11"/>
          <w:pgSz w:w="11906" w:h="16838"/>
          <w:pgMar w:top="1440" w:right="1440" w:bottom="1440" w:left="1440" w:header="708" w:footer="708" w:gutter="0"/>
          <w:cols w:space="708"/>
          <w:titlePg/>
          <w:docGrid w:linePitch="360"/>
        </w:sectPr>
      </w:pPr>
    </w:p>
    <w:p w14:paraId="3D3A271A" w14:textId="75DC512C" w:rsidR="00AB178F" w:rsidRPr="003A72EE" w:rsidRDefault="001D6333" w:rsidP="00AB178F">
      <w:pPr>
        <w:rPr>
          <w:rFonts w:asciiTheme="minorHAnsi" w:hAnsiTheme="minorHAnsi" w:cs="Arial"/>
          <w:b/>
          <w:bCs/>
          <w:noProof/>
          <w:sz w:val="24"/>
          <w:szCs w:val="24"/>
          <w:lang w:val="es-ES" w:eastAsia="en-GB"/>
        </w:rPr>
      </w:pPr>
      <w:r w:rsidRPr="003A72EE">
        <w:rPr>
          <w:rFonts w:asciiTheme="minorHAnsi" w:hAnsiTheme="minorHAnsi" w:cs="Arial"/>
          <w:b/>
          <w:bCs/>
          <w:noProof/>
          <w:sz w:val="24"/>
          <w:szCs w:val="24"/>
          <w:lang w:val="es-ES" w:eastAsia="en-GB"/>
        </w:rPr>
        <w:lastRenderedPageBreak/>
        <w:t>Anexo</w:t>
      </w:r>
      <w:r w:rsidR="00AB178F" w:rsidRPr="003A72EE">
        <w:rPr>
          <w:rFonts w:asciiTheme="minorHAnsi" w:hAnsiTheme="minorHAnsi" w:cs="Arial"/>
          <w:b/>
          <w:bCs/>
          <w:noProof/>
          <w:sz w:val="24"/>
          <w:szCs w:val="24"/>
          <w:lang w:val="es-ES" w:eastAsia="en-GB"/>
        </w:rPr>
        <w:t xml:space="preserve"> 1 </w:t>
      </w:r>
      <w:r w:rsidRPr="003A72EE">
        <w:rPr>
          <w:rFonts w:asciiTheme="minorHAnsi" w:hAnsiTheme="minorHAnsi" w:cs="Arial"/>
          <w:b/>
          <w:bCs/>
          <w:noProof/>
          <w:sz w:val="24"/>
          <w:szCs w:val="24"/>
          <w:lang w:val="es-ES" w:eastAsia="en-GB"/>
        </w:rPr>
        <w:t xml:space="preserve">del Informe del Subgrupo de Finanzas </w:t>
      </w:r>
    </w:p>
    <w:p w14:paraId="7AFAF7EB" w14:textId="51B7D642" w:rsidR="00AB178F" w:rsidRPr="003A72EE" w:rsidRDefault="001D6333" w:rsidP="00AB178F">
      <w:pPr>
        <w:rPr>
          <w:rFonts w:asciiTheme="minorHAnsi" w:hAnsiTheme="minorHAnsi" w:cs="Arial"/>
          <w:b/>
          <w:bCs/>
          <w:noProof/>
          <w:sz w:val="24"/>
          <w:szCs w:val="24"/>
          <w:lang w:val="es-ES" w:eastAsia="en-GB"/>
        </w:rPr>
      </w:pPr>
      <w:r w:rsidRPr="003A72EE">
        <w:rPr>
          <w:rFonts w:asciiTheme="minorHAnsi" w:hAnsiTheme="minorHAnsi" w:cs="Arial"/>
          <w:b/>
          <w:bCs/>
          <w:noProof/>
          <w:sz w:val="24"/>
          <w:szCs w:val="24"/>
          <w:lang w:val="es-ES" w:eastAsia="en-GB"/>
        </w:rPr>
        <w:t>Presupuesto básico para</w:t>
      </w:r>
      <w:r w:rsidR="00AB178F" w:rsidRPr="003A72EE">
        <w:rPr>
          <w:rFonts w:asciiTheme="minorHAnsi" w:hAnsiTheme="minorHAnsi" w:cs="Arial"/>
          <w:b/>
          <w:bCs/>
          <w:noProof/>
          <w:sz w:val="24"/>
          <w:szCs w:val="24"/>
          <w:lang w:val="es-ES" w:eastAsia="en-GB"/>
        </w:rPr>
        <w:t xml:space="preserve"> 2022 </w:t>
      </w:r>
    </w:p>
    <w:p w14:paraId="11BEB9AC" w14:textId="56D45CB5" w:rsidR="006100DD" w:rsidRPr="003A72EE" w:rsidRDefault="00AB178F" w:rsidP="006100DD">
      <w:pPr>
        <w:rPr>
          <w:rFonts w:asciiTheme="minorHAnsi" w:hAnsiTheme="minorHAnsi" w:cs="Arial"/>
          <w:bCs/>
          <w:i/>
          <w:noProof/>
          <w:sz w:val="20"/>
          <w:szCs w:val="20"/>
          <w:lang w:val="es-ES" w:eastAsia="en-GB"/>
        </w:rPr>
      </w:pPr>
      <w:r w:rsidRPr="003A72EE">
        <w:rPr>
          <w:rFonts w:asciiTheme="minorHAnsi" w:hAnsiTheme="minorHAnsi" w:cs="Arial"/>
          <w:bCs/>
          <w:i/>
          <w:noProof/>
          <w:sz w:val="20"/>
          <w:szCs w:val="20"/>
          <w:lang w:val="es-ES" w:eastAsia="en-GB"/>
        </w:rPr>
        <w:t>(</w:t>
      </w:r>
      <w:r w:rsidR="00526E4C" w:rsidRPr="003A72EE">
        <w:rPr>
          <w:rFonts w:asciiTheme="minorHAnsi" w:hAnsiTheme="minorHAnsi" w:cs="Arial"/>
          <w:bCs/>
          <w:i/>
          <w:noProof/>
          <w:sz w:val="20"/>
          <w:szCs w:val="20"/>
          <w:lang w:val="es-ES" w:eastAsia="en-GB"/>
        </w:rPr>
        <w:t xml:space="preserve">en </w:t>
      </w:r>
      <w:r w:rsidR="001D6333" w:rsidRPr="003A72EE">
        <w:rPr>
          <w:rFonts w:asciiTheme="minorHAnsi" w:hAnsiTheme="minorHAnsi" w:cs="Arial"/>
          <w:bCs/>
          <w:i/>
          <w:noProof/>
          <w:sz w:val="20"/>
          <w:szCs w:val="20"/>
          <w:lang w:val="es-ES" w:eastAsia="en-GB"/>
        </w:rPr>
        <w:t>miles de francos suizos</w:t>
      </w:r>
      <w:r w:rsidRPr="003A72EE">
        <w:rPr>
          <w:rFonts w:asciiTheme="minorHAnsi" w:hAnsiTheme="minorHAnsi" w:cs="Arial"/>
          <w:bCs/>
          <w:i/>
          <w:noProof/>
          <w:sz w:val="20"/>
          <w:szCs w:val="20"/>
          <w:lang w:val="es-ES" w:eastAsia="en-GB"/>
        </w:rPr>
        <w:t xml:space="preserve">, </w:t>
      </w:r>
      <w:r w:rsidR="00977562" w:rsidRPr="003A72EE">
        <w:rPr>
          <w:rFonts w:asciiTheme="minorHAnsi" w:hAnsiTheme="minorHAnsi" w:cs="Arial"/>
          <w:bCs/>
          <w:i/>
          <w:noProof/>
          <w:sz w:val="20"/>
          <w:szCs w:val="20"/>
          <w:lang w:val="es-ES" w:eastAsia="en-GB"/>
        </w:rPr>
        <w:t xml:space="preserve">con posibles diferencias </w:t>
      </w:r>
      <w:r w:rsidR="00526E4C" w:rsidRPr="003A72EE">
        <w:rPr>
          <w:rFonts w:asciiTheme="minorHAnsi" w:hAnsiTheme="minorHAnsi" w:cs="Arial"/>
          <w:bCs/>
          <w:i/>
          <w:noProof/>
          <w:sz w:val="20"/>
          <w:szCs w:val="20"/>
          <w:lang w:val="es-ES" w:eastAsia="en-GB"/>
        </w:rPr>
        <w:t>por</w:t>
      </w:r>
      <w:r w:rsidR="00977562" w:rsidRPr="003A72EE">
        <w:rPr>
          <w:rFonts w:asciiTheme="minorHAnsi" w:hAnsiTheme="minorHAnsi" w:cs="Arial"/>
          <w:bCs/>
          <w:i/>
          <w:noProof/>
          <w:sz w:val="20"/>
          <w:szCs w:val="20"/>
          <w:lang w:val="es-ES" w:eastAsia="en-GB"/>
        </w:rPr>
        <w:t xml:space="preserve"> redondeo</w:t>
      </w:r>
      <w:r w:rsidRPr="003A72EE">
        <w:rPr>
          <w:rFonts w:asciiTheme="minorHAnsi" w:hAnsiTheme="minorHAnsi" w:cs="Arial"/>
          <w:bCs/>
          <w:i/>
          <w:noProof/>
          <w:sz w:val="20"/>
          <w:szCs w:val="20"/>
          <w:lang w:val="es-ES" w:eastAsia="en-GB"/>
        </w:rPr>
        <w:t>)</w:t>
      </w:r>
    </w:p>
    <w:tbl>
      <w:tblPr>
        <w:tblW w:w="13178" w:type="dxa"/>
        <w:tblLayout w:type="fixed"/>
        <w:tblLook w:val="04A0" w:firstRow="1" w:lastRow="0" w:firstColumn="1" w:lastColumn="0" w:noHBand="0" w:noVBand="1"/>
      </w:tblPr>
      <w:tblGrid>
        <w:gridCol w:w="4792"/>
        <w:gridCol w:w="1635"/>
        <w:gridCol w:w="1636"/>
        <w:gridCol w:w="1636"/>
        <w:gridCol w:w="1636"/>
        <w:gridCol w:w="1843"/>
      </w:tblGrid>
      <w:tr w:rsidR="006100DD" w:rsidRPr="003A72EE" w14:paraId="28DB6783" w14:textId="77777777" w:rsidTr="00126728">
        <w:trPr>
          <w:trHeight w:val="1260"/>
          <w:tblHeader/>
        </w:trPr>
        <w:tc>
          <w:tcPr>
            <w:tcW w:w="4792" w:type="dxa"/>
            <w:tcBorders>
              <w:top w:val="single" w:sz="4" w:space="0" w:color="auto"/>
              <w:left w:val="single" w:sz="4" w:space="0" w:color="auto"/>
              <w:bottom w:val="nil"/>
              <w:right w:val="nil"/>
            </w:tcBorders>
            <w:shd w:val="clear" w:color="auto" w:fill="E2EFD9" w:themeFill="accent6" w:themeFillTint="33"/>
            <w:vAlign w:val="center"/>
            <w:hideMark/>
          </w:tcPr>
          <w:p w14:paraId="5CE5C2F7" w14:textId="77777777" w:rsidR="006100DD" w:rsidRPr="003A72EE" w:rsidRDefault="006100DD" w:rsidP="00940BAE">
            <w:pPr>
              <w:jc w:val="center"/>
              <w:rPr>
                <w:b/>
                <w:bCs/>
                <w:noProof/>
                <w:sz w:val="20"/>
                <w:szCs w:val="20"/>
                <w:lang w:val="es-ES" w:eastAsia="en-GB"/>
              </w:rPr>
            </w:pPr>
            <w:r w:rsidRPr="003A72EE">
              <w:rPr>
                <w:b/>
                <w:bCs/>
                <w:noProof/>
                <w:color w:val="000000"/>
                <w:sz w:val="20"/>
                <w:szCs w:val="20"/>
                <w:lang w:val="es-ES"/>
              </w:rPr>
              <w:t xml:space="preserve">Presupuesto de Ramsar para </w:t>
            </w:r>
            <w:r w:rsidRPr="003A72EE">
              <w:rPr>
                <w:b/>
                <w:bCs/>
                <w:noProof/>
                <w:sz w:val="20"/>
                <w:szCs w:val="20"/>
                <w:lang w:val="es-ES" w:eastAsia="en-GB"/>
              </w:rPr>
              <w:t>2022</w:t>
            </w:r>
            <w:r w:rsidRPr="003A72EE">
              <w:rPr>
                <w:b/>
                <w:bCs/>
                <w:noProof/>
                <w:sz w:val="20"/>
                <w:szCs w:val="20"/>
                <w:lang w:val="es-ES" w:eastAsia="en-GB"/>
              </w:rPr>
              <w:br/>
            </w:r>
            <w:r w:rsidRPr="003A72EE">
              <w:rPr>
                <w:b/>
                <w:bCs/>
                <w:noProof/>
                <w:sz w:val="20"/>
                <w:szCs w:val="20"/>
                <w:lang w:val="es-ES" w:eastAsia="en-GB"/>
              </w:rPr>
              <w:br/>
            </w:r>
            <w:r w:rsidRPr="003A72EE">
              <w:rPr>
                <w:b/>
                <w:bCs/>
                <w:noProof/>
                <w:color w:val="000000"/>
                <w:sz w:val="20"/>
                <w:szCs w:val="20"/>
                <w:lang w:val="es-ES"/>
              </w:rPr>
              <w:t xml:space="preserve">aprobado por la </w:t>
            </w:r>
            <w:r w:rsidRPr="003A72EE">
              <w:rPr>
                <w:b/>
                <w:bCs/>
                <w:noProof/>
                <w:sz w:val="20"/>
                <w:szCs w:val="20"/>
                <w:lang w:val="es-ES" w:eastAsia="en-GB"/>
              </w:rPr>
              <w:t xml:space="preserve">ExCOP3 </w:t>
            </w:r>
          </w:p>
        </w:tc>
        <w:tc>
          <w:tcPr>
            <w:tcW w:w="1635" w:type="dxa"/>
            <w:tcBorders>
              <w:top w:val="single" w:sz="4" w:space="0" w:color="auto"/>
              <w:left w:val="single" w:sz="4" w:space="0" w:color="auto"/>
              <w:bottom w:val="nil"/>
              <w:right w:val="single" w:sz="4" w:space="0" w:color="auto"/>
            </w:tcBorders>
            <w:shd w:val="clear" w:color="auto" w:fill="E2EFD9" w:themeFill="accent6" w:themeFillTint="33"/>
            <w:vAlign w:val="center"/>
            <w:hideMark/>
          </w:tcPr>
          <w:p w14:paraId="75756282" w14:textId="77777777" w:rsidR="006100DD" w:rsidRPr="003A72EE" w:rsidRDefault="006100DD" w:rsidP="00940BAE">
            <w:pPr>
              <w:jc w:val="center"/>
              <w:rPr>
                <w:b/>
                <w:bCs/>
                <w:noProof/>
                <w:sz w:val="20"/>
                <w:szCs w:val="20"/>
                <w:lang w:val="es-ES" w:eastAsia="en-GB"/>
              </w:rPr>
            </w:pPr>
            <w:r w:rsidRPr="003A72EE">
              <w:rPr>
                <w:b/>
                <w:bCs/>
                <w:noProof/>
                <w:sz w:val="20"/>
                <w:szCs w:val="20"/>
                <w:lang w:val="es-ES" w:eastAsia="en-GB"/>
              </w:rPr>
              <w:t>Presupuesto (aprobado por la ExCOP3)</w:t>
            </w:r>
          </w:p>
        </w:tc>
        <w:tc>
          <w:tcPr>
            <w:tcW w:w="1636" w:type="dxa"/>
            <w:tcBorders>
              <w:top w:val="single" w:sz="4" w:space="0" w:color="auto"/>
              <w:left w:val="nil"/>
              <w:bottom w:val="nil"/>
              <w:right w:val="single" w:sz="4" w:space="0" w:color="auto"/>
            </w:tcBorders>
            <w:shd w:val="clear" w:color="auto" w:fill="E2EFD9" w:themeFill="accent6" w:themeFillTint="33"/>
            <w:vAlign w:val="center"/>
            <w:hideMark/>
          </w:tcPr>
          <w:p w14:paraId="3350FAD5" w14:textId="77777777" w:rsidR="006100DD" w:rsidRPr="003A72EE" w:rsidRDefault="006100DD" w:rsidP="00940BAE">
            <w:pPr>
              <w:jc w:val="center"/>
              <w:rPr>
                <w:b/>
                <w:bCs/>
                <w:noProof/>
                <w:sz w:val="20"/>
                <w:szCs w:val="20"/>
                <w:lang w:val="es-ES" w:eastAsia="en-GB"/>
              </w:rPr>
            </w:pPr>
            <w:r w:rsidRPr="003A72EE">
              <w:rPr>
                <w:b/>
                <w:bCs/>
                <w:noProof/>
                <w:color w:val="000000"/>
                <w:sz w:val="20"/>
                <w:szCs w:val="20"/>
                <w:lang w:val="es-ES"/>
              </w:rPr>
              <w:t xml:space="preserve">Uso del excedente del presupuesto de 2020 autorizado por la reunión </w:t>
            </w:r>
            <w:r w:rsidRPr="003A72EE">
              <w:rPr>
                <w:b/>
                <w:bCs/>
                <w:noProof/>
                <w:sz w:val="20"/>
                <w:szCs w:val="20"/>
                <w:lang w:val="es-ES" w:eastAsia="en-GB"/>
              </w:rPr>
              <w:t>SC59 (aprobado por la ExCOP3)</w:t>
            </w:r>
          </w:p>
        </w:tc>
        <w:tc>
          <w:tcPr>
            <w:tcW w:w="1636" w:type="dxa"/>
            <w:tcBorders>
              <w:top w:val="single" w:sz="4" w:space="0" w:color="auto"/>
              <w:left w:val="single" w:sz="4" w:space="0" w:color="auto"/>
              <w:bottom w:val="nil"/>
              <w:right w:val="single" w:sz="4" w:space="0" w:color="auto"/>
            </w:tcBorders>
            <w:shd w:val="clear" w:color="auto" w:fill="E2EFD9" w:themeFill="accent6" w:themeFillTint="33"/>
            <w:vAlign w:val="center"/>
            <w:hideMark/>
          </w:tcPr>
          <w:p w14:paraId="44B37C8B" w14:textId="77777777" w:rsidR="006100DD" w:rsidRPr="003A72EE" w:rsidRDefault="006100DD" w:rsidP="00940BAE">
            <w:pPr>
              <w:jc w:val="center"/>
              <w:rPr>
                <w:b/>
                <w:bCs/>
                <w:noProof/>
                <w:sz w:val="20"/>
                <w:szCs w:val="20"/>
                <w:lang w:val="es-ES" w:eastAsia="en-GB"/>
              </w:rPr>
            </w:pPr>
            <w:r w:rsidRPr="003A72EE">
              <w:rPr>
                <w:b/>
                <w:bCs/>
                <w:noProof/>
                <w:sz w:val="20"/>
                <w:szCs w:val="20"/>
                <w:lang w:val="es-ES" w:eastAsia="en-GB"/>
              </w:rPr>
              <w:t>Fondos previamente comprometidos en 2021 a gastar en 2022</w:t>
            </w:r>
          </w:p>
        </w:tc>
        <w:tc>
          <w:tcPr>
            <w:tcW w:w="1636" w:type="dxa"/>
            <w:tcBorders>
              <w:top w:val="single" w:sz="4" w:space="0" w:color="auto"/>
              <w:left w:val="nil"/>
              <w:bottom w:val="nil"/>
              <w:right w:val="single" w:sz="4" w:space="0" w:color="auto"/>
            </w:tcBorders>
            <w:shd w:val="clear" w:color="auto" w:fill="E2EFD9" w:themeFill="accent6" w:themeFillTint="33"/>
            <w:vAlign w:val="center"/>
            <w:hideMark/>
          </w:tcPr>
          <w:p w14:paraId="34BDBF0E" w14:textId="5D11C418" w:rsidR="006100DD" w:rsidRPr="003A72EE" w:rsidRDefault="006100DD" w:rsidP="00940BAE">
            <w:pPr>
              <w:jc w:val="center"/>
              <w:rPr>
                <w:b/>
                <w:bCs/>
                <w:noProof/>
                <w:sz w:val="20"/>
                <w:szCs w:val="20"/>
                <w:lang w:val="es-ES" w:eastAsia="en-GB"/>
              </w:rPr>
            </w:pPr>
            <w:r w:rsidRPr="003A72EE">
              <w:rPr>
                <w:b/>
                <w:bCs/>
                <w:noProof/>
                <w:sz w:val="20"/>
                <w:szCs w:val="20"/>
                <w:lang w:val="es-ES" w:eastAsia="en-GB"/>
              </w:rPr>
              <w:t>Ajuste</w:t>
            </w:r>
            <w:r w:rsidR="00C34E5B" w:rsidRPr="003A72EE">
              <w:rPr>
                <w:b/>
                <w:bCs/>
                <w:noProof/>
                <w:sz w:val="20"/>
                <w:szCs w:val="20"/>
                <w:lang w:val="es-ES" w:eastAsia="en-GB"/>
              </w:rPr>
              <w:t>s de la reunión SC59/2022</w:t>
            </w:r>
            <w:r w:rsidRPr="003A72EE">
              <w:rPr>
                <w:b/>
                <w:bCs/>
                <w:noProof/>
                <w:sz w:val="20"/>
                <w:szCs w:val="20"/>
                <w:lang w:val="es-ES" w:eastAsia="en-GB"/>
              </w:rPr>
              <w:t xml:space="preserve"> al presupuesto de 2022 aprobados por la ExCOP3*</w:t>
            </w:r>
          </w:p>
        </w:tc>
        <w:tc>
          <w:tcPr>
            <w:tcW w:w="1843" w:type="dxa"/>
            <w:tcBorders>
              <w:top w:val="single" w:sz="4" w:space="0" w:color="auto"/>
              <w:left w:val="nil"/>
              <w:bottom w:val="nil"/>
              <w:right w:val="single" w:sz="4" w:space="0" w:color="auto"/>
            </w:tcBorders>
            <w:shd w:val="clear" w:color="auto" w:fill="E2EFD9" w:themeFill="accent6" w:themeFillTint="33"/>
            <w:vAlign w:val="center"/>
            <w:hideMark/>
          </w:tcPr>
          <w:p w14:paraId="6E575EC4" w14:textId="77777777" w:rsidR="006100DD" w:rsidRPr="003A72EE" w:rsidRDefault="006100DD" w:rsidP="00940BAE">
            <w:pPr>
              <w:jc w:val="center"/>
              <w:rPr>
                <w:b/>
                <w:bCs/>
                <w:noProof/>
                <w:sz w:val="20"/>
                <w:szCs w:val="20"/>
                <w:lang w:val="es-ES" w:eastAsia="en-GB"/>
              </w:rPr>
            </w:pPr>
            <w:r w:rsidRPr="003A72EE">
              <w:rPr>
                <w:b/>
                <w:bCs/>
                <w:noProof/>
                <w:sz w:val="20"/>
                <w:szCs w:val="20"/>
                <w:lang w:val="es-ES" w:eastAsia="en-GB"/>
              </w:rPr>
              <w:t>Total, presupuesto de 2022</w:t>
            </w:r>
          </w:p>
        </w:tc>
      </w:tr>
      <w:tr w:rsidR="00126728" w:rsidRPr="003A72EE" w14:paraId="50AEB29E" w14:textId="77777777" w:rsidTr="00126728">
        <w:trPr>
          <w:trHeight w:val="590"/>
          <w:tblHeader/>
        </w:trPr>
        <w:tc>
          <w:tcPr>
            <w:tcW w:w="4792" w:type="dxa"/>
            <w:tcBorders>
              <w:top w:val="nil"/>
              <w:left w:val="single" w:sz="4" w:space="0" w:color="auto"/>
              <w:right w:val="nil"/>
            </w:tcBorders>
            <w:shd w:val="clear" w:color="auto" w:fill="E2EFD9" w:themeFill="accent6" w:themeFillTint="33"/>
            <w:vAlign w:val="center"/>
            <w:hideMark/>
          </w:tcPr>
          <w:p w14:paraId="041ECC0F" w14:textId="51188B12" w:rsidR="00126728" w:rsidRPr="003A72EE" w:rsidRDefault="00126728" w:rsidP="00126728">
            <w:pPr>
              <w:jc w:val="center"/>
              <w:rPr>
                <w:b/>
                <w:bCs/>
                <w:noProof/>
                <w:color w:val="000000"/>
                <w:sz w:val="20"/>
                <w:szCs w:val="20"/>
                <w:lang w:val="es-ES" w:eastAsia="en-GB"/>
              </w:rPr>
            </w:pPr>
            <w:r w:rsidRPr="003A72EE">
              <w:rPr>
                <w:b/>
                <w:bCs/>
                <w:noProof/>
                <w:color w:val="000000"/>
                <w:sz w:val="20"/>
                <w:szCs w:val="20"/>
                <w:lang w:val="es-ES"/>
              </w:rPr>
              <w:t>en miles de francos suizos</w:t>
            </w:r>
          </w:p>
        </w:tc>
        <w:tc>
          <w:tcPr>
            <w:tcW w:w="1635" w:type="dxa"/>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2C870928" w14:textId="77777777" w:rsidR="00126728" w:rsidRPr="003A72EE" w:rsidRDefault="00126728" w:rsidP="00940BAE">
            <w:pPr>
              <w:jc w:val="center"/>
              <w:rPr>
                <w:b/>
                <w:bCs/>
                <w:noProof/>
                <w:color w:val="000000"/>
                <w:sz w:val="20"/>
                <w:szCs w:val="20"/>
                <w:lang w:val="es-ES" w:eastAsia="en-GB"/>
              </w:rPr>
            </w:pPr>
            <w:r w:rsidRPr="003A72EE">
              <w:rPr>
                <w:b/>
                <w:bCs/>
                <w:noProof/>
                <w:color w:val="000000"/>
                <w:sz w:val="20"/>
                <w:szCs w:val="20"/>
                <w:lang w:val="es-ES" w:eastAsia="en-GB"/>
              </w:rPr>
              <w:t>(A)</w:t>
            </w:r>
          </w:p>
        </w:tc>
        <w:tc>
          <w:tcPr>
            <w:tcW w:w="1636" w:type="dxa"/>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537715BA" w14:textId="77777777" w:rsidR="00126728" w:rsidRPr="003A72EE" w:rsidRDefault="00126728" w:rsidP="00940BAE">
            <w:pPr>
              <w:jc w:val="center"/>
              <w:rPr>
                <w:b/>
                <w:bCs/>
                <w:noProof/>
                <w:color w:val="000000"/>
                <w:sz w:val="20"/>
                <w:szCs w:val="20"/>
                <w:lang w:val="es-ES" w:eastAsia="en-GB"/>
              </w:rPr>
            </w:pPr>
            <w:r w:rsidRPr="003A72EE">
              <w:rPr>
                <w:b/>
                <w:bCs/>
                <w:noProof/>
                <w:color w:val="000000"/>
                <w:sz w:val="20"/>
                <w:szCs w:val="20"/>
                <w:lang w:val="es-ES" w:eastAsia="en-GB"/>
              </w:rPr>
              <w:t>(B)</w:t>
            </w:r>
          </w:p>
        </w:tc>
        <w:tc>
          <w:tcPr>
            <w:tcW w:w="1636" w:type="dxa"/>
            <w:tcBorders>
              <w:top w:val="nil"/>
              <w:left w:val="single" w:sz="4" w:space="0" w:color="auto"/>
              <w:bottom w:val="single" w:sz="4" w:space="0" w:color="000000"/>
              <w:right w:val="single" w:sz="4" w:space="0" w:color="auto"/>
            </w:tcBorders>
            <w:shd w:val="clear" w:color="auto" w:fill="E2EFD9" w:themeFill="accent6" w:themeFillTint="33"/>
            <w:vAlign w:val="center"/>
            <w:hideMark/>
          </w:tcPr>
          <w:p w14:paraId="1A896461" w14:textId="77777777" w:rsidR="00126728" w:rsidRPr="003A72EE" w:rsidRDefault="00126728" w:rsidP="00940BAE">
            <w:pPr>
              <w:jc w:val="center"/>
              <w:rPr>
                <w:b/>
                <w:bCs/>
                <w:noProof/>
                <w:color w:val="000000"/>
                <w:sz w:val="20"/>
                <w:szCs w:val="20"/>
                <w:lang w:val="es-ES" w:eastAsia="en-GB"/>
              </w:rPr>
            </w:pPr>
            <w:r w:rsidRPr="003A72EE">
              <w:rPr>
                <w:b/>
                <w:bCs/>
                <w:noProof/>
                <w:color w:val="000000"/>
                <w:sz w:val="20"/>
                <w:szCs w:val="20"/>
                <w:lang w:val="es-ES" w:eastAsia="en-GB"/>
              </w:rPr>
              <w:t>(C)</w:t>
            </w:r>
          </w:p>
        </w:tc>
        <w:tc>
          <w:tcPr>
            <w:tcW w:w="1636" w:type="dxa"/>
            <w:tcBorders>
              <w:top w:val="nil"/>
              <w:left w:val="nil"/>
              <w:bottom w:val="single" w:sz="4" w:space="0" w:color="000000"/>
              <w:right w:val="single" w:sz="4" w:space="0" w:color="auto"/>
            </w:tcBorders>
            <w:shd w:val="clear" w:color="auto" w:fill="E2EFD9" w:themeFill="accent6" w:themeFillTint="33"/>
            <w:vAlign w:val="center"/>
            <w:hideMark/>
          </w:tcPr>
          <w:p w14:paraId="23DC8E9E" w14:textId="77777777" w:rsidR="00126728" w:rsidRPr="003A72EE" w:rsidRDefault="00126728" w:rsidP="00940BAE">
            <w:pPr>
              <w:jc w:val="center"/>
              <w:rPr>
                <w:b/>
                <w:bCs/>
                <w:noProof/>
                <w:color w:val="000000"/>
                <w:sz w:val="20"/>
                <w:szCs w:val="20"/>
                <w:lang w:val="es-ES" w:eastAsia="en-GB"/>
              </w:rPr>
            </w:pPr>
            <w:r w:rsidRPr="003A72EE">
              <w:rPr>
                <w:b/>
                <w:bCs/>
                <w:noProof/>
                <w:color w:val="000000"/>
                <w:sz w:val="20"/>
                <w:szCs w:val="20"/>
                <w:lang w:val="es-ES" w:eastAsia="en-GB"/>
              </w:rPr>
              <w:t>(D)</w:t>
            </w:r>
          </w:p>
        </w:tc>
        <w:tc>
          <w:tcPr>
            <w:tcW w:w="1843" w:type="dxa"/>
            <w:tcBorders>
              <w:top w:val="nil"/>
              <w:left w:val="nil"/>
              <w:bottom w:val="single" w:sz="4" w:space="0" w:color="000000"/>
              <w:right w:val="single" w:sz="4" w:space="0" w:color="auto"/>
            </w:tcBorders>
            <w:shd w:val="clear" w:color="auto" w:fill="E2EFD9" w:themeFill="accent6" w:themeFillTint="33"/>
            <w:vAlign w:val="center"/>
            <w:hideMark/>
          </w:tcPr>
          <w:p w14:paraId="5F5811C6" w14:textId="77777777" w:rsidR="00126728" w:rsidRPr="003A72EE" w:rsidRDefault="00126728" w:rsidP="00940BAE">
            <w:pPr>
              <w:jc w:val="center"/>
              <w:rPr>
                <w:b/>
                <w:bCs/>
                <w:noProof/>
                <w:color w:val="000000"/>
                <w:sz w:val="20"/>
                <w:szCs w:val="20"/>
                <w:lang w:val="es-ES" w:eastAsia="en-GB"/>
              </w:rPr>
            </w:pPr>
            <w:r w:rsidRPr="003A72EE">
              <w:rPr>
                <w:b/>
                <w:bCs/>
                <w:noProof/>
                <w:color w:val="000000"/>
                <w:sz w:val="20"/>
                <w:szCs w:val="20"/>
                <w:lang w:val="es-ES" w:eastAsia="en-GB"/>
              </w:rPr>
              <w:t>(E)=(A)+(B)+(C)+(D)</w:t>
            </w:r>
          </w:p>
        </w:tc>
      </w:tr>
      <w:tr w:rsidR="006100DD" w:rsidRPr="003A72EE" w14:paraId="58620474" w14:textId="77777777" w:rsidTr="0012672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551558D1" w14:textId="77777777" w:rsidR="006100DD" w:rsidRPr="003A72EE" w:rsidRDefault="006100DD" w:rsidP="00940BAE">
            <w:pPr>
              <w:rPr>
                <w:b/>
                <w:bCs/>
                <w:noProof/>
                <w:color w:val="000000"/>
                <w:sz w:val="20"/>
                <w:szCs w:val="20"/>
                <w:lang w:val="es-ES" w:eastAsia="en-GB"/>
              </w:rPr>
            </w:pPr>
            <w:r w:rsidRPr="003A72EE">
              <w:rPr>
                <w:b/>
                <w:bCs/>
                <w:noProof/>
                <w:color w:val="000000"/>
                <w:sz w:val="20"/>
                <w:szCs w:val="20"/>
                <w:lang w:val="es-ES" w:eastAsia="en-GB"/>
              </w:rPr>
              <w:t>INGRESOS</w:t>
            </w:r>
          </w:p>
        </w:tc>
        <w:tc>
          <w:tcPr>
            <w:tcW w:w="1635" w:type="dxa"/>
            <w:tcBorders>
              <w:top w:val="nil"/>
              <w:left w:val="nil"/>
              <w:bottom w:val="nil"/>
              <w:right w:val="nil"/>
            </w:tcBorders>
            <w:shd w:val="clear" w:color="auto" w:fill="auto"/>
            <w:noWrap/>
            <w:vAlign w:val="center"/>
            <w:hideMark/>
          </w:tcPr>
          <w:p w14:paraId="2EFD257D" w14:textId="77777777" w:rsidR="006100DD" w:rsidRPr="003A72EE" w:rsidRDefault="006100DD" w:rsidP="00940BAE">
            <w:pPr>
              <w:rPr>
                <w:b/>
                <w:bCs/>
                <w:noProof/>
                <w:color w:val="000000"/>
                <w:sz w:val="20"/>
                <w:szCs w:val="20"/>
                <w:lang w:val="es-ES" w:eastAsia="en-GB"/>
              </w:rPr>
            </w:pPr>
          </w:p>
        </w:tc>
        <w:tc>
          <w:tcPr>
            <w:tcW w:w="1636" w:type="dxa"/>
            <w:tcBorders>
              <w:top w:val="nil"/>
              <w:left w:val="nil"/>
              <w:bottom w:val="nil"/>
              <w:right w:val="nil"/>
            </w:tcBorders>
            <w:shd w:val="clear" w:color="auto" w:fill="auto"/>
            <w:noWrap/>
            <w:vAlign w:val="center"/>
            <w:hideMark/>
          </w:tcPr>
          <w:p w14:paraId="409404E7" w14:textId="77777777" w:rsidR="006100DD" w:rsidRPr="003A72EE" w:rsidRDefault="006100DD" w:rsidP="00940BAE">
            <w:pPr>
              <w:rPr>
                <w:rFonts w:ascii="Times New Roman" w:hAnsi="Times New Roman"/>
                <w:noProof/>
                <w:sz w:val="20"/>
                <w:szCs w:val="20"/>
                <w:lang w:val="es-ES" w:eastAsia="en-GB"/>
              </w:rPr>
            </w:pPr>
          </w:p>
        </w:tc>
        <w:tc>
          <w:tcPr>
            <w:tcW w:w="1636" w:type="dxa"/>
            <w:tcBorders>
              <w:top w:val="nil"/>
              <w:left w:val="single" w:sz="4" w:space="0" w:color="auto"/>
              <w:bottom w:val="nil"/>
              <w:right w:val="nil"/>
            </w:tcBorders>
            <w:shd w:val="clear" w:color="auto" w:fill="auto"/>
            <w:noWrap/>
            <w:vAlign w:val="bottom"/>
            <w:hideMark/>
          </w:tcPr>
          <w:p w14:paraId="098CD941" w14:textId="77777777" w:rsidR="006100DD" w:rsidRPr="003A72EE" w:rsidRDefault="006100DD" w:rsidP="00940BAE">
            <w:pPr>
              <w:rPr>
                <w:rFonts w:ascii="Arial" w:hAnsi="Arial" w:cs="Arial"/>
                <w:noProof/>
                <w:color w:val="000000"/>
                <w:sz w:val="20"/>
                <w:szCs w:val="20"/>
                <w:lang w:val="es-ES" w:eastAsia="en-GB"/>
              </w:rPr>
            </w:pPr>
            <w:r w:rsidRPr="003A72EE">
              <w:rPr>
                <w:rFonts w:ascii="Arial" w:hAnsi="Arial" w:cs="Arial"/>
                <w:noProof/>
                <w:color w:val="000000"/>
                <w:sz w:val="20"/>
                <w:szCs w:val="20"/>
                <w:lang w:val="es-ES" w:eastAsia="en-GB"/>
              </w:rPr>
              <w:t> </w:t>
            </w:r>
          </w:p>
        </w:tc>
        <w:tc>
          <w:tcPr>
            <w:tcW w:w="1636" w:type="dxa"/>
            <w:tcBorders>
              <w:top w:val="nil"/>
              <w:left w:val="nil"/>
              <w:bottom w:val="nil"/>
              <w:right w:val="nil"/>
            </w:tcBorders>
            <w:shd w:val="clear" w:color="auto" w:fill="auto"/>
            <w:noWrap/>
            <w:vAlign w:val="bottom"/>
            <w:hideMark/>
          </w:tcPr>
          <w:p w14:paraId="7B774317" w14:textId="77777777" w:rsidR="006100DD" w:rsidRPr="003A72EE" w:rsidRDefault="006100DD" w:rsidP="00940BAE">
            <w:pPr>
              <w:rPr>
                <w:rFonts w:ascii="Arial" w:hAnsi="Arial" w:cs="Arial"/>
                <w:noProof/>
                <w:color w:val="000000"/>
                <w:sz w:val="20"/>
                <w:szCs w:val="20"/>
                <w:lang w:val="es-ES" w:eastAsia="en-GB"/>
              </w:rPr>
            </w:pPr>
          </w:p>
        </w:tc>
        <w:tc>
          <w:tcPr>
            <w:tcW w:w="1843" w:type="dxa"/>
            <w:tcBorders>
              <w:top w:val="nil"/>
              <w:left w:val="nil"/>
              <w:bottom w:val="nil"/>
              <w:right w:val="nil"/>
            </w:tcBorders>
            <w:shd w:val="clear" w:color="auto" w:fill="auto"/>
            <w:noWrap/>
            <w:vAlign w:val="bottom"/>
            <w:hideMark/>
          </w:tcPr>
          <w:p w14:paraId="2955B734" w14:textId="77777777" w:rsidR="006100DD" w:rsidRPr="003A72EE" w:rsidRDefault="006100DD" w:rsidP="00940BAE">
            <w:pPr>
              <w:rPr>
                <w:rFonts w:ascii="Times New Roman" w:hAnsi="Times New Roman"/>
                <w:noProof/>
                <w:sz w:val="20"/>
                <w:szCs w:val="20"/>
                <w:lang w:val="es-ES" w:eastAsia="en-GB"/>
              </w:rPr>
            </w:pPr>
          </w:p>
        </w:tc>
      </w:tr>
      <w:tr w:rsidR="006100DD" w:rsidRPr="003A72EE" w14:paraId="664406A0"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4351C9AE" w14:textId="77777777" w:rsidR="006100DD" w:rsidRPr="003A72EE" w:rsidRDefault="006100DD" w:rsidP="00940BAE">
            <w:pPr>
              <w:rPr>
                <w:noProof/>
                <w:color w:val="000000"/>
                <w:sz w:val="20"/>
                <w:szCs w:val="20"/>
                <w:lang w:val="es-ES" w:eastAsia="en-GB"/>
              </w:rPr>
            </w:pPr>
            <w:r w:rsidRPr="003A72EE">
              <w:rPr>
                <w:noProof/>
                <w:color w:val="000000"/>
                <w:sz w:val="20"/>
                <w:lang w:val="es-ES"/>
              </w:rPr>
              <w:t>Contribuciones de las Partes</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14:paraId="33B2F57F"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3 779</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14:paraId="7380E871"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390D"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14:paraId="5A338741"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5D8B929"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3 779</w:t>
            </w:r>
          </w:p>
        </w:tc>
      </w:tr>
      <w:tr w:rsidR="006100DD" w:rsidRPr="003A72EE" w14:paraId="47412C44"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5ABF12D2" w14:textId="77777777" w:rsidR="006100DD" w:rsidRPr="003A72EE" w:rsidRDefault="006100DD" w:rsidP="00940BAE">
            <w:pPr>
              <w:rPr>
                <w:noProof/>
                <w:color w:val="000000"/>
                <w:sz w:val="20"/>
                <w:szCs w:val="20"/>
                <w:lang w:val="es-ES" w:eastAsia="en-GB"/>
              </w:rPr>
            </w:pPr>
            <w:r w:rsidRPr="003A72EE">
              <w:rPr>
                <w:noProof/>
                <w:color w:val="000000"/>
                <w:sz w:val="20"/>
                <w:lang w:val="es-ES"/>
              </w:rPr>
              <w:t>Contribuciones voluntarias</w:t>
            </w:r>
          </w:p>
        </w:tc>
        <w:tc>
          <w:tcPr>
            <w:tcW w:w="1635" w:type="dxa"/>
            <w:tcBorders>
              <w:top w:val="nil"/>
              <w:left w:val="nil"/>
              <w:bottom w:val="single" w:sz="4" w:space="0" w:color="auto"/>
              <w:right w:val="single" w:sz="4" w:space="0" w:color="auto"/>
            </w:tcBorders>
            <w:shd w:val="clear" w:color="auto" w:fill="auto"/>
            <w:noWrap/>
            <w:vAlign w:val="center"/>
            <w:hideMark/>
          </w:tcPr>
          <w:p w14:paraId="6F41F54D"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1 065</w:t>
            </w:r>
          </w:p>
        </w:tc>
        <w:tc>
          <w:tcPr>
            <w:tcW w:w="1636" w:type="dxa"/>
            <w:tcBorders>
              <w:top w:val="nil"/>
              <w:left w:val="nil"/>
              <w:bottom w:val="single" w:sz="4" w:space="0" w:color="auto"/>
              <w:right w:val="single" w:sz="4" w:space="0" w:color="auto"/>
            </w:tcBorders>
            <w:shd w:val="clear" w:color="auto" w:fill="auto"/>
            <w:noWrap/>
            <w:vAlign w:val="center"/>
            <w:hideMark/>
          </w:tcPr>
          <w:p w14:paraId="506C8435"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6E18BB32"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45D2541E"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843" w:type="dxa"/>
            <w:tcBorders>
              <w:top w:val="nil"/>
              <w:left w:val="nil"/>
              <w:bottom w:val="single" w:sz="4" w:space="0" w:color="auto"/>
              <w:right w:val="single" w:sz="4" w:space="0" w:color="auto"/>
            </w:tcBorders>
            <w:shd w:val="clear" w:color="auto" w:fill="auto"/>
            <w:noWrap/>
            <w:vAlign w:val="center"/>
            <w:hideMark/>
          </w:tcPr>
          <w:p w14:paraId="30F1CC8E"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1 065</w:t>
            </w:r>
          </w:p>
        </w:tc>
      </w:tr>
      <w:tr w:rsidR="006100DD" w:rsidRPr="003A72EE" w14:paraId="3745FEBD"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2A4C0DE3" w14:textId="77777777" w:rsidR="006100DD" w:rsidRPr="003A72EE" w:rsidRDefault="006100DD" w:rsidP="00940BAE">
            <w:pPr>
              <w:rPr>
                <w:noProof/>
                <w:color w:val="000000"/>
                <w:sz w:val="20"/>
                <w:szCs w:val="20"/>
                <w:lang w:val="es-ES" w:eastAsia="en-GB"/>
              </w:rPr>
            </w:pPr>
            <w:r w:rsidRPr="003A72EE">
              <w:rPr>
                <w:noProof/>
                <w:color w:val="000000"/>
                <w:sz w:val="20"/>
                <w:lang w:val="es-ES"/>
              </w:rPr>
              <w:t>Impuesto sobre la renta</w:t>
            </w:r>
          </w:p>
        </w:tc>
        <w:tc>
          <w:tcPr>
            <w:tcW w:w="1635" w:type="dxa"/>
            <w:tcBorders>
              <w:top w:val="nil"/>
              <w:left w:val="nil"/>
              <w:bottom w:val="single" w:sz="4" w:space="0" w:color="auto"/>
              <w:right w:val="single" w:sz="4" w:space="0" w:color="auto"/>
            </w:tcBorders>
            <w:shd w:val="clear" w:color="auto" w:fill="auto"/>
            <w:noWrap/>
            <w:vAlign w:val="center"/>
            <w:hideMark/>
          </w:tcPr>
          <w:p w14:paraId="42BD877F"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225</w:t>
            </w:r>
          </w:p>
        </w:tc>
        <w:tc>
          <w:tcPr>
            <w:tcW w:w="1636" w:type="dxa"/>
            <w:tcBorders>
              <w:top w:val="nil"/>
              <w:left w:val="nil"/>
              <w:bottom w:val="single" w:sz="4" w:space="0" w:color="auto"/>
              <w:right w:val="single" w:sz="4" w:space="0" w:color="auto"/>
            </w:tcBorders>
            <w:shd w:val="clear" w:color="auto" w:fill="auto"/>
            <w:noWrap/>
            <w:vAlign w:val="center"/>
            <w:hideMark/>
          </w:tcPr>
          <w:p w14:paraId="7C03D84B"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3A8DA830"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677A057D"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843" w:type="dxa"/>
            <w:tcBorders>
              <w:top w:val="nil"/>
              <w:left w:val="nil"/>
              <w:bottom w:val="single" w:sz="4" w:space="0" w:color="auto"/>
              <w:right w:val="single" w:sz="4" w:space="0" w:color="auto"/>
            </w:tcBorders>
            <w:shd w:val="clear" w:color="auto" w:fill="auto"/>
            <w:noWrap/>
            <w:vAlign w:val="center"/>
            <w:hideMark/>
          </w:tcPr>
          <w:p w14:paraId="4F317443"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225</w:t>
            </w:r>
          </w:p>
        </w:tc>
      </w:tr>
      <w:tr w:rsidR="006100DD" w:rsidRPr="003A72EE" w14:paraId="027DEEDF"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134A6EAE" w14:textId="77777777" w:rsidR="006100DD" w:rsidRPr="003A72EE" w:rsidRDefault="006100DD" w:rsidP="00940BAE">
            <w:pPr>
              <w:rPr>
                <w:noProof/>
                <w:color w:val="000000"/>
                <w:sz w:val="20"/>
                <w:szCs w:val="20"/>
                <w:lang w:val="es-ES" w:eastAsia="en-GB"/>
              </w:rPr>
            </w:pPr>
            <w:r w:rsidRPr="003A72EE">
              <w:rPr>
                <w:noProof/>
                <w:color w:val="000000"/>
                <w:sz w:val="20"/>
                <w:lang w:val="es-ES"/>
              </w:rPr>
              <w:t>Otros ingresos (incluyendo ingresos por intereses)</w:t>
            </w:r>
          </w:p>
        </w:tc>
        <w:tc>
          <w:tcPr>
            <w:tcW w:w="1635" w:type="dxa"/>
            <w:tcBorders>
              <w:top w:val="nil"/>
              <w:left w:val="nil"/>
              <w:bottom w:val="single" w:sz="4" w:space="0" w:color="auto"/>
              <w:right w:val="single" w:sz="4" w:space="0" w:color="auto"/>
            </w:tcBorders>
            <w:shd w:val="clear" w:color="auto" w:fill="auto"/>
            <w:noWrap/>
            <w:vAlign w:val="center"/>
            <w:hideMark/>
          </w:tcPr>
          <w:p w14:paraId="2984D0C5"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12</w:t>
            </w:r>
          </w:p>
        </w:tc>
        <w:tc>
          <w:tcPr>
            <w:tcW w:w="1636" w:type="dxa"/>
            <w:tcBorders>
              <w:top w:val="nil"/>
              <w:left w:val="nil"/>
              <w:bottom w:val="single" w:sz="4" w:space="0" w:color="auto"/>
              <w:right w:val="single" w:sz="4" w:space="0" w:color="auto"/>
            </w:tcBorders>
            <w:shd w:val="clear" w:color="auto" w:fill="auto"/>
            <w:noWrap/>
            <w:vAlign w:val="center"/>
            <w:hideMark/>
          </w:tcPr>
          <w:p w14:paraId="6749DAF3"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17617DC3"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12226162"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843" w:type="dxa"/>
            <w:tcBorders>
              <w:top w:val="nil"/>
              <w:left w:val="nil"/>
              <w:bottom w:val="single" w:sz="4" w:space="0" w:color="auto"/>
              <w:right w:val="single" w:sz="4" w:space="0" w:color="auto"/>
            </w:tcBorders>
            <w:shd w:val="clear" w:color="auto" w:fill="auto"/>
            <w:noWrap/>
            <w:vAlign w:val="center"/>
            <w:hideMark/>
          </w:tcPr>
          <w:p w14:paraId="4BFEA147"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12</w:t>
            </w:r>
          </w:p>
        </w:tc>
      </w:tr>
      <w:tr w:rsidR="006100DD" w:rsidRPr="003A72EE" w14:paraId="0A295DF2" w14:textId="77777777" w:rsidTr="00126728">
        <w:trPr>
          <w:trHeight w:val="270"/>
        </w:trPr>
        <w:tc>
          <w:tcPr>
            <w:tcW w:w="47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419ED4" w14:textId="77777777" w:rsidR="006100DD" w:rsidRPr="003A72EE" w:rsidRDefault="006100DD" w:rsidP="00940BAE">
            <w:pPr>
              <w:rPr>
                <w:b/>
                <w:bCs/>
                <w:noProof/>
                <w:color w:val="000000"/>
                <w:sz w:val="20"/>
                <w:szCs w:val="20"/>
                <w:lang w:val="es-ES" w:eastAsia="en-GB"/>
              </w:rPr>
            </w:pPr>
            <w:r w:rsidRPr="003A72EE">
              <w:rPr>
                <w:b/>
                <w:bCs/>
                <w:noProof/>
                <w:color w:val="000000"/>
                <w:sz w:val="20"/>
                <w:szCs w:val="20"/>
                <w:lang w:val="es-ES" w:eastAsia="en-GB"/>
              </w:rPr>
              <w:t>TOTAL, INGRESOS</w:t>
            </w:r>
          </w:p>
        </w:tc>
        <w:tc>
          <w:tcPr>
            <w:tcW w:w="1635" w:type="dxa"/>
            <w:tcBorders>
              <w:top w:val="nil"/>
              <w:left w:val="nil"/>
              <w:bottom w:val="single" w:sz="4" w:space="0" w:color="auto"/>
              <w:right w:val="single" w:sz="4" w:space="0" w:color="auto"/>
            </w:tcBorders>
            <w:shd w:val="clear" w:color="auto" w:fill="E2EFD9" w:themeFill="accent6" w:themeFillTint="33"/>
            <w:noWrap/>
            <w:vAlign w:val="center"/>
            <w:hideMark/>
          </w:tcPr>
          <w:p w14:paraId="5476FF3D"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5 081</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742A97EE"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1137E53"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03E1E92F"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843" w:type="dxa"/>
            <w:tcBorders>
              <w:top w:val="nil"/>
              <w:left w:val="nil"/>
              <w:bottom w:val="single" w:sz="4" w:space="0" w:color="auto"/>
              <w:right w:val="single" w:sz="4" w:space="0" w:color="auto"/>
            </w:tcBorders>
            <w:shd w:val="clear" w:color="auto" w:fill="E2EFD9" w:themeFill="accent6" w:themeFillTint="33"/>
            <w:noWrap/>
            <w:vAlign w:val="center"/>
            <w:hideMark/>
          </w:tcPr>
          <w:p w14:paraId="0CBB57F1"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5 081</w:t>
            </w:r>
          </w:p>
        </w:tc>
      </w:tr>
      <w:tr w:rsidR="006100DD" w:rsidRPr="003A72EE" w14:paraId="014A0CCF" w14:textId="77777777" w:rsidTr="00126728">
        <w:trPr>
          <w:trHeight w:val="270"/>
        </w:trPr>
        <w:tc>
          <w:tcPr>
            <w:tcW w:w="4792" w:type="dxa"/>
            <w:tcBorders>
              <w:top w:val="single" w:sz="4" w:space="0" w:color="auto"/>
              <w:left w:val="single" w:sz="4" w:space="0" w:color="auto"/>
            </w:tcBorders>
            <w:shd w:val="clear" w:color="auto" w:fill="auto"/>
            <w:noWrap/>
            <w:vAlign w:val="center"/>
            <w:hideMark/>
          </w:tcPr>
          <w:p w14:paraId="7005B287" w14:textId="77777777" w:rsidR="006100DD" w:rsidRPr="003A72EE" w:rsidRDefault="006100DD" w:rsidP="00940BAE">
            <w:pPr>
              <w:rPr>
                <w:b/>
                <w:bCs/>
                <w:noProof/>
                <w:color w:val="000000"/>
                <w:sz w:val="20"/>
                <w:szCs w:val="20"/>
                <w:lang w:val="es-ES" w:eastAsia="en-GB"/>
              </w:rPr>
            </w:pPr>
            <w:r w:rsidRPr="003A72EE">
              <w:rPr>
                <w:b/>
                <w:bCs/>
                <w:noProof/>
                <w:color w:val="000000"/>
                <w:sz w:val="20"/>
                <w:szCs w:val="20"/>
                <w:lang w:val="es-ES" w:eastAsia="en-GB"/>
              </w:rPr>
              <w:t> </w:t>
            </w:r>
          </w:p>
        </w:tc>
        <w:tc>
          <w:tcPr>
            <w:tcW w:w="1635" w:type="dxa"/>
            <w:tcBorders>
              <w:top w:val="nil"/>
              <w:left w:val="nil"/>
              <w:bottom w:val="nil"/>
              <w:right w:val="nil"/>
            </w:tcBorders>
            <w:shd w:val="clear" w:color="auto" w:fill="auto"/>
            <w:noWrap/>
            <w:vAlign w:val="bottom"/>
            <w:hideMark/>
          </w:tcPr>
          <w:p w14:paraId="259EC5ED" w14:textId="77777777" w:rsidR="006100DD" w:rsidRPr="003A72EE" w:rsidRDefault="006100DD" w:rsidP="00940BAE">
            <w:pPr>
              <w:rPr>
                <w:b/>
                <w:bCs/>
                <w:noProof/>
                <w:color w:val="000000"/>
                <w:sz w:val="20"/>
                <w:szCs w:val="20"/>
                <w:lang w:val="es-ES" w:eastAsia="en-GB"/>
              </w:rPr>
            </w:pPr>
          </w:p>
        </w:tc>
        <w:tc>
          <w:tcPr>
            <w:tcW w:w="1636" w:type="dxa"/>
            <w:tcBorders>
              <w:top w:val="nil"/>
              <w:left w:val="nil"/>
              <w:right w:val="nil"/>
            </w:tcBorders>
            <w:shd w:val="clear" w:color="auto" w:fill="auto"/>
            <w:noWrap/>
            <w:vAlign w:val="bottom"/>
            <w:hideMark/>
          </w:tcPr>
          <w:p w14:paraId="571BE9B1" w14:textId="77777777" w:rsidR="006100DD" w:rsidRPr="003A72EE" w:rsidRDefault="006100DD" w:rsidP="00940BAE">
            <w:pPr>
              <w:rPr>
                <w:rFonts w:ascii="Times New Roman" w:hAnsi="Times New Roman"/>
                <w:noProof/>
                <w:sz w:val="20"/>
                <w:szCs w:val="20"/>
                <w:lang w:val="es-ES" w:eastAsia="en-GB"/>
              </w:rPr>
            </w:pPr>
          </w:p>
        </w:tc>
        <w:tc>
          <w:tcPr>
            <w:tcW w:w="1636" w:type="dxa"/>
            <w:tcBorders>
              <w:top w:val="nil"/>
              <w:left w:val="nil"/>
              <w:bottom w:val="nil"/>
              <w:right w:val="nil"/>
            </w:tcBorders>
            <w:shd w:val="clear" w:color="auto" w:fill="auto"/>
            <w:noWrap/>
            <w:vAlign w:val="bottom"/>
            <w:hideMark/>
          </w:tcPr>
          <w:p w14:paraId="64E107E9" w14:textId="77777777" w:rsidR="006100DD" w:rsidRPr="003A72EE" w:rsidRDefault="006100DD" w:rsidP="00940BAE">
            <w:pPr>
              <w:rPr>
                <w:rFonts w:ascii="Times New Roman" w:hAnsi="Times New Roman"/>
                <w:noProof/>
                <w:sz w:val="20"/>
                <w:szCs w:val="20"/>
                <w:lang w:val="es-ES" w:eastAsia="en-GB"/>
              </w:rPr>
            </w:pPr>
          </w:p>
        </w:tc>
        <w:tc>
          <w:tcPr>
            <w:tcW w:w="1636" w:type="dxa"/>
            <w:tcBorders>
              <w:top w:val="nil"/>
              <w:left w:val="nil"/>
              <w:bottom w:val="nil"/>
              <w:right w:val="nil"/>
            </w:tcBorders>
            <w:shd w:val="clear" w:color="auto" w:fill="auto"/>
            <w:noWrap/>
            <w:vAlign w:val="bottom"/>
            <w:hideMark/>
          </w:tcPr>
          <w:p w14:paraId="27F962F7" w14:textId="77777777" w:rsidR="006100DD" w:rsidRPr="003A72EE" w:rsidRDefault="006100DD" w:rsidP="00940BAE">
            <w:pPr>
              <w:rPr>
                <w:rFonts w:ascii="Times New Roman" w:hAnsi="Times New Roman"/>
                <w:noProof/>
                <w:sz w:val="20"/>
                <w:szCs w:val="20"/>
                <w:lang w:val="es-ES" w:eastAsia="en-GB"/>
              </w:rPr>
            </w:pPr>
          </w:p>
        </w:tc>
        <w:tc>
          <w:tcPr>
            <w:tcW w:w="1843" w:type="dxa"/>
            <w:tcBorders>
              <w:top w:val="single" w:sz="4" w:space="0" w:color="auto"/>
              <w:left w:val="nil"/>
              <w:bottom w:val="nil"/>
              <w:right w:val="single" w:sz="4" w:space="0" w:color="auto"/>
            </w:tcBorders>
            <w:shd w:val="clear" w:color="auto" w:fill="auto"/>
            <w:noWrap/>
            <w:vAlign w:val="bottom"/>
            <w:hideMark/>
          </w:tcPr>
          <w:p w14:paraId="25567819" w14:textId="77777777" w:rsidR="006100DD" w:rsidRPr="003A72EE" w:rsidRDefault="006100DD" w:rsidP="00940BAE">
            <w:pPr>
              <w:rPr>
                <w:rFonts w:ascii="Times New Roman" w:hAnsi="Times New Roman"/>
                <w:noProof/>
                <w:sz w:val="20"/>
                <w:szCs w:val="20"/>
                <w:lang w:val="es-ES" w:eastAsia="en-GB"/>
              </w:rPr>
            </w:pPr>
          </w:p>
        </w:tc>
      </w:tr>
      <w:tr w:rsidR="006100DD" w:rsidRPr="003A72EE" w14:paraId="677631CE" w14:textId="77777777" w:rsidTr="00126728">
        <w:trPr>
          <w:trHeight w:val="270"/>
        </w:trPr>
        <w:tc>
          <w:tcPr>
            <w:tcW w:w="4792" w:type="dxa"/>
            <w:tcBorders>
              <w:left w:val="single" w:sz="4" w:space="0" w:color="auto"/>
              <w:bottom w:val="single" w:sz="4" w:space="0" w:color="auto"/>
              <w:right w:val="nil"/>
            </w:tcBorders>
            <w:shd w:val="clear" w:color="auto" w:fill="auto"/>
            <w:noWrap/>
            <w:vAlign w:val="center"/>
            <w:hideMark/>
          </w:tcPr>
          <w:p w14:paraId="10DA1DBF" w14:textId="77777777" w:rsidR="006100DD" w:rsidRPr="003A72EE" w:rsidRDefault="006100DD" w:rsidP="00940BAE">
            <w:pPr>
              <w:rPr>
                <w:b/>
                <w:bCs/>
                <w:noProof/>
                <w:color w:val="000000"/>
                <w:sz w:val="20"/>
                <w:szCs w:val="20"/>
                <w:lang w:val="es-ES" w:eastAsia="en-GB"/>
              </w:rPr>
            </w:pPr>
            <w:r w:rsidRPr="003A72EE">
              <w:rPr>
                <w:b/>
                <w:bCs/>
                <w:noProof/>
                <w:color w:val="000000"/>
                <w:sz w:val="20"/>
                <w:szCs w:val="20"/>
                <w:lang w:val="es-ES" w:eastAsia="en-GB"/>
              </w:rPr>
              <w:t>EXPENDITURES</w:t>
            </w:r>
          </w:p>
        </w:tc>
        <w:tc>
          <w:tcPr>
            <w:tcW w:w="1635" w:type="dxa"/>
            <w:tcBorders>
              <w:top w:val="nil"/>
              <w:left w:val="nil"/>
              <w:bottom w:val="nil"/>
              <w:right w:val="nil"/>
            </w:tcBorders>
            <w:shd w:val="clear" w:color="auto" w:fill="auto"/>
            <w:noWrap/>
            <w:vAlign w:val="bottom"/>
            <w:hideMark/>
          </w:tcPr>
          <w:p w14:paraId="1AB3D2E0" w14:textId="77777777" w:rsidR="006100DD" w:rsidRPr="003A72EE" w:rsidRDefault="006100DD" w:rsidP="00940BAE">
            <w:pPr>
              <w:rPr>
                <w:b/>
                <w:bCs/>
                <w:noProof/>
                <w:color w:val="000000"/>
                <w:sz w:val="20"/>
                <w:szCs w:val="20"/>
                <w:lang w:val="es-ES" w:eastAsia="en-GB"/>
              </w:rPr>
            </w:pPr>
          </w:p>
        </w:tc>
        <w:tc>
          <w:tcPr>
            <w:tcW w:w="1636" w:type="dxa"/>
            <w:tcBorders>
              <w:top w:val="nil"/>
              <w:left w:val="nil"/>
              <w:bottom w:val="nil"/>
            </w:tcBorders>
            <w:shd w:val="clear" w:color="auto" w:fill="auto"/>
            <w:noWrap/>
            <w:vAlign w:val="bottom"/>
            <w:hideMark/>
          </w:tcPr>
          <w:p w14:paraId="7FAD99F9" w14:textId="77777777" w:rsidR="006100DD" w:rsidRPr="003A72EE" w:rsidRDefault="006100DD" w:rsidP="00940BAE">
            <w:pPr>
              <w:rPr>
                <w:rFonts w:ascii="Times New Roman" w:hAnsi="Times New Roman"/>
                <w:noProof/>
                <w:sz w:val="20"/>
                <w:szCs w:val="20"/>
                <w:lang w:val="es-ES" w:eastAsia="en-GB"/>
              </w:rPr>
            </w:pPr>
          </w:p>
        </w:tc>
        <w:tc>
          <w:tcPr>
            <w:tcW w:w="1636" w:type="dxa"/>
            <w:tcBorders>
              <w:top w:val="nil"/>
              <w:left w:val="nil"/>
              <w:bottom w:val="nil"/>
              <w:right w:val="nil"/>
            </w:tcBorders>
            <w:shd w:val="clear" w:color="auto" w:fill="auto"/>
            <w:noWrap/>
            <w:vAlign w:val="bottom"/>
            <w:hideMark/>
          </w:tcPr>
          <w:p w14:paraId="41F8EFAA" w14:textId="77777777" w:rsidR="006100DD" w:rsidRPr="003A72EE" w:rsidRDefault="006100DD" w:rsidP="00940BAE">
            <w:pPr>
              <w:rPr>
                <w:rFonts w:ascii="Arial" w:hAnsi="Arial" w:cs="Arial"/>
                <w:noProof/>
                <w:color w:val="000000"/>
                <w:sz w:val="20"/>
                <w:szCs w:val="20"/>
                <w:lang w:val="es-ES" w:eastAsia="en-GB"/>
              </w:rPr>
            </w:pPr>
            <w:r w:rsidRPr="003A72EE">
              <w:rPr>
                <w:rFonts w:ascii="Arial" w:hAnsi="Arial" w:cs="Arial"/>
                <w:noProof/>
                <w:color w:val="000000"/>
                <w:sz w:val="20"/>
                <w:szCs w:val="20"/>
                <w:lang w:val="es-ES" w:eastAsia="en-GB"/>
              </w:rPr>
              <w:t> </w:t>
            </w:r>
          </w:p>
        </w:tc>
        <w:tc>
          <w:tcPr>
            <w:tcW w:w="1636" w:type="dxa"/>
            <w:tcBorders>
              <w:top w:val="nil"/>
              <w:left w:val="nil"/>
              <w:bottom w:val="nil"/>
              <w:right w:val="nil"/>
            </w:tcBorders>
            <w:shd w:val="clear" w:color="auto" w:fill="auto"/>
            <w:noWrap/>
            <w:vAlign w:val="bottom"/>
            <w:hideMark/>
          </w:tcPr>
          <w:p w14:paraId="060F14EB" w14:textId="77777777" w:rsidR="006100DD" w:rsidRPr="003A72EE" w:rsidRDefault="006100DD" w:rsidP="00940BAE">
            <w:pPr>
              <w:rPr>
                <w:rFonts w:ascii="Arial" w:hAnsi="Arial" w:cs="Arial"/>
                <w:noProof/>
                <w:color w:val="000000"/>
                <w:sz w:val="20"/>
                <w:szCs w:val="20"/>
                <w:lang w:val="es-ES" w:eastAsia="en-GB"/>
              </w:rPr>
            </w:pPr>
          </w:p>
        </w:tc>
        <w:tc>
          <w:tcPr>
            <w:tcW w:w="1843" w:type="dxa"/>
            <w:tcBorders>
              <w:top w:val="nil"/>
              <w:left w:val="nil"/>
              <w:bottom w:val="single" w:sz="4" w:space="0" w:color="auto"/>
              <w:right w:val="single" w:sz="4" w:space="0" w:color="auto"/>
            </w:tcBorders>
            <w:shd w:val="clear" w:color="auto" w:fill="auto"/>
            <w:noWrap/>
            <w:vAlign w:val="bottom"/>
            <w:hideMark/>
          </w:tcPr>
          <w:p w14:paraId="0BA22BC7" w14:textId="77777777" w:rsidR="006100DD" w:rsidRPr="003A72EE" w:rsidRDefault="006100DD" w:rsidP="00940BAE">
            <w:pPr>
              <w:rPr>
                <w:rFonts w:ascii="Times New Roman" w:hAnsi="Times New Roman"/>
                <w:noProof/>
                <w:sz w:val="20"/>
                <w:szCs w:val="20"/>
                <w:lang w:val="es-ES" w:eastAsia="en-GB"/>
              </w:rPr>
            </w:pPr>
          </w:p>
        </w:tc>
      </w:tr>
      <w:tr w:rsidR="006100DD" w:rsidRPr="003A72EE" w14:paraId="2E67EF14" w14:textId="77777777" w:rsidTr="00126728">
        <w:trPr>
          <w:trHeight w:val="270"/>
        </w:trPr>
        <w:tc>
          <w:tcPr>
            <w:tcW w:w="47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6194BC" w14:textId="77777777" w:rsidR="006100DD" w:rsidRPr="003A72EE" w:rsidRDefault="006100DD" w:rsidP="00940BAE">
            <w:pPr>
              <w:rPr>
                <w:noProof/>
                <w:color w:val="000000"/>
                <w:sz w:val="20"/>
                <w:szCs w:val="20"/>
                <w:lang w:val="es-ES" w:eastAsia="en-GB"/>
              </w:rPr>
            </w:pPr>
            <w:r w:rsidRPr="003A72EE">
              <w:rPr>
                <w:noProof/>
                <w:color w:val="000000" w:themeColor="text1"/>
                <w:sz w:val="20"/>
                <w:lang w:val="es-ES"/>
              </w:rPr>
              <w:t xml:space="preserve">A. </w:t>
            </w:r>
            <w:r w:rsidRPr="003A72EE">
              <w:rPr>
                <w:noProof/>
                <w:color w:val="000000" w:themeColor="text1"/>
                <w:sz w:val="20"/>
                <w:szCs w:val="20"/>
                <w:lang w:val="es-ES" w:eastAsia="en-GB"/>
              </w:rPr>
              <w:t xml:space="preserve"> Personal directivo de la Secretaría y gobernanza</w:t>
            </w:r>
          </w:p>
        </w:tc>
        <w:tc>
          <w:tcPr>
            <w:tcW w:w="1635"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693D587"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1 030</w:t>
            </w:r>
          </w:p>
        </w:tc>
        <w:tc>
          <w:tcPr>
            <w:tcW w:w="16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0735EBA"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5</w:t>
            </w:r>
          </w:p>
        </w:tc>
        <w:tc>
          <w:tcPr>
            <w:tcW w:w="16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1505F8BD"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636"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124252E"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843"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2B32A3C"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1 035</w:t>
            </w:r>
          </w:p>
        </w:tc>
      </w:tr>
      <w:tr w:rsidR="006100DD" w:rsidRPr="003A72EE" w14:paraId="7CBE24BA" w14:textId="77777777" w:rsidTr="0012672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644B9D58" w14:textId="77777777" w:rsidR="006100DD" w:rsidRPr="003A72EE" w:rsidRDefault="006100DD" w:rsidP="00940BAE">
            <w:pPr>
              <w:rPr>
                <w:noProof/>
                <w:sz w:val="20"/>
                <w:szCs w:val="20"/>
                <w:lang w:val="es-ES" w:eastAsia="en-GB"/>
              </w:rPr>
            </w:pPr>
            <w:r w:rsidRPr="003A72EE">
              <w:rPr>
                <w:noProof/>
                <w:sz w:val="20"/>
                <w:szCs w:val="20"/>
                <w:lang w:val="es-ES" w:eastAsia="en-GB"/>
              </w:rPr>
              <w:t>Salarios, gastos sociales y otras prestaciones laborales</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43E029F6" w14:textId="77777777" w:rsidR="006100DD" w:rsidRPr="003A72EE" w:rsidRDefault="006100DD" w:rsidP="00940BAE">
            <w:pPr>
              <w:jc w:val="right"/>
              <w:rPr>
                <w:noProof/>
                <w:sz w:val="20"/>
                <w:szCs w:val="20"/>
                <w:lang w:val="es-ES" w:eastAsia="en-GB"/>
              </w:rPr>
            </w:pPr>
            <w:r w:rsidRPr="003A72EE">
              <w:rPr>
                <w:noProof/>
                <w:sz w:val="20"/>
                <w:szCs w:val="20"/>
                <w:lang w:val="es-ES" w:eastAsia="en-GB"/>
              </w:rPr>
              <w:t>990</w:t>
            </w:r>
          </w:p>
        </w:tc>
        <w:tc>
          <w:tcPr>
            <w:tcW w:w="1636" w:type="dxa"/>
            <w:tcBorders>
              <w:top w:val="nil"/>
              <w:left w:val="nil"/>
              <w:bottom w:val="single" w:sz="4" w:space="0" w:color="auto"/>
              <w:right w:val="single" w:sz="4" w:space="0" w:color="auto"/>
            </w:tcBorders>
            <w:shd w:val="clear" w:color="auto" w:fill="auto"/>
            <w:noWrap/>
            <w:vAlign w:val="center"/>
            <w:hideMark/>
          </w:tcPr>
          <w:p w14:paraId="09B698EA"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3D14F49E"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67F9204C"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5B58E7B6"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990</w:t>
            </w:r>
          </w:p>
        </w:tc>
      </w:tr>
      <w:tr w:rsidR="006100DD" w:rsidRPr="003A72EE" w14:paraId="604591DD" w14:textId="77777777" w:rsidTr="00126728">
        <w:trPr>
          <w:trHeight w:val="27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3FE31" w14:textId="77777777" w:rsidR="006100DD" w:rsidRPr="003A72EE" w:rsidRDefault="006100DD" w:rsidP="00940BAE">
            <w:pPr>
              <w:rPr>
                <w:noProof/>
                <w:sz w:val="20"/>
                <w:szCs w:val="20"/>
                <w:lang w:val="es-ES" w:eastAsia="en-GB"/>
              </w:rPr>
            </w:pPr>
            <w:r w:rsidRPr="003A72EE">
              <w:rPr>
                <w:noProof/>
                <w:sz w:val="20"/>
                <w:szCs w:val="20"/>
                <w:lang w:val="es-ES" w:eastAsia="en-GB"/>
              </w:rPr>
              <w:t>Viajes</w:t>
            </w:r>
          </w:p>
        </w:tc>
        <w:tc>
          <w:tcPr>
            <w:tcW w:w="1635" w:type="dxa"/>
            <w:tcBorders>
              <w:top w:val="nil"/>
              <w:left w:val="nil"/>
              <w:bottom w:val="single" w:sz="4" w:space="0" w:color="auto"/>
              <w:right w:val="single" w:sz="4" w:space="0" w:color="auto"/>
            </w:tcBorders>
            <w:shd w:val="clear" w:color="auto" w:fill="auto"/>
            <w:noWrap/>
            <w:vAlign w:val="center"/>
            <w:hideMark/>
          </w:tcPr>
          <w:p w14:paraId="398B52C7" w14:textId="77777777" w:rsidR="006100DD" w:rsidRPr="003A72EE" w:rsidRDefault="006100DD" w:rsidP="00940BAE">
            <w:pPr>
              <w:jc w:val="right"/>
              <w:rPr>
                <w:noProof/>
                <w:sz w:val="20"/>
                <w:szCs w:val="20"/>
                <w:lang w:val="es-ES" w:eastAsia="en-GB"/>
              </w:rPr>
            </w:pPr>
            <w:r w:rsidRPr="003A72EE">
              <w:rPr>
                <w:noProof/>
                <w:sz w:val="20"/>
                <w:szCs w:val="20"/>
                <w:lang w:val="es-ES" w:eastAsia="en-GB"/>
              </w:rPr>
              <w:t>40</w:t>
            </w:r>
          </w:p>
        </w:tc>
        <w:tc>
          <w:tcPr>
            <w:tcW w:w="1636" w:type="dxa"/>
            <w:tcBorders>
              <w:top w:val="nil"/>
              <w:left w:val="nil"/>
              <w:bottom w:val="single" w:sz="4" w:space="0" w:color="auto"/>
              <w:right w:val="single" w:sz="4" w:space="0" w:color="auto"/>
            </w:tcBorders>
            <w:shd w:val="clear" w:color="auto" w:fill="auto"/>
            <w:noWrap/>
            <w:vAlign w:val="center"/>
            <w:hideMark/>
          </w:tcPr>
          <w:p w14:paraId="30F35FE1" w14:textId="77777777" w:rsidR="006100DD" w:rsidRPr="003A72EE" w:rsidRDefault="006100DD" w:rsidP="00940BAE">
            <w:pPr>
              <w:jc w:val="right"/>
              <w:rPr>
                <w:noProof/>
                <w:sz w:val="20"/>
                <w:szCs w:val="20"/>
                <w:lang w:val="es-ES" w:eastAsia="en-GB"/>
              </w:rPr>
            </w:pPr>
            <w:r w:rsidRPr="003A72EE">
              <w:rPr>
                <w:noProof/>
                <w:sz w:val="20"/>
                <w:szCs w:val="20"/>
                <w:lang w:val="es-ES" w:eastAsia="en-GB"/>
              </w:rPr>
              <w:t>5</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03B20E70"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60E08E0A"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21B60E0B"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45</w:t>
            </w:r>
          </w:p>
        </w:tc>
      </w:tr>
      <w:tr w:rsidR="006100DD" w:rsidRPr="003A72EE" w14:paraId="51366F21"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7F9AB44" w14:textId="77777777" w:rsidR="006100DD" w:rsidRPr="003A72EE" w:rsidRDefault="006100DD" w:rsidP="00940BAE">
            <w:pPr>
              <w:rPr>
                <w:noProof/>
                <w:color w:val="000000"/>
                <w:sz w:val="20"/>
                <w:szCs w:val="20"/>
                <w:lang w:val="es-ES" w:eastAsia="en-GB"/>
              </w:rPr>
            </w:pPr>
            <w:r w:rsidRPr="003A72EE">
              <w:rPr>
                <w:noProof/>
                <w:color w:val="000000"/>
                <w:sz w:val="20"/>
                <w:lang w:val="es-ES"/>
              </w:rPr>
              <w:t>B.</w:t>
            </w:r>
            <w:r w:rsidRPr="003A72EE">
              <w:rPr>
                <w:noProof/>
                <w:color w:val="000000"/>
                <w:sz w:val="20"/>
                <w:szCs w:val="20"/>
                <w:lang w:val="es-ES" w:eastAsia="en-GB"/>
              </w:rPr>
              <w:t xml:space="preserve"> </w:t>
            </w:r>
            <w:r w:rsidRPr="003A72EE">
              <w:rPr>
                <w:noProof/>
                <w:color w:val="000000"/>
                <w:sz w:val="20"/>
                <w:lang w:val="es-ES"/>
              </w:rPr>
              <w:t xml:space="preserve"> Movilización de recursos y promoción</w:t>
            </w:r>
          </w:p>
        </w:tc>
        <w:tc>
          <w:tcPr>
            <w:tcW w:w="1635" w:type="dxa"/>
            <w:tcBorders>
              <w:top w:val="nil"/>
              <w:left w:val="nil"/>
              <w:bottom w:val="single" w:sz="4" w:space="0" w:color="auto"/>
              <w:right w:val="single" w:sz="4" w:space="0" w:color="auto"/>
            </w:tcBorders>
            <w:shd w:val="clear" w:color="auto" w:fill="E2EFD9" w:themeFill="accent6" w:themeFillTint="33"/>
            <w:noWrap/>
            <w:vAlign w:val="center"/>
            <w:hideMark/>
          </w:tcPr>
          <w:p w14:paraId="702C43B1"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594</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6D2DBE08"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45</w:t>
            </w:r>
          </w:p>
        </w:tc>
        <w:tc>
          <w:tcPr>
            <w:tcW w:w="163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EE025EE"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211</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481BDA07"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843" w:type="dxa"/>
            <w:tcBorders>
              <w:top w:val="nil"/>
              <w:left w:val="nil"/>
              <w:bottom w:val="single" w:sz="4" w:space="0" w:color="auto"/>
              <w:right w:val="single" w:sz="4" w:space="0" w:color="auto"/>
            </w:tcBorders>
            <w:shd w:val="clear" w:color="auto" w:fill="E2EFD9" w:themeFill="accent6" w:themeFillTint="33"/>
            <w:noWrap/>
            <w:vAlign w:val="center"/>
            <w:hideMark/>
          </w:tcPr>
          <w:p w14:paraId="6F880BB7"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850</w:t>
            </w:r>
          </w:p>
        </w:tc>
      </w:tr>
      <w:tr w:rsidR="006100DD" w:rsidRPr="003A72EE" w14:paraId="0194AA2A" w14:textId="77777777" w:rsidTr="0012672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30522460" w14:textId="77777777" w:rsidR="006100DD" w:rsidRPr="003A72EE" w:rsidRDefault="006100DD" w:rsidP="00940BAE">
            <w:pPr>
              <w:rPr>
                <w:noProof/>
                <w:sz w:val="20"/>
                <w:szCs w:val="20"/>
                <w:lang w:val="es-ES" w:eastAsia="en-GB"/>
              </w:rPr>
            </w:pPr>
            <w:r w:rsidRPr="003A72EE">
              <w:rPr>
                <w:noProof/>
                <w:sz w:val="20"/>
                <w:szCs w:val="20"/>
                <w:lang w:val="es-ES" w:eastAsia="en-GB"/>
              </w:rPr>
              <w:t>Salarios, gastos sociales y otras prestaciones laborales</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5A4A331E" w14:textId="77777777" w:rsidR="006100DD" w:rsidRPr="003A72EE" w:rsidRDefault="006100DD" w:rsidP="00940BAE">
            <w:pPr>
              <w:jc w:val="right"/>
              <w:rPr>
                <w:noProof/>
                <w:sz w:val="20"/>
                <w:szCs w:val="20"/>
                <w:lang w:val="es-ES" w:eastAsia="en-GB"/>
              </w:rPr>
            </w:pPr>
            <w:r w:rsidRPr="003A72EE">
              <w:rPr>
                <w:noProof/>
                <w:sz w:val="20"/>
                <w:szCs w:val="20"/>
                <w:lang w:val="es-ES" w:eastAsia="en-GB"/>
              </w:rPr>
              <w:t>438</w:t>
            </w:r>
          </w:p>
        </w:tc>
        <w:tc>
          <w:tcPr>
            <w:tcW w:w="1636" w:type="dxa"/>
            <w:tcBorders>
              <w:top w:val="nil"/>
              <w:left w:val="nil"/>
              <w:bottom w:val="single" w:sz="4" w:space="0" w:color="auto"/>
              <w:right w:val="single" w:sz="4" w:space="0" w:color="auto"/>
            </w:tcBorders>
            <w:shd w:val="clear" w:color="auto" w:fill="auto"/>
            <w:noWrap/>
            <w:vAlign w:val="center"/>
            <w:hideMark/>
          </w:tcPr>
          <w:p w14:paraId="6B97E13C"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3CA8A4BF"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2CC5073C"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1DB34617"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438</w:t>
            </w:r>
          </w:p>
        </w:tc>
      </w:tr>
      <w:tr w:rsidR="006100DD" w:rsidRPr="003A72EE" w14:paraId="329F0B6C" w14:textId="77777777" w:rsidTr="00126728">
        <w:trPr>
          <w:trHeight w:val="24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0BD83" w14:textId="77777777" w:rsidR="006100DD" w:rsidRPr="003A72EE" w:rsidRDefault="006100DD" w:rsidP="00940BAE">
            <w:pPr>
              <w:rPr>
                <w:noProof/>
                <w:sz w:val="20"/>
                <w:szCs w:val="20"/>
                <w:lang w:val="es-ES" w:eastAsia="en-GB"/>
              </w:rPr>
            </w:pPr>
            <w:r w:rsidRPr="003A72EE">
              <w:rPr>
                <w:noProof/>
                <w:color w:val="000000"/>
                <w:sz w:val="20"/>
                <w:lang w:val="es-ES"/>
              </w:rPr>
              <w:t>Programa de CECoP</w:t>
            </w:r>
          </w:p>
        </w:tc>
        <w:tc>
          <w:tcPr>
            <w:tcW w:w="1635" w:type="dxa"/>
            <w:tcBorders>
              <w:top w:val="nil"/>
              <w:left w:val="nil"/>
              <w:bottom w:val="single" w:sz="4" w:space="0" w:color="auto"/>
              <w:right w:val="single" w:sz="4" w:space="0" w:color="auto"/>
            </w:tcBorders>
            <w:shd w:val="clear" w:color="auto" w:fill="auto"/>
            <w:noWrap/>
            <w:vAlign w:val="center"/>
            <w:hideMark/>
          </w:tcPr>
          <w:p w14:paraId="17832389" w14:textId="77777777" w:rsidR="006100DD" w:rsidRPr="003A72EE" w:rsidRDefault="006100DD" w:rsidP="00940BAE">
            <w:pPr>
              <w:jc w:val="right"/>
              <w:rPr>
                <w:noProof/>
                <w:sz w:val="20"/>
                <w:szCs w:val="20"/>
                <w:lang w:val="es-ES" w:eastAsia="en-GB"/>
              </w:rPr>
            </w:pPr>
            <w:r w:rsidRPr="003A72EE">
              <w:rPr>
                <w:noProof/>
                <w:sz w:val="20"/>
                <w:szCs w:val="20"/>
                <w:lang w:val="es-ES" w:eastAsia="en-GB"/>
              </w:rPr>
              <w:t>30</w:t>
            </w:r>
          </w:p>
        </w:tc>
        <w:tc>
          <w:tcPr>
            <w:tcW w:w="1636" w:type="dxa"/>
            <w:tcBorders>
              <w:top w:val="nil"/>
              <w:left w:val="nil"/>
              <w:bottom w:val="single" w:sz="4" w:space="0" w:color="auto"/>
              <w:right w:val="single" w:sz="4" w:space="0" w:color="auto"/>
            </w:tcBorders>
            <w:shd w:val="clear" w:color="auto" w:fill="auto"/>
            <w:noWrap/>
            <w:vAlign w:val="center"/>
            <w:hideMark/>
          </w:tcPr>
          <w:p w14:paraId="1CF6EEA7"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482E32C4" w14:textId="77777777" w:rsidR="006100DD" w:rsidRPr="003A72EE" w:rsidRDefault="006100DD" w:rsidP="00940BAE">
            <w:pPr>
              <w:jc w:val="right"/>
              <w:rPr>
                <w:noProof/>
                <w:sz w:val="20"/>
                <w:szCs w:val="20"/>
                <w:lang w:val="es-ES" w:eastAsia="en-GB"/>
              </w:rPr>
            </w:pPr>
            <w:r w:rsidRPr="003A72EE">
              <w:rPr>
                <w:noProof/>
                <w:sz w:val="20"/>
                <w:szCs w:val="20"/>
                <w:lang w:val="es-ES" w:eastAsia="en-GB"/>
              </w:rPr>
              <w:t>56</w:t>
            </w:r>
          </w:p>
        </w:tc>
        <w:tc>
          <w:tcPr>
            <w:tcW w:w="1636" w:type="dxa"/>
            <w:tcBorders>
              <w:top w:val="nil"/>
              <w:left w:val="nil"/>
              <w:bottom w:val="single" w:sz="4" w:space="0" w:color="auto"/>
              <w:right w:val="single" w:sz="4" w:space="0" w:color="auto"/>
            </w:tcBorders>
            <w:shd w:val="clear" w:color="auto" w:fill="auto"/>
            <w:noWrap/>
            <w:vAlign w:val="center"/>
            <w:hideMark/>
          </w:tcPr>
          <w:p w14:paraId="2F5E6897" w14:textId="77777777" w:rsidR="006100DD" w:rsidRPr="003A72EE" w:rsidRDefault="006100DD" w:rsidP="00940BAE">
            <w:pPr>
              <w:rPr>
                <w:noProof/>
                <w:color w:val="0070C0"/>
                <w:sz w:val="20"/>
                <w:szCs w:val="20"/>
                <w:lang w:val="es-ES" w:eastAsia="en-GB"/>
              </w:rPr>
            </w:pPr>
            <w:r w:rsidRPr="003A72EE">
              <w:rPr>
                <w:noProof/>
                <w:color w:val="0070C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53DF2519"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86</w:t>
            </w:r>
          </w:p>
        </w:tc>
      </w:tr>
      <w:tr w:rsidR="006100DD" w:rsidRPr="003A72EE" w14:paraId="3445543A" w14:textId="77777777" w:rsidTr="00126728">
        <w:trPr>
          <w:trHeight w:val="525"/>
        </w:trPr>
        <w:tc>
          <w:tcPr>
            <w:tcW w:w="4792" w:type="dxa"/>
            <w:tcBorders>
              <w:top w:val="nil"/>
              <w:left w:val="single" w:sz="4" w:space="0" w:color="auto"/>
              <w:bottom w:val="single" w:sz="4" w:space="0" w:color="auto"/>
              <w:right w:val="single" w:sz="4" w:space="0" w:color="auto"/>
            </w:tcBorders>
            <w:shd w:val="clear" w:color="auto" w:fill="auto"/>
            <w:vAlign w:val="center"/>
            <w:hideMark/>
          </w:tcPr>
          <w:p w14:paraId="1A85F1D3" w14:textId="77777777" w:rsidR="006100DD" w:rsidRPr="003A72EE" w:rsidRDefault="006100DD" w:rsidP="00940BAE">
            <w:pPr>
              <w:rPr>
                <w:noProof/>
                <w:sz w:val="20"/>
                <w:szCs w:val="20"/>
                <w:lang w:val="es-ES" w:eastAsia="en-GB"/>
              </w:rPr>
            </w:pPr>
            <w:r w:rsidRPr="003A72EE">
              <w:rPr>
                <w:noProof/>
                <w:color w:val="000000"/>
                <w:sz w:val="20"/>
                <w:szCs w:val="20"/>
                <w:lang w:val="es-ES"/>
              </w:rPr>
              <w:t>Comunicaciones, traducciones, publicaciones e informes sobre la aplicación</w:t>
            </w:r>
          </w:p>
        </w:tc>
        <w:tc>
          <w:tcPr>
            <w:tcW w:w="1635" w:type="dxa"/>
            <w:tcBorders>
              <w:top w:val="nil"/>
              <w:left w:val="nil"/>
              <w:bottom w:val="single" w:sz="4" w:space="0" w:color="auto"/>
              <w:right w:val="single" w:sz="4" w:space="0" w:color="auto"/>
            </w:tcBorders>
            <w:shd w:val="clear" w:color="auto" w:fill="auto"/>
            <w:noWrap/>
            <w:vAlign w:val="center"/>
            <w:hideMark/>
          </w:tcPr>
          <w:p w14:paraId="1F9AD8FC" w14:textId="77777777" w:rsidR="006100DD" w:rsidRPr="003A72EE" w:rsidRDefault="006100DD" w:rsidP="00940BAE">
            <w:pPr>
              <w:jc w:val="right"/>
              <w:rPr>
                <w:noProof/>
                <w:sz w:val="20"/>
                <w:szCs w:val="20"/>
                <w:lang w:val="es-ES" w:eastAsia="en-GB"/>
              </w:rPr>
            </w:pPr>
            <w:r w:rsidRPr="003A72EE">
              <w:rPr>
                <w:noProof/>
                <w:sz w:val="20"/>
                <w:szCs w:val="20"/>
                <w:lang w:val="es-ES" w:eastAsia="en-GB"/>
              </w:rPr>
              <w:t>60</w:t>
            </w:r>
          </w:p>
        </w:tc>
        <w:tc>
          <w:tcPr>
            <w:tcW w:w="1636" w:type="dxa"/>
            <w:tcBorders>
              <w:top w:val="nil"/>
              <w:left w:val="nil"/>
              <w:bottom w:val="single" w:sz="4" w:space="0" w:color="auto"/>
              <w:right w:val="single" w:sz="4" w:space="0" w:color="auto"/>
            </w:tcBorders>
            <w:shd w:val="clear" w:color="auto" w:fill="auto"/>
            <w:noWrap/>
            <w:vAlign w:val="center"/>
            <w:hideMark/>
          </w:tcPr>
          <w:p w14:paraId="12831145" w14:textId="77777777" w:rsidR="006100DD" w:rsidRPr="003A72EE" w:rsidRDefault="006100DD" w:rsidP="00940BAE">
            <w:pPr>
              <w:jc w:val="right"/>
              <w:rPr>
                <w:noProof/>
                <w:sz w:val="20"/>
                <w:szCs w:val="20"/>
                <w:lang w:val="es-ES" w:eastAsia="en-GB"/>
              </w:rPr>
            </w:pPr>
            <w:r w:rsidRPr="003A72EE">
              <w:rPr>
                <w:noProof/>
                <w:sz w:val="20"/>
                <w:szCs w:val="20"/>
                <w:lang w:val="es-ES" w:eastAsia="en-GB"/>
              </w:rPr>
              <w:t>40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493A2FC0" w14:textId="77777777" w:rsidR="006100DD" w:rsidRPr="003A72EE" w:rsidRDefault="006100DD" w:rsidP="00940BAE">
            <w:pPr>
              <w:jc w:val="right"/>
              <w:rPr>
                <w:noProof/>
                <w:sz w:val="20"/>
                <w:szCs w:val="20"/>
                <w:lang w:val="es-ES" w:eastAsia="en-GB"/>
              </w:rPr>
            </w:pPr>
            <w:r w:rsidRPr="003A72EE">
              <w:rPr>
                <w:noProof/>
                <w:sz w:val="20"/>
                <w:szCs w:val="20"/>
                <w:lang w:val="es-ES" w:eastAsia="en-GB"/>
              </w:rPr>
              <w:t>57</w:t>
            </w:r>
          </w:p>
        </w:tc>
        <w:tc>
          <w:tcPr>
            <w:tcW w:w="1636" w:type="dxa"/>
            <w:tcBorders>
              <w:top w:val="nil"/>
              <w:left w:val="nil"/>
              <w:bottom w:val="single" w:sz="4" w:space="0" w:color="auto"/>
              <w:right w:val="single" w:sz="4" w:space="0" w:color="auto"/>
            </w:tcBorders>
            <w:shd w:val="clear" w:color="auto" w:fill="auto"/>
            <w:noWrap/>
            <w:vAlign w:val="center"/>
            <w:hideMark/>
          </w:tcPr>
          <w:p w14:paraId="5846AE9E"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2AA5C362"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157</w:t>
            </w:r>
          </w:p>
        </w:tc>
      </w:tr>
      <w:tr w:rsidR="006100DD" w:rsidRPr="003A72EE" w14:paraId="12E8DB36" w14:textId="77777777" w:rsidTr="00126728">
        <w:trPr>
          <w:trHeight w:val="270"/>
        </w:trPr>
        <w:tc>
          <w:tcPr>
            <w:tcW w:w="4792" w:type="dxa"/>
            <w:tcBorders>
              <w:top w:val="nil"/>
              <w:left w:val="single" w:sz="4" w:space="0" w:color="auto"/>
              <w:bottom w:val="single" w:sz="4" w:space="0" w:color="auto"/>
              <w:right w:val="nil"/>
            </w:tcBorders>
            <w:shd w:val="clear" w:color="auto" w:fill="auto"/>
            <w:noWrap/>
            <w:vAlign w:val="center"/>
            <w:hideMark/>
          </w:tcPr>
          <w:p w14:paraId="62BD15CD" w14:textId="77777777" w:rsidR="006100DD" w:rsidRPr="003A72EE" w:rsidRDefault="006100DD" w:rsidP="00940BAE">
            <w:pPr>
              <w:rPr>
                <w:noProof/>
                <w:sz w:val="20"/>
                <w:szCs w:val="20"/>
                <w:lang w:val="es-ES" w:eastAsia="en-GB"/>
              </w:rPr>
            </w:pPr>
            <w:r w:rsidRPr="003A72EE">
              <w:rPr>
                <w:noProof/>
                <w:color w:val="000000"/>
                <w:sz w:val="20"/>
                <w:szCs w:val="20"/>
                <w:lang w:val="es-ES" w:eastAsia="en-GB"/>
              </w:rPr>
              <w:t>DMH</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0AFA466C"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3E6C54C2"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5CFC60CE" w14:textId="77777777" w:rsidR="006100DD" w:rsidRPr="003A72EE" w:rsidRDefault="006100DD" w:rsidP="00940BAE">
            <w:pPr>
              <w:jc w:val="right"/>
              <w:rPr>
                <w:noProof/>
                <w:sz w:val="20"/>
                <w:szCs w:val="20"/>
                <w:lang w:val="es-ES" w:eastAsia="en-GB"/>
              </w:rPr>
            </w:pPr>
            <w:r w:rsidRPr="003A72EE">
              <w:rPr>
                <w:noProof/>
                <w:sz w:val="20"/>
                <w:szCs w:val="20"/>
                <w:lang w:val="es-ES" w:eastAsia="en-GB"/>
              </w:rPr>
              <w:t>12</w:t>
            </w:r>
          </w:p>
        </w:tc>
        <w:tc>
          <w:tcPr>
            <w:tcW w:w="1636" w:type="dxa"/>
            <w:tcBorders>
              <w:top w:val="nil"/>
              <w:left w:val="nil"/>
              <w:bottom w:val="single" w:sz="4" w:space="0" w:color="auto"/>
              <w:right w:val="single" w:sz="4" w:space="0" w:color="auto"/>
            </w:tcBorders>
            <w:shd w:val="clear" w:color="auto" w:fill="auto"/>
            <w:noWrap/>
            <w:vAlign w:val="center"/>
            <w:hideMark/>
          </w:tcPr>
          <w:p w14:paraId="591A9FDE" w14:textId="77777777" w:rsidR="006100DD" w:rsidRPr="003A72EE" w:rsidRDefault="006100DD" w:rsidP="00940BAE">
            <w:pPr>
              <w:rPr>
                <w:noProof/>
                <w:color w:val="0070C0"/>
                <w:sz w:val="20"/>
                <w:szCs w:val="20"/>
                <w:lang w:val="es-ES" w:eastAsia="en-GB"/>
              </w:rPr>
            </w:pPr>
            <w:r w:rsidRPr="003A72EE">
              <w:rPr>
                <w:noProof/>
                <w:color w:val="0070C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6D73EA1A"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12</w:t>
            </w:r>
          </w:p>
        </w:tc>
      </w:tr>
      <w:tr w:rsidR="006100DD" w:rsidRPr="003A72EE" w14:paraId="7E7206F0"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0A2E7286" w14:textId="77777777" w:rsidR="006100DD" w:rsidRPr="003A72EE" w:rsidRDefault="006100DD" w:rsidP="00940BAE">
            <w:pPr>
              <w:rPr>
                <w:noProof/>
                <w:sz w:val="20"/>
                <w:szCs w:val="20"/>
                <w:lang w:val="es-ES" w:eastAsia="en-GB"/>
              </w:rPr>
            </w:pPr>
            <w:r w:rsidRPr="003A72EE">
              <w:rPr>
                <w:noProof/>
                <w:color w:val="000000"/>
                <w:sz w:val="20"/>
                <w:lang w:val="es-ES"/>
              </w:rPr>
              <w:t>Apoyo y desarrollo del sitio web/servicios informáticos</w:t>
            </w:r>
          </w:p>
        </w:tc>
        <w:tc>
          <w:tcPr>
            <w:tcW w:w="1635" w:type="dxa"/>
            <w:tcBorders>
              <w:top w:val="nil"/>
              <w:left w:val="nil"/>
              <w:bottom w:val="single" w:sz="4" w:space="0" w:color="auto"/>
              <w:right w:val="single" w:sz="4" w:space="0" w:color="auto"/>
            </w:tcBorders>
            <w:shd w:val="clear" w:color="auto" w:fill="auto"/>
            <w:noWrap/>
            <w:vAlign w:val="center"/>
            <w:hideMark/>
          </w:tcPr>
          <w:p w14:paraId="32EC323B" w14:textId="77777777" w:rsidR="006100DD" w:rsidRPr="003A72EE" w:rsidRDefault="006100DD" w:rsidP="00940BAE">
            <w:pPr>
              <w:jc w:val="right"/>
              <w:rPr>
                <w:noProof/>
                <w:sz w:val="20"/>
                <w:szCs w:val="20"/>
                <w:lang w:val="es-ES" w:eastAsia="en-GB"/>
              </w:rPr>
            </w:pPr>
            <w:r w:rsidRPr="003A72EE">
              <w:rPr>
                <w:noProof/>
                <w:sz w:val="20"/>
                <w:szCs w:val="20"/>
                <w:lang w:val="es-ES" w:eastAsia="en-GB"/>
              </w:rPr>
              <w:t>56</w:t>
            </w:r>
          </w:p>
        </w:tc>
        <w:tc>
          <w:tcPr>
            <w:tcW w:w="1636" w:type="dxa"/>
            <w:tcBorders>
              <w:top w:val="nil"/>
              <w:left w:val="nil"/>
              <w:bottom w:val="single" w:sz="4" w:space="0" w:color="auto"/>
              <w:right w:val="single" w:sz="4" w:space="0" w:color="auto"/>
            </w:tcBorders>
            <w:shd w:val="clear" w:color="auto" w:fill="auto"/>
            <w:noWrap/>
            <w:vAlign w:val="center"/>
            <w:hideMark/>
          </w:tcPr>
          <w:p w14:paraId="2A4FDA13"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546DE02B"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163DC696" w14:textId="77777777" w:rsidR="006100DD" w:rsidRPr="003A72EE" w:rsidRDefault="006100DD" w:rsidP="00940BAE">
            <w:pPr>
              <w:rPr>
                <w:noProof/>
                <w:color w:val="0070C0"/>
                <w:sz w:val="20"/>
                <w:szCs w:val="20"/>
                <w:lang w:val="es-ES" w:eastAsia="en-GB"/>
              </w:rPr>
            </w:pPr>
            <w:r w:rsidRPr="003A72EE">
              <w:rPr>
                <w:noProof/>
                <w:color w:val="0070C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5AF830B9"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56</w:t>
            </w:r>
          </w:p>
        </w:tc>
      </w:tr>
      <w:tr w:rsidR="006100DD" w:rsidRPr="003A72EE" w14:paraId="30DA7E85"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77812E4E" w14:textId="77777777" w:rsidR="006100DD" w:rsidRPr="003A72EE" w:rsidRDefault="006100DD" w:rsidP="00940BAE">
            <w:pPr>
              <w:rPr>
                <w:noProof/>
                <w:sz w:val="20"/>
                <w:szCs w:val="20"/>
                <w:lang w:val="es-ES" w:eastAsia="en-GB"/>
              </w:rPr>
            </w:pPr>
            <w:r w:rsidRPr="003A72EE">
              <w:rPr>
                <w:noProof/>
                <w:sz w:val="20"/>
                <w:szCs w:val="20"/>
                <w:lang w:val="es-ES" w:eastAsia="en-GB"/>
              </w:rPr>
              <w:t>Remodelación del sitio web</w:t>
            </w:r>
          </w:p>
        </w:tc>
        <w:tc>
          <w:tcPr>
            <w:tcW w:w="1635" w:type="dxa"/>
            <w:tcBorders>
              <w:top w:val="nil"/>
              <w:left w:val="nil"/>
              <w:bottom w:val="single" w:sz="4" w:space="0" w:color="auto"/>
              <w:right w:val="single" w:sz="4" w:space="0" w:color="auto"/>
            </w:tcBorders>
            <w:shd w:val="clear" w:color="auto" w:fill="auto"/>
            <w:noWrap/>
            <w:vAlign w:val="center"/>
            <w:hideMark/>
          </w:tcPr>
          <w:p w14:paraId="31DA4FC3"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1F32B532"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775E1255" w14:textId="77777777" w:rsidR="006100DD" w:rsidRPr="003A72EE" w:rsidRDefault="006100DD" w:rsidP="00940BAE">
            <w:pPr>
              <w:jc w:val="right"/>
              <w:rPr>
                <w:noProof/>
                <w:sz w:val="20"/>
                <w:szCs w:val="20"/>
                <w:lang w:val="es-ES" w:eastAsia="en-GB"/>
              </w:rPr>
            </w:pPr>
            <w:r w:rsidRPr="003A72EE">
              <w:rPr>
                <w:noProof/>
                <w:sz w:val="20"/>
                <w:szCs w:val="20"/>
                <w:lang w:val="es-ES" w:eastAsia="en-GB"/>
              </w:rPr>
              <w:t>86</w:t>
            </w:r>
          </w:p>
        </w:tc>
        <w:tc>
          <w:tcPr>
            <w:tcW w:w="1636" w:type="dxa"/>
            <w:tcBorders>
              <w:top w:val="nil"/>
              <w:left w:val="nil"/>
              <w:bottom w:val="single" w:sz="4" w:space="0" w:color="auto"/>
              <w:right w:val="single" w:sz="4" w:space="0" w:color="auto"/>
            </w:tcBorders>
            <w:shd w:val="clear" w:color="auto" w:fill="auto"/>
            <w:noWrap/>
            <w:vAlign w:val="center"/>
            <w:hideMark/>
          </w:tcPr>
          <w:p w14:paraId="6EF2388B" w14:textId="77777777" w:rsidR="006100DD" w:rsidRPr="003A72EE" w:rsidRDefault="006100DD" w:rsidP="00940BAE">
            <w:pPr>
              <w:rPr>
                <w:noProof/>
                <w:color w:val="0070C0"/>
                <w:sz w:val="20"/>
                <w:szCs w:val="20"/>
                <w:lang w:val="es-ES" w:eastAsia="en-GB"/>
              </w:rPr>
            </w:pPr>
            <w:r w:rsidRPr="003A72EE">
              <w:rPr>
                <w:noProof/>
                <w:color w:val="0070C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5D701B77"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86</w:t>
            </w:r>
          </w:p>
        </w:tc>
      </w:tr>
      <w:tr w:rsidR="006100DD" w:rsidRPr="003A72EE" w14:paraId="7CBAC0D3"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4934896F" w14:textId="77777777" w:rsidR="006100DD" w:rsidRPr="003A72EE" w:rsidRDefault="006100DD" w:rsidP="00940BAE">
            <w:pPr>
              <w:rPr>
                <w:noProof/>
                <w:sz w:val="20"/>
                <w:szCs w:val="20"/>
                <w:lang w:val="es-ES" w:eastAsia="en-GB"/>
              </w:rPr>
            </w:pPr>
            <w:r w:rsidRPr="003A72EE">
              <w:rPr>
                <w:noProof/>
                <w:sz w:val="20"/>
                <w:szCs w:val="20"/>
                <w:lang w:val="es-ES" w:eastAsia="en-GB"/>
              </w:rPr>
              <w:t>Viajes</w:t>
            </w:r>
          </w:p>
        </w:tc>
        <w:tc>
          <w:tcPr>
            <w:tcW w:w="1635" w:type="dxa"/>
            <w:tcBorders>
              <w:top w:val="nil"/>
              <w:left w:val="nil"/>
              <w:bottom w:val="single" w:sz="4" w:space="0" w:color="auto"/>
              <w:right w:val="single" w:sz="4" w:space="0" w:color="auto"/>
            </w:tcBorders>
            <w:shd w:val="clear" w:color="auto" w:fill="auto"/>
            <w:noWrap/>
            <w:vAlign w:val="center"/>
            <w:hideMark/>
          </w:tcPr>
          <w:p w14:paraId="7F894E59" w14:textId="77777777" w:rsidR="006100DD" w:rsidRPr="003A72EE" w:rsidRDefault="006100DD" w:rsidP="00940BAE">
            <w:pPr>
              <w:jc w:val="right"/>
              <w:rPr>
                <w:noProof/>
                <w:sz w:val="20"/>
                <w:szCs w:val="20"/>
                <w:lang w:val="es-ES" w:eastAsia="en-GB"/>
              </w:rPr>
            </w:pPr>
            <w:r w:rsidRPr="003A72EE">
              <w:rPr>
                <w:noProof/>
                <w:sz w:val="20"/>
                <w:szCs w:val="20"/>
                <w:lang w:val="es-ES" w:eastAsia="en-GB"/>
              </w:rPr>
              <w:t>10</w:t>
            </w:r>
          </w:p>
        </w:tc>
        <w:tc>
          <w:tcPr>
            <w:tcW w:w="1636" w:type="dxa"/>
            <w:tcBorders>
              <w:top w:val="nil"/>
              <w:left w:val="nil"/>
              <w:bottom w:val="single" w:sz="4" w:space="0" w:color="auto"/>
              <w:right w:val="single" w:sz="4" w:space="0" w:color="auto"/>
            </w:tcBorders>
            <w:shd w:val="clear" w:color="auto" w:fill="auto"/>
            <w:noWrap/>
            <w:vAlign w:val="center"/>
            <w:hideMark/>
          </w:tcPr>
          <w:p w14:paraId="518FA32B" w14:textId="77777777" w:rsidR="006100DD" w:rsidRPr="003A72EE" w:rsidRDefault="006100DD" w:rsidP="00940BAE">
            <w:pPr>
              <w:jc w:val="right"/>
              <w:rPr>
                <w:noProof/>
                <w:sz w:val="20"/>
                <w:szCs w:val="20"/>
                <w:lang w:val="es-ES" w:eastAsia="en-GB"/>
              </w:rPr>
            </w:pPr>
            <w:r w:rsidRPr="003A72EE">
              <w:rPr>
                <w:noProof/>
                <w:sz w:val="20"/>
                <w:szCs w:val="20"/>
                <w:lang w:val="es-ES" w:eastAsia="en-GB"/>
              </w:rPr>
              <w:t>5</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0E7385C3"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00DF34DA"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0DFB4CB7"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15</w:t>
            </w:r>
          </w:p>
        </w:tc>
      </w:tr>
      <w:tr w:rsidR="006100DD" w:rsidRPr="003A72EE" w14:paraId="3547B793"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3845AC6" w14:textId="77777777" w:rsidR="006100DD" w:rsidRPr="003A72EE" w:rsidRDefault="006100DD" w:rsidP="00940BAE">
            <w:pPr>
              <w:rPr>
                <w:noProof/>
                <w:sz w:val="20"/>
                <w:szCs w:val="20"/>
                <w:lang w:val="es-ES" w:eastAsia="en-GB"/>
              </w:rPr>
            </w:pPr>
            <w:r w:rsidRPr="003A72EE">
              <w:rPr>
                <w:noProof/>
                <w:color w:val="000000"/>
                <w:sz w:val="20"/>
                <w:lang w:val="es-ES"/>
              </w:rPr>
              <w:t xml:space="preserve">C. </w:t>
            </w:r>
            <w:r w:rsidRPr="003A72EE">
              <w:rPr>
                <w:noProof/>
                <w:color w:val="000000"/>
                <w:sz w:val="20"/>
                <w:szCs w:val="20"/>
                <w:lang w:val="es-ES" w:eastAsia="en-GB"/>
              </w:rPr>
              <w:t xml:space="preserve"> </w:t>
            </w:r>
            <w:r w:rsidRPr="003A72EE">
              <w:rPr>
                <w:noProof/>
                <w:color w:val="000000"/>
                <w:sz w:val="20"/>
                <w:lang w:val="es-ES"/>
              </w:rPr>
              <w:t>Asesoramiento y apoyo regionales</w:t>
            </w:r>
          </w:p>
        </w:tc>
        <w:tc>
          <w:tcPr>
            <w:tcW w:w="1635" w:type="dxa"/>
            <w:tcBorders>
              <w:top w:val="nil"/>
              <w:left w:val="nil"/>
              <w:bottom w:val="single" w:sz="4" w:space="0" w:color="auto"/>
              <w:right w:val="single" w:sz="4" w:space="0" w:color="auto"/>
            </w:tcBorders>
            <w:shd w:val="clear" w:color="auto" w:fill="E2EFD9" w:themeFill="accent6" w:themeFillTint="33"/>
            <w:noWrap/>
            <w:vAlign w:val="center"/>
            <w:hideMark/>
          </w:tcPr>
          <w:p w14:paraId="279B2065"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1 237</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05367A98"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10</w:t>
            </w:r>
          </w:p>
        </w:tc>
        <w:tc>
          <w:tcPr>
            <w:tcW w:w="163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609B9AA"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96</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0E247B30"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843" w:type="dxa"/>
            <w:tcBorders>
              <w:top w:val="nil"/>
              <w:left w:val="nil"/>
              <w:bottom w:val="single" w:sz="4" w:space="0" w:color="auto"/>
              <w:right w:val="single" w:sz="4" w:space="0" w:color="auto"/>
            </w:tcBorders>
            <w:shd w:val="clear" w:color="auto" w:fill="E2EFD9" w:themeFill="accent6" w:themeFillTint="33"/>
            <w:noWrap/>
            <w:vAlign w:val="center"/>
            <w:hideMark/>
          </w:tcPr>
          <w:p w14:paraId="28969E68"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1 343</w:t>
            </w:r>
          </w:p>
        </w:tc>
      </w:tr>
      <w:tr w:rsidR="006100DD" w:rsidRPr="003A72EE" w14:paraId="19FF367D" w14:textId="77777777" w:rsidTr="0012672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1B5A5A4C" w14:textId="77777777" w:rsidR="006100DD" w:rsidRPr="003A72EE" w:rsidRDefault="006100DD" w:rsidP="00940BAE">
            <w:pPr>
              <w:rPr>
                <w:noProof/>
                <w:sz w:val="20"/>
                <w:szCs w:val="20"/>
                <w:lang w:val="es-ES" w:eastAsia="en-GB"/>
              </w:rPr>
            </w:pPr>
            <w:r w:rsidRPr="003A72EE">
              <w:rPr>
                <w:noProof/>
                <w:sz w:val="20"/>
                <w:szCs w:val="20"/>
                <w:lang w:val="es-ES" w:eastAsia="en-GB"/>
              </w:rPr>
              <w:lastRenderedPageBreak/>
              <w:t>Salarios, gastos sociales y otras prestaciones laborales</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7446CB8E" w14:textId="77777777" w:rsidR="006100DD" w:rsidRPr="003A72EE" w:rsidRDefault="006100DD" w:rsidP="00940BAE">
            <w:pPr>
              <w:jc w:val="right"/>
              <w:rPr>
                <w:noProof/>
                <w:sz w:val="20"/>
                <w:szCs w:val="20"/>
                <w:lang w:val="es-ES" w:eastAsia="en-GB"/>
              </w:rPr>
            </w:pPr>
            <w:r w:rsidRPr="003A72EE">
              <w:rPr>
                <w:noProof/>
                <w:sz w:val="20"/>
                <w:szCs w:val="20"/>
                <w:lang w:val="es-ES" w:eastAsia="en-GB"/>
              </w:rPr>
              <w:t>1 170</w:t>
            </w:r>
          </w:p>
        </w:tc>
        <w:tc>
          <w:tcPr>
            <w:tcW w:w="1636" w:type="dxa"/>
            <w:tcBorders>
              <w:top w:val="nil"/>
              <w:left w:val="nil"/>
              <w:bottom w:val="single" w:sz="4" w:space="0" w:color="auto"/>
              <w:right w:val="single" w:sz="4" w:space="0" w:color="auto"/>
            </w:tcBorders>
            <w:shd w:val="clear" w:color="auto" w:fill="auto"/>
            <w:noWrap/>
            <w:vAlign w:val="center"/>
            <w:hideMark/>
          </w:tcPr>
          <w:p w14:paraId="5AFBFE65"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105B539E"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1AA38F98"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0FC880BB"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1 170</w:t>
            </w:r>
          </w:p>
        </w:tc>
      </w:tr>
      <w:tr w:rsidR="006100DD" w:rsidRPr="003A72EE" w14:paraId="3E82748A" w14:textId="77777777" w:rsidTr="00126728">
        <w:trPr>
          <w:trHeight w:val="27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A27DC" w14:textId="77777777" w:rsidR="006100DD" w:rsidRPr="003A72EE" w:rsidRDefault="006100DD" w:rsidP="00940BAE">
            <w:pPr>
              <w:rPr>
                <w:noProof/>
                <w:sz w:val="20"/>
                <w:szCs w:val="20"/>
                <w:lang w:val="es-ES" w:eastAsia="en-GB"/>
              </w:rPr>
            </w:pPr>
            <w:r w:rsidRPr="003A72EE">
              <w:rPr>
                <w:noProof/>
                <w:color w:val="000000"/>
                <w:sz w:val="20"/>
                <w:szCs w:val="20"/>
                <w:lang w:val="es-ES" w:eastAsia="en-GB"/>
              </w:rPr>
              <w:t>Viajes</w:t>
            </w:r>
          </w:p>
        </w:tc>
        <w:tc>
          <w:tcPr>
            <w:tcW w:w="1635" w:type="dxa"/>
            <w:tcBorders>
              <w:top w:val="nil"/>
              <w:left w:val="nil"/>
              <w:bottom w:val="single" w:sz="4" w:space="0" w:color="auto"/>
              <w:right w:val="single" w:sz="4" w:space="0" w:color="auto"/>
            </w:tcBorders>
            <w:shd w:val="clear" w:color="auto" w:fill="auto"/>
            <w:noWrap/>
            <w:vAlign w:val="center"/>
            <w:hideMark/>
          </w:tcPr>
          <w:p w14:paraId="42380394" w14:textId="77777777" w:rsidR="006100DD" w:rsidRPr="003A72EE" w:rsidRDefault="006100DD" w:rsidP="00940BAE">
            <w:pPr>
              <w:jc w:val="right"/>
              <w:rPr>
                <w:noProof/>
                <w:sz w:val="20"/>
                <w:szCs w:val="20"/>
                <w:lang w:val="es-ES" w:eastAsia="en-GB"/>
              </w:rPr>
            </w:pPr>
            <w:r w:rsidRPr="003A72EE">
              <w:rPr>
                <w:noProof/>
                <w:sz w:val="20"/>
                <w:szCs w:val="20"/>
                <w:lang w:val="es-ES" w:eastAsia="en-GB"/>
              </w:rPr>
              <w:t>67</w:t>
            </w:r>
          </w:p>
        </w:tc>
        <w:tc>
          <w:tcPr>
            <w:tcW w:w="1636" w:type="dxa"/>
            <w:tcBorders>
              <w:top w:val="nil"/>
              <w:left w:val="nil"/>
              <w:bottom w:val="single" w:sz="4" w:space="0" w:color="auto"/>
              <w:right w:val="single" w:sz="4" w:space="0" w:color="auto"/>
            </w:tcBorders>
            <w:shd w:val="clear" w:color="auto" w:fill="auto"/>
            <w:noWrap/>
            <w:vAlign w:val="center"/>
            <w:hideMark/>
          </w:tcPr>
          <w:p w14:paraId="79EE2AE4" w14:textId="77777777" w:rsidR="006100DD" w:rsidRPr="003A72EE" w:rsidRDefault="006100DD" w:rsidP="00940BAE">
            <w:pPr>
              <w:jc w:val="right"/>
              <w:rPr>
                <w:noProof/>
                <w:sz w:val="20"/>
                <w:szCs w:val="20"/>
                <w:lang w:val="es-ES" w:eastAsia="en-GB"/>
              </w:rPr>
            </w:pPr>
            <w:r w:rsidRPr="003A72EE">
              <w:rPr>
                <w:noProof/>
                <w:sz w:val="20"/>
                <w:szCs w:val="20"/>
                <w:lang w:val="es-ES" w:eastAsia="en-GB"/>
              </w:rPr>
              <w:t>10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40F05CC5"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6023D9CA"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5A670D9F"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77</w:t>
            </w:r>
          </w:p>
        </w:tc>
      </w:tr>
      <w:tr w:rsidR="006100DD" w:rsidRPr="003A72EE" w14:paraId="38AFCD5A"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2DBD9B90" w14:textId="77777777" w:rsidR="006100DD" w:rsidRPr="003A72EE" w:rsidRDefault="006100DD" w:rsidP="00940BAE">
            <w:pPr>
              <w:rPr>
                <w:noProof/>
                <w:sz w:val="20"/>
                <w:szCs w:val="20"/>
                <w:lang w:val="es-ES" w:eastAsia="en-GB"/>
              </w:rPr>
            </w:pPr>
            <w:r w:rsidRPr="003A72EE">
              <w:rPr>
                <w:noProof/>
                <w:color w:val="000000"/>
                <w:sz w:val="20"/>
                <w:lang w:val="es-ES"/>
              </w:rPr>
              <w:t>Misiones Ramsar de Asesoramiento</w:t>
            </w:r>
          </w:p>
        </w:tc>
        <w:tc>
          <w:tcPr>
            <w:tcW w:w="1635" w:type="dxa"/>
            <w:tcBorders>
              <w:top w:val="nil"/>
              <w:left w:val="nil"/>
              <w:bottom w:val="single" w:sz="4" w:space="0" w:color="auto"/>
              <w:right w:val="single" w:sz="4" w:space="0" w:color="auto"/>
            </w:tcBorders>
            <w:shd w:val="clear" w:color="auto" w:fill="auto"/>
            <w:noWrap/>
            <w:vAlign w:val="center"/>
            <w:hideMark/>
          </w:tcPr>
          <w:p w14:paraId="5E05BD73"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1D41D253"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012E8310"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96</w:t>
            </w:r>
          </w:p>
        </w:tc>
        <w:tc>
          <w:tcPr>
            <w:tcW w:w="1636" w:type="dxa"/>
            <w:tcBorders>
              <w:top w:val="nil"/>
              <w:left w:val="nil"/>
              <w:bottom w:val="single" w:sz="4" w:space="0" w:color="auto"/>
              <w:right w:val="single" w:sz="4" w:space="0" w:color="auto"/>
            </w:tcBorders>
            <w:shd w:val="clear" w:color="auto" w:fill="auto"/>
            <w:noWrap/>
            <w:vAlign w:val="center"/>
            <w:hideMark/>
          </w:tcPr>
          <w:p w14:paraId="7066A62C"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2D01CA04"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96</w:t>
            </w:r>
          </w:p>
        </w:tc>
      </w:tr>
      <w:tr w:rsidR="006100DD" w:rsidRPr="003A72EE" w14:paraId="573137B6"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4B65BDA0" w14:textId="77777777" w:rsidR="006100DD" w:rsidRPr="003A72EE" w:rsidRDefault="006100DD" w:rsidP="00940BAE">
            <w:pPr>
              <w:rPr>
                <w:noProof/>
                <w:sz w:val="20"/>
                <w:szCs w:val="20"/>
                <w:lang w:val="es-ES" w:eastAsia="en-GB"/>
              </w:rPr>
            </w:pPr>
            <w:r w:rsidRPr="003A72EE">
              <w:rPr>
                <w:noProof/>
                <w:color w:val="000000"/>
                <w:sz w:val="20"/>
                <w:lang w:val="es-ES"/>
              </w:rPr>
              <w:t>D.</w:t>
            </w:r>
            <w:r w:rsidRPr="003A72EE">
              <w:rPr>
                <w:noProof/>
                <w:color w:val="000000"/>
                <w:sz w:val="20"/>
                <w:szCs w:val="20"/>
                <w:lang w:val="es-ES" w:eastAsia="en-GB"/>
              </w:rPr>
              <w:t xml:space="preserve"> </w:t>
            </w:r>
            <w:r w:rsidRPr="003A72EE">
              <w:rPr>
                <w:noProof/>
                <w:color w:val="000000"/>
                <w:sz w:val="20"/>
                <w:lang w:val="es-ES"/>
              </w:rPr>
              <w:t xml:space="preserve"> Apoyo a las iniciativas regionales</w:t>
            </w:r>
          </w:p>
        </w:tc>
        <w:tc>
          <w:tcPr>
            <w:tcW w:w="1635" w:type="dxa"/>
            <w:tcBorders>
              <w:top w:val="nil"/>
              <w:left w:val="nil"/>
              <w:bottom w:val="single" w:sz="4" w:space="0" w:color="auto"/>
              <w:right w:val="single" w:sz="4" w:space="0" w:color="auto"/>
            </w:tcBorders>
            <w:shd w:val="clear" w:color="auto" w:fill="E2EFD9" w:themeFill="accent6" w:themeFillTint="33"/>
            <w:noWrap/>
            <w:vAlign w:val="center"/>
            <w:hideMark/>
          </w:tcPr>
          <w:p w14:paraId="19288B5A"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100</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4376C892"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EF970D1"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76</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0269CB5C"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843" w:type="dxa"/>
            <w:tcBorders>
              <w:top w:val="nil"/>
              <w:left w:val="nil"/>
              <w:bottom w:val="single" w:sz="4" w:space="0" w:color="auto"/>
              <w:right w:val="single" w:sz="4" w:space="0" w:color="auto"/>
            </w:tcBorders>
            <w:shd w:val="clear" w:color="auto" w:fill="E2EFD9" w:themeFill="accent6" w:themeFillTint="33"/>
            <w:noWrap/>
            <w:vAlign w:val="center"/>
            <w:hideMark/>
          </w:tcPr>
          <w:p w14:paraId="2FAB3C33"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176</w:t>
            </w:r>
          </w:p>
        </w:tc>
      </w:tr>
      <w:tr w:rsidR="006100DD" w:rsidRPr="003A72EE" w14:paraId="0B9186B0" w14:textId="77777777" w:rsidTr="00126728">
        <w:trPr>
          <w:trHeight w:val="270"/>
        </w:trPr>
        <w:tc>
          <w:tcPr>
            <w:tcW w:w="4792" w:type="dxa"/>
            <w:tcBorders>
              <w:top w:val="nil"/>
              <w:left w:val="single" w:sz="4" w:space="0" w:color="auto"/>
              <w:bottom w:val="single" w:sz="4" w:space="0" w:color="auto"/>
              <w:right w:val="nil"/>
            </w:tcBorders>
            <w:shd w:val="clear" w:color="auto" w:fill="auto"/>
            <w:noWrap/>
            <w:vAlign w:val="center"/>
            <w:hideMark/>
          </w:tcPr>
          <w:p w14:paraId="16332107" w14:textId="77777777" w:rsidR="006100DD" w:rsidRPr="003A72EE" w:rsidRDefault="006100DD" w:rsidP="00940BAE">
            <w:pPr>
              <w:rPr>
                <w:noProof/>
                <w:sz w:val="20"/>
                <w:szCs w:val="20"/>
                <w:lang w:val="es-ES" w:eastAsia="en-GB"/>
              </w:rPr>
            </w:pPr>
            <w:r w:rsidRPr="003A72EE">
              <w:rPr>
                <w:noProof/>
                <w:sz w:val="20"/>
                <w:szCs w:val="20"/>
                <w:lang w:val="es-ES" w:eastAsia="en-GB"/>
              </w:rPr>
              <w:t>Redes y centros regionales**</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4286D033" w14:textId="77777777" w:rsidR="006100DD" w:rsidRPr="003A72EE" w:rsidRDefault="006100DD" w:rsidP="00940BAE">
            <w:pPr>
              <w:jc w:val="right"/>
              <w:rPr>
                <w:noProof/>
                <w:sz w:val="20"/>
                <w:szCs w:val="20"/>
                <w:lang w:val="es-ES" w:eastAsia="en-GB"/>
              </w:rPr>
            </w:pPr>
            <w:r w:rsidRPr="003A72EE">
              <w:rPr>
                <w:noProof/>
                <w:sz w:val="20"/>
                <w:szCs w:val="20"/>
                <w:lang w:val="es-ES" w:eastAsia="en-GB"/>
              </w:rPr>
              <w:t>100</w:t>
            </w:r>
          </w:p>
        </w:tc>
        <w:tc>
          <w:tcPr>
            <w:tcW w:w="1636" w:type="dxa"/>
            <w:tcBorders>
              <w:top w:val="nil"/>
              <w:left w:val="nil"/>
              <w:bottom w:val="single" w:sz="4" w:space="0" w:color="auto"/>
              <w:right w:val="single" w:sz="4" w:space="0" w:color="auto"/>
            </w:tcBorders>
            <w:shd w:val="clear" w:color="auto" w:fill="auto"/>
            <w:noWrap/>
            <w:vAlign w:val="center"/>
            <w:hideMark/>
          </w:tcPr>
          <w:p w14:paraId="48EE1961"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71508ACF"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39EA089B"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6259013E"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100</w:t>
            </w:r>
          </w:p>
        </w:tc>
      </w:tr>
      <w:tr w:rsidR="006100DD" w:rsidRPr="003A72EE" w14:paraId="18A47294"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68E8B546" w14:textId="77777777" w:rsidR="006100DD" w:rsidRPr="003A72EE" w:rsidRDefault="006100DD" w:rsidP="00940BAE">
            <w:pPr>
              <w:rPr>
                <w:noProof/>
                <w:sz w:val="20"/>
                <w:szCs w:val="20"/>
                <w:lang w:val="es-ES" w:eastAsia="en-GB"/>
              </w:rPr>
            </w:pPr>
            <w:r w:rsidRPr="003A72EE">
              <w:rPr>
                <w:noProof/>
                <w:color w:val="000000"/>
                <w:sz w:val="20"/>
                <w:lang w:val="es-ES"/>
              </w:rPr>
              <w:t xml:space="preserve">Cuenca del río Amazonas, traspaso de </w:t>
            </w:r>
            <w:r w:rsidRPr="003A72EE">
              <w:rPr>
                <w:noProof/>
                <w:sz w:val="20"/>
                <w:szCs w:val="20"/>
                <w:lang w:val="es-ES" w:eastAsia="en-GB"/>
              </w:rPr>
              <w:t>2021</w:t>
            </w:r>
          </w:p>
        </w:tc>
        <w:tc>
          <w:tcPr>
            <w:tcW w:w="1635" w:type="dxa"/>
            <w:tcBorders>
              <w:top w:val="nil"/>
              <w:left w:val="nil"/>
              <w:bottom w:val="single" w:sz="4" w:space="0" w:color="auto"/>
              <w:right w:val="single" w:sz="4" w:space="0" w:color="auto"/>
            </w:tcBorders>
            <w:shd w:val="clear" w:color="auto" w:fill="auto"/>
            <w:noWrap/>
            <w:vAlign w:val="center"/>
            <w:hideMark/>
          </w:tcPr>
          <w:p w14:paraId="427F2621"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22E6A8D1"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05E711D3" w14:textId="77777777" w:rsidR="006100DD" w:rsidRPr="003A72EE" w:rsidRDefault="006100DD" w:rsidP="00940BAE">
            <w:pPr>
              <w:jc w:val="right"/>
              <w:rPr>
                <w:noProof/>
                <w:sz w:val="20"/>
                <w:szCs w:val="20"/>
                <w:lang w:val="es-ES" w:eastAsia="en-GB"/>
              </w:rPr>
            </w:pPr>
            <w:r w:rsidRPr="003A72EE">
              <w:rPr>
                <w:noProof/>
                <w:sz w:val="20"/>
                <w:szCs w:val="20"/>
                <w:lang w:val="es-ES" w:eastAsia="en-GB"/>
              </w:rPr>
              <w:t>76</w:t>
            </w:r>
          </w:p>
        </w:tc>
        <w:tc>
          <w:tcPr>
            <w:tcW w:w="1636" w:type="dxa"/>
            <w:tcBorders>
              <w:top w:val="nil"/>
              <w:left w:val="nil"/>
              <w:bottom w:val="single" w:sz="4" w:space="0" w:color="auto"/>
              <w:right w:val="single" w:sz="4" w:space="0" w:color="auto"/>
            </w:tcBorders>
            <w:shd w:val="clear" w:color="auto" w:fill="auto"/>
            <w:noWrap/>
            <w:vAlign w:val="center"/>
            <w:hideMark/>
          </w:tcPr>
          <w:p w14:paraId="0CA39277" w14:textId="77777777" w:rsidR="006100DD" w:rsidRPr="003A72EE" w:rsidRDefault="006100DD" w:rsidP="00940BAE">
            <w:pPr>
              <w:rPr>
                <w:noProof/>
                <w:color w:val="0070C0"/>
                <w:sz w:val="20"/>
                <w:szCs w:val="20"/>
                <w:lang w:val="es-ES" w:eastAsia="en-GB"/>
              </w:rPr>
            </w:pPr>
            <w:r w:rsidRPr="003A72EE">
              <w:rPr>
                <w:noProof/>
                <w:color w:val="0070C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7A36854A"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76</w:t>
            </w:r>
          </w:p>
        </w:tc>
      </w:tr>
      <w:tr w:rsidR="006100DD" w:rsidRPr="003A72EE" w14:paraId="44C0D18A"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77CC53A1" w14:textId="77777777" w:rsidR="006100DD" w:rsidRPr="003A72EE" w:rsidRDefault="006100DD" w:rsidP="00940BAE">
            <w:pPr>
              <w:rPr>
                <w:noProof/>
                <w:sz w:val="20"/>
                <w:szCs w:val="20"/>
                <w:lang w:val="es-ES" w:eastAsia="en-GB"/>
              </w:rPr>
            </w:pPr>
            <w:r w:rsidRPr="003A72EE">
              <w:rPr>
                <w:noProof/>
                <w:color w:val="000000"/>
                <w:sz w:val="20"/>
                <w:lang w:val="es-ES"/>
              </w:rPr>
              <w:t>E.</w:t>
            </w:r>
            <w:r w:rsidRPr="003A72EE">
              <w:rPr>
                <w:noProof/>
                <w:color w:val="000000"/>
                <w:sz w:val="20"/>
                <w:szCs w:val="20"/>
                <w:lang w:val="es-ES" w:eastAsia="en-GB"/>
              </w:rPr>
              <w:t xml:space="preserve"> </w:t>
            </w:r>
            <w:r w:rsidRPr="003A72EE">
              <w:rPr>
                <w:noProof/>
                <w:color w:val="000000"/>
                <w:sz w:val="20"/>
                <w:lang w:val="es-ES"/>
              </w:rPr>
              <w:t xml:space="preserve"> Servicios científicos y técnicos</w:t>
            </w:r>
          </w:p>
        </w:tc>
        <w:tc>
          <w:tcPr>
            <w:tcW w:w="1635" w:type="dxa"/>
            <w:tcBorders>
              <w:top w:val="nil"/>
              <w:left w:val="nil"/>
              <w:bottom w:val="single" w:sz="4" w:space="0" w:color="auto"/>
              <w:right w:val="single" w:sz="4" w:space="0" w:color="auto"/>
            </w:tcBorders>
            <w:shd w:val="clear" w:color="auto" w:fill="E2EFD9" w:themeFill="accent6" w:themeFillTint="33"/>
            <w:noWrap/>
            <w:vAlign w:val="center"/>
            <w:hideMark/>
          </w:tcPr>
          <w:p w14:paraId="74B14CB5"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839</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50D8BA75"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5</w:t>
            </w:r>
          </w:p>
        </w:tc>
        <w:tc>
          <w:tcPr>
            <w:tcW w:w="163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575FA57"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224</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3A119B4C"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843" w:type="dxa"/>
            <w:tcBorders>
              <w:top w:val="nil"/>
              <w:left w:val="nil"/>
              <w:bottom w:val="single" w:sz="4" w:space="0" w:color="auto"/>
              <w:right w:val="single" w:sz="4" w:space="0" w:color="auto"/>
            </w:tcBorders>
            <w:shd w:val="clear" w:color="auto" w:fill="E2EFD9" w:themeFill="accent6" w:themeFillTint="33"/>
            <w:noWrap/>
            <w:vAlign w:val="center"/>
            <w:hideMark/>
          </w:tcPr>
          <w:p w14:paraId="507F7538"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1 068</w:t>
            </w:r>
          </w:p>
        </w:tc>
      </w:tr>
      <w:tr w:rsidR="006100DD" w:rsidRPr="003A72EE" w14:paraId="6D3FDB6B" w14:textId="77777777" w:rsidTr="0012672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34338010" w14:textId="77777777" w:rsidR="006100DD" w:rsidRPr="003A72EE" w:rsidRDefault="006100DD" w:rsidP="00940BAE">
            <w:pPr>
              <w:rPr>
                <w:noProof/>
                <w:sz w:val="20"/>
                <w:szCs w:val="20"/>
                <w:lang w:val="es-ES" w:eastAsia="en-GB"/>
              </w:rPr>
            </w:pPr>
            <w:r w:rsidRPr="003A72EE">
              <w:rPr>
                <w:noProof/>
                <w:sz w:val="20"/>
                <w:szCs w:val="20"/>
                <w:lang w:val="es-ES" w:eastAsia="en-GB"/>
              </w:rPr>
              <w:t>Salarios, gastos sociales y otras prestaciones laborales</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36C4B2FD" w14:textId="77777777" w:rsidR="006100DD" w:rsidRPr="003A72EE" w:rsidRDefault="006100DD" w:rsidP="00940BAE">
            <w:pPr>
              <w:jc w:val="right"/>
              <w:rPr>
                <w:noProof/>
                <w:sz w:val="20"/>
                <w:szCs w:val="20"/>
                <w:lang w:val="es-ES" w:eastAsia="en-GB"/>
              </w:rPr>
            </w:pPr>
            <w:r w:rsidRPr="003A72EE">
              <w:rPr>
                <w:noProof/>
                <w:sz w:val="20"/>
                <w:szCs w:val="20"/>
                <w:lang w:val="es-ES" w:eastAsia="en-GB"/>
              </w:rPr>
              <w:t>651</w:t>
            </w:r>
          </w:p>
        </w:tc>
        <w:tc>
          <w:tcPr>
            <w:tcW w:w="1636" w:type="dxa"/>
            <w:tcBorders>
              <w:top w:val="nil"/>
              <w:left w:val="nil"/>
              <w:bottom w:val="single" w:sz="4" w:space="0" w:color="auto"/>
              <w:right w:val="single" w:sz="4" w:space="0" w:color="auto"/>
            </w:tcBorders>
            <w:shd w:val="clear" w:color="auto" w:fill="auto"/>
            <w:noWrap/>
            <w:vAlign w:val="center"/>
            <w:hideMark/>
          </w:tcPr>
          <w:p w14:paraId="33137132"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0BEA6A7A"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3B037F98"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1042C9AE"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651</w:t>
            </w:r>
          </w:p>
        </w:tc>
      </w:tr>
      <w:tr w:rsidR="006100DD" w:rsidRPr="003A72EE" w14:paraId="1AE30CB3" w14:textId="77777777" w:rsidTr="00126728">
        <w:trPr>
          <w:trHeight w:val="27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19573" w14:textId="77777777" w:rsidR="006100DD" w:rsidRPr="003A72EE" w:rsidRDefault="006100DD" w:rsidP="00940BAE">
            <w:pPr>
              <w:rPr>
                <w:noProof/>
                <w:sz w:val="20"/>
                <w:szCs w:val="20"/>
                <w:lang w:val="es-ES" w:eastAsia="en-GB"/>
              </w:rPr>
            </w:pPr>
            <w:r w:rsidRPr="003A72EE">
              <w:rPr>
                <w:noProof/>
                <w:color w:val="000000"/>
                <w:sz w:val="20"/>
                <w:szCs w:val="20"/>
                <w:lang w:val="es-ES" w:eastAsia="en-GB"/>
              </w:rPr>
              <w:t>Viajes</w:t>
            </w:r>
          </w:p>
        </w:tc>
        <w:tc>
          <w:tcPr>
            <w:tcW w:w="1635" w:type="dxa"/>
            <w:tcBorders>
              <w:top w:val="nil"/>
              <w:left w:val="nil"/>
              <w:bottom w:val="single" w:sz="4" w:space="0" w:color="auto"/>
              <w:right w:val="single" w:sz="4" w:space="0" w:color="auto"/>
            </w:tcBorders>
            <w:shd w:val="clear" w:color="auto" w:fill="auto"/>
            <w:noWrap/>
            <w:vAlign w:val="center"/>
            <w:hideMark/>
          </w:tcPr>
          <w:p w14:paraId="145F471B" w14:textId="77777777" w:rsidR="006100DD" w:rsidRPr="003A72EE" w:rsidRDefault="006100DD" w:rsidP="00940BAE">
            <w:pPr>
              <w:jc w:val="right"/>
              <w:rPr>
                <w:noProof/>
                <w:sz w:val="20"/>
                <w:szCs w:val="20"/>
                <w:lang w:val="es-ES" w:eastAsia="en-GB"/>
              </w:rPr>
            </w:pPr>
            <w:r w:rsidRPr="003A72EE">
              <w:rPr>
                <w:noProof/>
                <w:sz w:val="20"/>
                <w:szCs w:val="20"/>
                <w:lang w:val="es-ES" w:eastAsia="en-GB"/>
              </w:rPr>
              <w:t>18</w:t>
            </w:r>
          </w:p>
        </w:tc>
        <w:tc>
          <w:tcPr>
            <w:tcW w:w="1636" w:type="dxa"/>
            <w:tcBorders>
              <w:top w:val="nil"/>
              <w:left w:val="nil"/>
              <w:bottom w:val="single" w:sz="4" w:space="0" w:color="auto"/>
              <w:right w:val="single" w:sz="4" w:space="0" w:color="auto"/>
            </w:tcBorders>
            <w:shd w:val="clear" w:color="auto" w:fill="auto"/>
            <w:noWrap/>
            <w:vAlign w:val="center"/>
            <w:hideMark/>
          </w:tcPr>
          <w:p w14:paraId="2637809F"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3A4E14E0"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10</w:t>
            </w:r>
          </w:p>
        </w:tc>
        <w:tc>
          <w:tcPr>
            <w:tcW w:w="1636" w:type="dxa"/>
            <w:tcBorders>
              <w:top w:val="nil"/>
              <w:left w:val="nil"/>
              <w:bottom w:val="single" w:sz="4" w:space="0" w:color="auto"/>
              <w:right w:val="single" w:sz="4" w:space="0" w:color="auto"/>
            </w:tcBorders>
            <w:shd w:val="clear" w:color="auto" w:fill="auto"/>
            <w:noWrap/>
            <w:vAlign w:val="center"/>
            <w:hideMark/>
          </w:tcPr>
          <w:p w14:paraId="6083A94B"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028CDF"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28</w:t>
            </w:r>
          </w:p>
        </w:tc>
      </w:tr>
      <w:tr w:rsidR="006100DD" w:rsidRPr="003A72EE" w14:paraId="1D3F50D9"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136ADFA9" w14:textId="77777777" w:rsidR="006100DD" w:rsidRPr="003A72EE" w:rsidRDefault="006100DD" w:rsidP="00940BAE">
            <w:pPr>
              <w:rPr>
                <w:noProof/>
                <w:sz w:val="20"/>
                <w:szCs w:val="20"/>
                <w:lang w:val="es-ES" w:eastAsia="en-GB"/>
              </w:rPr>
            </w:pPr>
            <w:r w:rsidRPr="003A72EE">
              <w:rPr>
                <w:noProof/>
                <w:color w:val="000000"/>
                <w:sz w:val="20"/>
                <w:lang w:val="es-ES"/>
              </w:rPr>
              <w:t>Viajes de la Presidencia del GECT</w:t>
            </w:r>
          </w:p>
        </w:tc>
        <w:tc>
          <w:tcPr>
            <w:tcW w:w="1635" w:type="dxa"/>
            <w:tcBorders>
              <w:top w:val="nil"/>
              <w:left w:val="nil"/>
              <w:bottom w:val="single" w:sz="4" w:space="0" w:color="auto"/>
              <w:right w:val="single" w:sz="4" w:space="0" w:color="auto"/>
            </w:tcBorders>
            <w:shd w:val="clear" w:color="auto" w:fill="auto"/>
            <w:noWrap/>
            <w:vAlign w:val="center"/>
            <w:hideMark/>
          </w:tcPr>
          <w:p w14:paraId="06130574" w14:textId="77777777" w:rsidR="006100DD" w:rsidRPr="003A72EE" w:rsidRDefault="006100DD" w:rsidP="00940BAE">
            <w:pPr>
              <w:jc w:val="right"/>
              <w:rPr>
                <w:noProof/>
                <w:sz w:val="20"/>
                <w:szCs w:val="20"/>
                <w:lang w:val="es-ES" w:eastAsia="en-GB"/>
              </w:rPr>
            </w:pPr>
            <w:r w:rsidRPr="003A72EE">
              <w:rPr>
                <w:noProof/>
                <w:sz w:val="20"/>
                <w:szCs w:val="20"/>
                <w:lang w:val="es-ES" w:eastAsia="en-GB"/>
              </w:rPr>
              <w:t>5</w:t>
            </w:r>
          </w:p>
        </w:tc>
        <w:tc>
          <w:tcPr>
            <w:tcW w:w="1636" w:type="dxa"/>
            <w:tcBorders>
              <w:top w:val="nil"/>
              <w:left w:val="nil"/>
              <w:bottom w:val="single" w:sz="4" w:space="0" w:color="auto"/>
              <w:right w:val="single" w:sz="4" w:space="0" w:color="auto"/>
            </w:tcBorders>
            <w:shd w:val="clear" w:color="auto" w:fill="auto"/>
            <w:noWrap/>
            <w:vAlign w:val="center"/>
            <w:hideMark/>
          </w:tcPr>
          <w:p w14:paraId="22C4E951"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77378869"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12</w:t>
            </w:r>
          </w:p>
        </w:tc>
        <w:tc>
          <w:tcPr>
            <w:tcW w:w="1636" w:type="dxa"/>
            <w:tcBorders>
              <w:top w:val="nil"/>
              <w:left w:val="nil"/>
              <w:bottom w:val="single" w:sz="4" w:space="0" w:color="auto"/>
              <w:right w:val="single" w:sz="4" w:space="0" w:color="auto"/>
            </w:tcBorders>
            <w:shd w:val="clear" w:color="auto" w:fill="auto"/>
            <w:noWrap/>
            <w:vAlign w:val="center"/>
            <w:hideMark/>
          </w:tcPr>
          <w:p w14:paraId="287928FF"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4B26740F"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17</w:t>
            </w:r>
          </w:p>
        </w:tc>
      </w:tr>
      <w:tr w:rsidR="006100DD" w:rsidRPr="003A72EE" w14:paraId="4A083747"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210D4FCE" w14:textId="77777777" w:rsidR="006100DD" w:rsidRPr="003A72EE" w:rsidRDefault="006100DD" w:rsidP="00940BAE">
            <w:pPr>
              <w:rPr>
                <w:noProof/>
                <w:sz w:val="20"/>
                <w:szCs w:val="20"/>
                <w:lang w:val="es-ES" w:eastAsia="en-GB"/>
              </w:rPr>
            </w:pPr>
            <w:r w:rsidRPr="003A72EE">
              <w:rPr>
                <w:noProof/>
                <w:color w:val="000000" w:themeColor="text1"/>
                <w:sz w:val="20"/>
                <w:lang w:val="es-ES"/>
              </w:rPr>
              <w:t xml:space="preserve">Trabajo del </w:t>
            </w:r>
            <w:r w:rsidRPr="003A72EE">
              <w:rPr>
                <w:noProof/>
                <w:color w:val="000000"/>
                <w:sz w:val="20"/>
                <w:lang w:val="es-ES"/>
              </w:rPr>
              <w:t>GECT</w:t>
            </w:r>
          </w:p>
        </w:tc>
        <w:tc>
          <w:tcPr>
            <w:tcW w:w="1635" w:type="dxa"/>
            <w:tcBorders>
              <w:top w:val="nil"/>
              <w:left w:val="nil"/>
              <w:bottom w:val="single" w:sz="4" w:space="0" w:color="auto"/>
              <w:right w:val="single" w:sz="4" w:space="0" w:color="auto"/>
            </w:tcBorders>
            <w:shd w:val="clear" w:color="auto" w:fill="auto"/>
            <w:noWrap/>
            <w:vAlign w:val="center"/>
            <w:hideMark/>
          </w:tcPr>
          <w:p w14:paraId="16BB4371" w14:textId="77777777" w:rsidR="006100DD" w:rsidRPr="003A72EE" w:rsidRDefault="006100DD" w:rsidP="00940BAE">
            <w:pPr>
              <w:jc w:val="right"/>
              <w:rPr>
                <w:noProof/>
                <w:sz w:val="20"/>
                <w:szCs w:val="20"/>
                <w:lang w:val="es-ES" w:eastAsia="en-GB"/>
              </w:rPr>
            </w:pPr>
            <w:r w:rsidRPr="003A72EE">
              <w:rPr>
                <w:noProof/>
                <w:sz w:val="20"/>
                <w:szCs w:val="20"/>
                <w:lang w:val="es-ES" w:eastAsia="en-GB"/>
              </w:rPr>
              <w:t>35</w:t>
            </w:r>
          </w:p>
        </w:tc>
        <w:tc>
          <w:tcPr>
            <w:tcW w:w="1636" w:type="dxa"/>
            <w:tcBorders>
              <w:top w:val="nil"/>
              <w:left w:val="nil"/>
              <w:bottom w:val="single" w:sz="4" w:space="0" w:color="auto"/>
              <w:right w:val="single" w:sz="4" w:space="0" w:color="auto"/>
            </w:tcBorders>
            <w:shd w:val="clear" w:color="auto" w:fill="auto"/>
            <w:noWrap/>
            <w:vAlign w:val="center"/>
            <w:hideMark/>
          </w:tcPr>
          <w:p w14:paraId="291702F8" w14:textId="77777777" w:rsidR="006100DD" w:rsidRPr="003A72EE" w:rsidRDefault="006100DD" w:rsidP="00940BAE">
            <w:pPr>
              <w:jc w:val="right"/>
              <w:rPr>
                <w:noProof/>
                <w:sz w:val="20"/>
                <w:szCs w:val="20"/>
                <w:lang w:val="es-ES" w:eastAsia="en-GB"/>
              </w:rPr>
            </w:pPr>
            <w:r w:rsidRPr="003A72EE">
              <w:rPr>
                <w:noProof/>
                <w:sz w:val="20"/>
                <w:szCs w:val="20"/>
                <w:lang w:val="es-ES" w:eastAsia="en-GB"/>
              </w:rPr>
              <w:t>5</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72D9B16B"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40</w:t>
            </w:r>
          </w:p>
        </w:tc>
        <w:tc>
          <w:tcPr>
            <w:tcW w:w="1636" w:type="dxa"/>
            <w:tcBorders>
              <w:top w:val="nil"/>
              <w:left w:val="nil"/>
              <w:bottom w:val="single" w:sz="4" w:space="0" w:color="auto"/>
              <w:right w:val="single" w:sz="4" w:space="0" w:color="auto"/>
            </w:tcBorders>
            <w:shd w:val="clear" w:color="auto" w:fill="auto"/>
            <w:noWrap/>
            <w:vAlign w:val="center"/>
            <w:hideMark/>
          </w:tcPr>
          <w:p w14:paraId="24784118"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34660CDD"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80</w:t>
            </w:r>
          </w:p>
        </w:tc>
      </w:tr>
      <w:tr w:rsidR="006100DD" w:rsidRPr="003A72EE" w14:paraId="4C01E4A3"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383D7317" w14:textId="77777777" w:rsidR="006100DD" w:rsidRPr="003A72EE" w:rsidRDefault="006100DD" w:rsidP="00940BAE">
            <w:pPr>
              <w:rPr>
                <w:noProof/>
                <w:sz w:val="20"/>
                <w:szCs w:val="20"/>
                <w:lang w:val="es-ES" w:eastAsia="en-GB"/>
              </w:rPr>
            </w:pPr>
            <w:r w:rsidRPr="003A72EE">
              <w:rPr>
                <w:noProof/>
                <w:color w:val="000000"/>
                <w:sz w:val="20"/>
                <w:lang w:val="es-ES"/>
              </w:rPr>
              <w:t>Reuniones del GECT</w:t>
            </w:r>
          </w:p>
        </w:tc>
        <w:tc>
          <w:tcPr>
            <w:tcW w:w="1635" w:type="dxa"/>
            <w:tcBorders>
              <w:top w:val="nil"/>
              <w:left w:val="nil"/>
              <w:bottom w:val="single" w:sz="4" w:space="0" w:color="auto"/>
              <w:right w:val="single" w:sz="4" w:space="0" w:color="auto"/>
            </w:tcBorders>
            <w:shd w:val="clear" w:color="auto" w:fill="auto"/>
            <w:noWrap/>
            <w:vAlign w:val="center"/>
            <w:hideMark/>
          </w:tcPr>
          <w:p w14:paraId="2874FA18" w14:textId="77777777" w:rsidR="006100DD" w:rsidRPr="003A72EE" w:rsidRDefault="006100DD" w:rsidP="00940BAE">
            <w:pPr>
              <w:jc w:val="right"/>
              <w:rPr>
                <w:noProof/>
                <w:sz w:val="20"/>
                <w:szCs w:val="20"/>
                <w:lang w:val="es-ES" w:eastAsia="en-GB"/>
              </w:rPr>
            </w:pPr>
            <w:r w:rsidRPr="003A72EE">
              <w:rPr>
                <w:noProof/>
                <w:sz w:val="20"/>
                <w:szCs w:val="20"/>
                <w:lang w:val="es-ES" w:eastAsia="en-GB"/>
              </w:rPr>
              <w:t>50</w:t>
            </w:r>
          </w:p>
        </w:tc>
        <w:tc>
          <w:tcPr>
            <w:tcW w:w="1636" w:type="dxa"/>
            <w:tcBorders>
              <w:top w:val="nil"/>
              <w:left w:val="nil"/>
              <w:bottom w:val="single" w:sz="4" w:space="0" w:color="auto"/>
              <w:right w:val="single" w:sz="4" w:space="0" w:color="auto"/>
            </w:tcBorders>
            <w:shd w:val="clear" w:color="auto" w:fill="auto"/>
            <w:noWrap/>
            <w:vAlign w:val="center"/>
            <w:hideMark/>
          </w:tcPr>
          <w:p w14:paraId="2AAB4229"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0715F7C3"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70CEB7A6"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456843E8"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50</w:t>
            </w:r>
          </w:p>
        </w:tc>
      </w:tr>
      <w:tr w:rsidR="006100DD" w:rsidRPr="003A72EE" w14:paraId="3E1DE273"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7FAD1462" w14:textId="77777777" w:rsidR="006100DD" w:rsidRPr="003A72EE" w:rsidRDefault="006100DD" w:rsidP="00940BAE">
            <w:pPr>
              <w:rPr>
                <w:noProof/>
                <w:sz w:val="20"/>
                <w:szCs w:val="20"/>
                <w:lang w:val="es-ES" w:eastAsia="en-GB"/>
              </w:rPr>
            </w:pPr>
            <w:r w:rsidRPr="003A72EE">
              <w:rPr>
                <w:noProof/>
                <w:sz w:val="20"/>
                <w:szCs w:val="20"/>
                <w:lang w:val="es-ES" w:eastAsia="en-GB"/>
              </w:rPr>
              <w:t>Plan Estratégico 5 (2022 - 2024)</w:t>
            </w:r>
          </w:p>
        </w:tc>
        <w:tc>
          <w:tcPr>
            <w:tcW w:w="1635" w:type="dxa"/>
            <w:tcBorders>
              <w:top w:val="nil"/>
              <w:left w:val="nil"/>
              <w:bottom w:val="single" w:sz="4" w:space="0" w:color="auto"/>
              <w:right w:val="single" w:sz="4" w:space="0" w:color="auto"/>
            </w:tcBorders>
            <w:shd w:val="clear" w:color="auto" w:fill="auto"/>
            <w:noWrap/>
            <w:vAlign w:val="center"/>
            <w:hideMark/>
          </w:tcPr>
          <w:p w14:paraId="2DF3E545"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00AF50AD"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60B6B0B2"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90</w:t>
            </w:r>
          </w:p>
        </w:tc>
        <w:tc>
          <w:tcPr>
            <w:tcW w:w="1636" w:type="dxa"/>
            <w:tcBorders>
              <w:top w:val="nil"/>
              <w:left w:val="nil"/>
              <w:bottom w:val="single" w:sz="4" w:space="0" w:color="auto"/>
              <w:right w:val="single" w:sz="4" w:space="0" w:color="auto"/>
            </w:tcBorders>
            <w:shd w:val="clear" w:color="auto" w:fill="auto"/>
            <w:noWrap/>
            <w:vAlign w:val="center"/>
            <w:hideMark/>
          </w:tcPr>
          <w:p w14:paraId="5BA5912D" w14:textId="77777777" w:rsidR="006100DD" w:rsidRPr="003A72EE" w:rsidRDefault="006100DD" w:rsidP="00940BAE">
            <w:pPr>
              <w:rPr>
                <w:rFonts w:ascii="Calibri Light" w:hAnsi="Calibri Light" w:cs="Calibri Light"/>
                <w:noProof/>
                <w:color w:val="FF0000"/>
                <w:sz w:val="20"/>
                <w:szCs w:val="20"/>
                <w:lang w:val="es-ES" w:eastAsia="en-GB"/>
              </w:rPr>
            </w:pPr>
            <w:r w:rsidRPr="003A72EE">
              <w:rPr>
                <w:rFonts w:ascii="Calibri Light" w:hAnsi="Calibri Light" w:cs="Calibri Light"/>
                <w:strike/>
                <w:noProof/>
                <w:color w:val="FF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79BF61F5"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90</w:t>
            </w:r>
          </w:p>
        </w:tc>
      </w:tr>
      <w:tr w:rsidR="006100DD" w:rsidRPr="003A72EE" w14:paraId="40E7FA4A"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1B8525BA" w14:textId="77777777" w:rsidR="006100DD" w:rsidRPr="003A72EE" w:rsidRDefault="006100DD" w:rsidP="00940BAE">
            <w:pPr>
              <w:rPr>
                <w:noProof/>
                <w:sz w:val="20"/>
                <w:szCs w:val="20"/>
                <w:lang w:val="es-ES" w:eastAsia="en-GB"/>
              </w:rPr>
            </w:pPr>
            <w:r w:rsidRPr="003A72EE">
              <w:rPr>
                <w:noProof/>
                <w:sz w:val="20"/>
                <w:szCs w:val="20"/>
                <w:lang w:val="es-ES" w:eastAsia="en-GB"/>
              </w:rPr>
              <w:t>ODS 6.61 (Inventarios)</w:t>
            </w:r>
          </w:p>
        </w:tc>
        <w:tc>
          <w:tcPr>
            <w:tcW w:w="1635" w:type="dxa"/>
            <w:tcBorders>
              <w:top w:val="nil"/>
              <w:left w:val="nil"/>
              <w:bottom w:val="single" w:sz="4" w:space="0" w:color="auto"/>
              <w:right w:val="single" w:sz="4" w:space="0" w:color="auto"/>
            </w:tcBorders>
            <w:shd w:val="clear" w:color="auto" w:fill="auto"/>
            <w:noWrap/>
            <w:vAlign w:val="center"/>
            <w:hideMark/>
          </w:tcPr>
          <w:p w14:paraId="5E052324"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0621FC5D"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60DB3EEB"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72</w:t>
            </w:r>
          </w:p>
        </w:tc>
        <w:tc>
          <w:tcPr>
            <w:tcW w:w="1636" w:type="dxa"/>
            <w:tcBorders>
              <w:top w:val="nil"/>
              <w:left w:val="nil"/>
              <w:bottom w:val="single" w:sz="4" w:space="0" w:color="auto"/>
              <w:right w:val="single" w:sz="4" w:space="0" w:color="auto"/>
            </w:tcBorders>
            <w:shd w:val="clear" w:color="auto" w:fill="auto"/>
            <w:noWrap/>
            <w:vAlign w:val="center"/>
            <w:hideMark/>
          </w:tcPr>
          <w:p w14:paraId="5609B3FB"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4D4A92A1"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72</w:t>
            </w:r>
          </w:p>
        </w:tc>
      </w:tr>
      <w:tr w:rsidR="006100DD" w:rsidRPr="003A72EE" w14:paraId="1A19F09A"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1E79AD85" w14:textId="77777777" w:rsidR="006100DD" w:rsidRPr="003A72EE" w:rsidRDefault="006100DD" w:rsidP="00940BAE">
            <w:pPr>
              <w:rPr>
                <w:noProof/>
                <w:sz w:val="20"/>
                <w:szCs w:val="20"/>
                <w:lang w:val="es-ES" w:eastAsia="en-GB"/>
              </w:rPr>
            </w:pPr>
            <w:r w:rsidRPr="003A72EE">
              <w:rPr>
                <w:noProof/>
                <w:color w:val="000000"/>
                <w:sz w:val="20"/>
                <w:lang w:val="es-ES"/>
              </w:rPr>
              <w:t>Servicio de Información sobre Sitios Ramsar (mantenimiento y desarrollo)</w:t>
            </w:r>
          </w:p>
        </w:tc>
        <w:tc>
          <w:tcPr>
            <w:tcW w:w="1635" w:type="dxa"/>
            <w:tcBorders>
              <w:top w:val="nil"/>
              <w:left w:val="nil"/>
              <w:bottom w:val="single" w:sz="4" w:space="0" w:color="auto"/>
              <w:right w:val="single" w:sz="4" w:space="0" w:color="auto"/>
            </w:tcBorders>
            <w:shd w:val="clear" w:color="auto" w:fill="auto"/>
            <w:noWrap/>
            <w:vAlign w:val="center"/>
            <w:hideMark/>
          </w:tcPr>
          <w:p w14:paraId="3D02897B" w14:textId="77777777" w:rsidR="006100DD" w:rsidRPr="003A72EE" w:rsidRDefault="006100DD" w:rsidP="00940BAE">
            <w:pPr>
              <w:jc w:val="right"/>
              <w:rPr>
                <w:noProof/>
                <w:sz w:val="20"/>
                <w:szCs w:val="20"/>
                <w:lang w:val="es-ES" w:eastAsia="en-GB"/>
              </w:rPr>
            </w:pPr>
            <w:r w:rsidRPr="003A72EE">
              <w:rPr>
                <w:noProof/>
                <w:sz w:val="20"/>
                <w:szCs w:val="20"/>
                <w:lang w:val="es-ES" w:eastAsia="en-GB"/>
              </w:rPr>
              <w:t>80</w:t>
            </w:r>
          </w:p>
        </w:tc>
        <w:tc>
          <w:tcPr>
            <w:tcW w:w="1636" w:type="dxa"/>
            <w:tcBorders>
              <w:top w:val="nil"/>
              <w:left w:val="nil"/>
              <w:bottom w:val="single" w:sz="4" w:space="0" w:color="auto"/>
              <w:right w:val="single" w:sz="4" w:space="0" w:color="auto"/>
            </w:tcBorders>
            <w:shd w:val="clear" w:color="auto" w:fill="auto"/>
            <w:noWrap/>
            <w:vAlign w:val="center"/>
            <w:hideMark/>
          </w:tcPr>
          <w:p w14:paraId="2560F612"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13CCE7D5"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36E6A14F"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C71FC0"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80</w:t>
            </w:r>
          </w:p>
        </w:tc>
      </w:tr>
      <w:tr w:rsidR="006100DD" w:rsidRPr="003A72EE" w14:paraId="4D41BD5B"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0301457" w14:textId="77777777" w:rsidR="006100DD" w:rsidRPr="003A72EE" w:rsidRDefault="006100DD" w:rsidP="00940BAE">
            <w:pPr>
              <w:rPr>
                <w:noProof/>
                <w:sz w:val="20"/>
                <w:szCs w:val="20"/>
                <w:lang w:val="es-ES" w:eastAsia="en-GB"/>
              </w:rPr>
            </w:pPr>
            <w:r w:rsidRPr="003A72EE">
              <w:rPr>
                <w:noProof/>
                <w:color w:val="000000"/>
                <w:sz w:val="20"/>
                <w:szCs w:val="20"/>
                <w:lang w:val="es-ES" w:eastAsia="en-GB"/>
              </w:rPr>
              <w:t xml:space="preserve">G.  </w:t>
            </w:r>
            <w:r w:rsidRPr="003A72EE">
              <w:rPr>
                <w:noProof/>
                <w:color w:val="000000"/>
                <w:sz w:val="20"/>
                <w:lang w:val="es-ES"/>
              </w:rPr>
              <w:t>Administración/sitio web</w:t>
            </w:r>
          </w:p>
        </w:tc>
        <w:tc>
          <w:tcPr>
            <w:tcW w:w="1635" w:type="dxa"/>
            <w:tcBorders>
              <w:top w:val="nil"/>
              <w:left w:val="nil"/>
              <w:bottom w:val="single" w:sz="4" w:space="0" w:color="auto"/>
              <w:right w:val="single" w:sz="4" w:space="0" w:color="auto"/>
            </w:tcBorders>
            <w:shd w:val="clear" w:color="auto" w:fill="E2EFD9" w:themeFill="accent6" w:themeFillTint="33"/>
            <w:noWrap/>
            <w:vAlign w:val="center"/>
            <w:hideMark/>
          </w:tcPr>
          <w:p w14:paraId="7F8949FC"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481</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50E83677"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11</w:t>
            </w:r>
          </w:p>
        </w:tc>
        <w:tc>
          <w:tcPr>
            <w:tcW w:w="163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777E5F0D"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73</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46115E2C"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89,5</w:t>
            </w:r>
          </w:p>
        </w:tc>
        <w:tc>
          <w:tcPr>
            <w:tcW w:w="1843" w:type="dxa"/>
            <w:tcBorders>
              <w:top w:val="nil"/>
              <w:left w:val="nil"/>
              <w:bottom w:val="single" w:sz="4" w:space="0" w:color="auto"/>
              <w:right w:val="single" w:sz="4" w:space="0" w:color="auto"/>
            </w:tcBorders>
            <w:shd w:val="clear" w:color="auto" w:fill="E2EFD9" w:themeFill="accent6" w:themeFillTint="33"/>
            <w:noWrap/>
            <w:vAlign w:val="center"/>
            <w:hideMark/>
          </w:tcPr>
          <w:p w14:paraId="23569FEB" w14:textId="06EE1642"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65</w:t>
            </w:r>
            <w:r w:rsidR="00E77FF3" w:rsidRPr="003A72EE">
              <w:rPr>
                <w:b/>
                <w:bCs/>
                <w:noProof/>
                <w:color w:val="000000"/>
                <w:sz w:val="20"/>
                <w:szCs w:val="20"/>
                <w:lang w:val="es-ES" w:eastAsia="en-GB"/>
              </w:rPr>
              <w:t>5</w:t>
            </w:r>
          </w:p>
        </w:tc>
      </w:tr>
      <w:tr w:rsidR="006100DD" w:rsidRPr="003A72EE" w14:paraId="54291A3C" w14:textId="77777777" w:rsidTr="00126728">
        <w:trPr>
          <w:trHeight w:val="270"/>
        </w:trPr>
        <w:tc>
          <w:tcPr>
            <w:tcW w:w="4792" w:type="dxa"/>
            <w:tcBorders>
              <w:top w:val="single" w:sz="4" w:space="0" w:color="auto"/>
              <w:left w:val="single" w:sz="4" w:space="0" w:color="auto"/>
              <w:bottom w:val="single" w:sz="4" w:space="0" w:color="auto"/>
              <w:right w:val="nil"/>
            </w:tcBorders>
            <w:shd w:val="clear" w:color="auto" w:fill="auto"/>
            <w:noWrap/>
            <w:vAlign w:val="center"/>
            <w:hideMark/>
          </w:tcPr>
          <w:p w14:paraId="6E0A34BB" w14:textId="77777777" w:rsidR="006100DD" w:rsidRPr="003A72EE" w:rsidRDefault="006100DD" w:rsidP="00940BAE">
            <w:pPr>
              <w:rPr>
                <w:noProof/>
                <w:sz w:val="20"/>
                <w:szCs w:val="20"/>
                <w:lang w:val="es-ES" w:eastAsia="en-GB"/>
              </w:rPr>
            </w:pPr>
            <w:r w:rsidRPr="003A72EE">
              <w:rPr>
                <w:noProof/>
                <w:sz w:val="20"/>
                <w:szCs w:val="20"/>
                <w:lang w:val="es-ES" w:eastAsia="en-GB"/>
              </w:rPr>
              <w:t>Salarios, gastos sociales y otras prestaciones laborales</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1895E09F" w14:textId="77777777" w:rsidR="006100DD" w:rsidRPr="003A72EE" w:rsidRDefault="006100DD" w:rsidP="00940BAE">
            <w:pPr>
              <w:jc w:val="right"/>
              <w:rPr>
                <w:noProof/>
                <w:sz w:val="20"/>
                <w:szCs w:val="20"/>
                <w:lang w:val="es-ES" w:eastAsia="en-GB"/>
              </w:rPr>
            </w:pPr>
            <w:r w:rsidRPr="003A72EE">
              <w:rPr>
                <w:noProof/>
                <w:sz w:val="20"/>
                <w:szCs w:val="20"/>
                <w:lang w:val="es-ES" w:eastAsia="en-GB"/>
              </w:rPr>
              <w:t>337</w:t>
            </w:r>
          </w:p>
        </w:tc>
        <w:tc>
          <w:tcPr>
            <w:tcW w:w="1636" w:type="dxa"/>
            <w:tcBorders>
              <w:top w:val="nil"/>
              <w:left w:val="nil"/>
              <w:bottom w:val="single" w:sz="4" w:space="0" w:color="auto"/>
              <w:right w:val="single" w:sz="4" w:space="0" w:color="auto"/>
            </w:tcBorders>
            <w:shd w:val="clear" w:color="auto" w:fill="auto"/>
            <w:noWrap/>
            <w:vAlign w:val="center"/>
            <w:hideMark/>
          </w:tcPr>
          <w:p w14:paraId="48D702D0"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7B93B13D"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6C035C88"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5801B27C"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337</w:t>
            </w:r>
          </w:p>
        </w:tc>
      </w:tr>
      <w:tr w:rsidR="006100DD" w:rsidRPr="003A72EE" w14:paraId="42086A14" w14:textId="77777777" w:rsidTr="00126728">
        <w:trPr>
          <w:trHeight w:val="27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04BCF" w14:textId="77777777" w:rsidR="006100DD" w:rsidRPr="003A72EE" w:rsidRDefault="006100DD" w:rsidP="00940BAE">
            <w:pPr>
              <w:rPr>
                <w:noProof/>
                <w:sz w:val="20"/>
                <w:szCs w:val="20"/>
                <w:lang w:val="es-ES" w:eastAsia="en-GB"/>
              </w:rPr>
            </w:pPr>
            <w:r w:rsidRPr="003A72EE">
              <w:rPr>
                <w:noProof/>
                <w:color w:val="000000"/>
                <w:sz w:val="20"/>
                <w:lang w:val="es-ES"/>
              </w:rPr>
              <w:t>Costos de contratación y separación del personal</w:t>
            </w:r>
          </w:p>
        </w:tc>
        <w:tc>
          <w:tcPr>
            <w:tcW w:w="1635" w:type="dxa"/>
            <w:tcBorders>
              <w:top w:val="nil"/>
              <w:left w:val="nil"/>
              <w:bottom w:val="single" w:sz="4" w:space="0" w:color="auto"/>
              <w:right w:val="single" w:sz="4" w:space="0" w:color="auto"/>
            </w:tcBorders>
            <w:shd w:val="clear" w:color="auto" w:fill="auto"/>
            <w:noWrap/>
            <w:vAlign w:val="center"/>
            <w:hideMark/>
          </w:tcPr>
          <w:p w14:paraId="02C92024" w14:textId="77777777" w:rsidR="006100DD" w:rsidRPr="003A72EE" w:rsidRDefault="006100DD" w:rsidP="00940BAE">
            <w:pPr>
              <w:jc w:val="right"/>
              <w:rPr>
                <w:noProof/>
                <w:sz w:val="20"/>
                <w:szCs w:val="20"/>
                <w:lang w:val="es-ES" w:eastAsia="en-GB"/>
              </w:rPr>
            </w:pPr>
            <w:r w:rsidRPr="003A72EE">
              <w:rPr>
                <w:noProof/>
                <w:sz w:val="20"/>
                <w:szCs w:val="20"/>
                <w:lang w:val="es-ES" w:eastAsia="en-GB"/>
              </w:rPr>
              <w:t>49</w:t>
            </w:r>
          </w:p>
        </w:tc>
        <w:tc>
          <w:tcPr>
            <w:tcW w:w="1636" w:type="dxa"/>
            <w:tcBorders>
              <w:top w:val="nil"/>
              <w:left w:val="nil"/>
              <w:bottom w:val="single" w:sz="4" w:space="0" w:color="auto"/>
              <w:right w:val="single" w:sz="4" w:space="0" w:color="auto"/>
            </w:tcBorders>
            <w:shd w:val="clear" w:color="auto" w:fill="auto"/>
            <w:noWrap/>
            <w:vAlign w:val="center"/>
            <w:hideMark/>
          </w:tcPr>
          <w:p w14:paraId="78E2B3AE"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2C1419AB"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1A297E7B"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89,5</w:t>
            </w:r>
          </w:p>
        </w:tc>
        <w:tc>
          <w:tcPr>
            <w:tcW w:w="1843" w:type="dxa"/>
            <w:tcBorders>
              <w:top w:val="nil"/>
              <w:left w:val="nil"/>
              <w:bottom w:val="single" w:sz="4" w:space="0" w:color="auto"/>
              <w:right w:val="single" w:sz="4" w:space="0" w:color="auto"/>
            </w:tcBorders>
            <w:shd w:val="clear" w:color="auto" w:fill="auto"/>
            <w:noWrap/>
            <w:vAlign w:val="center"/>
            <w:hideMark/>
          </w:tcPr>
          <w:p w14:paraId="44E5E17E" w14:textId="08A92C36" w:rsidR="006100DD" w:rsidRPr="003A72EE" w:rsidRDefault="00C34E5B" w:rsidP="00940BAE">
            <w:pPr>
              <w:jc w:val="right"/>
              <w:rPr>
                <w:noProof/>
                <w:color w:val="000000"/>
                <w:sz w:val="20"/>
                <w:szCs w:val="20"/>
                <w:lang w:val="es-ES" w:eastAsia="en-GB"/>
              </w:rPr>
            </w:pPr>
            <w:r w:rsidRPr="003A72EE">
              <w:rPr>
                <w:noProof/>
                <w:color w:val="000000"/>
                <w:sz w:val="20"/>
                <w:szCs w:val="20"/>
                <w:lang w:val="es-ES" w:eastAsia="en-GB"/>
              </w:rPr>
              <w:t>139</w:t>
            </w:r>
          </w:p>
        </w:tc>
      </w:tr>
      <w:tr w:rsidR="006100DD" w:rsidRPr="003A72EE" w14:paraId="7A121A9B"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57DA49CC" w14:textId="77777777" w:rsidR="006100DD" w:rsidRPr="003A72EE" w:rsidRDefault="006100DD" w:rsidP="00940BAE">
            <w:pPr>
              <w:rPr>
                <w:noProof/>
                <w:sz w:val="20"/>
                <w:szCs w:val="20"/>
                <w:lang w:val="es-ES" w:eastAsia="en-GB"/>
              </w:rPr>
            </w:pPr>
            <w:r w:rsidRPr="003A72EE">
              <w:rPr>
                <w:noProof/>
                <w:color w:val="000000"/>
                <w:sz w:val="20"/>
                <w:szCs w:val="20"/>
                <w:lang w:val="es-ES" w:eastAsia="en-GB"/>
              </w:rPr>
              <w:t>Viajes</w:t>
            </w:r>
          </w:p>
        </w:tc>
        <w:tc>
          <w:tcPr>
            <w:tcW w:w="1635" w:type="dxa"/>
            <w:tcBorders>
              <w:top w:val="nil"/>
              <w:left w:val="nil"/>
              <w:bottom w:val="single" w:sz="4" w:space="0" w:color="auto"/>
              <w:right w:val="single" w:sz="4" w:space="0" w:color="auto"/>
            </w:tcBorders>
            <w:shd w:val="clear" w:color="auto" w:fill="auto"/>
            <w:noWrap/>
            <w:vAlign w:val="center"/>
            <w:hideMark/>
          </w:tcPr>
          <w:p w14:paraId="6C4DEA5A"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04247755"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0602BC71"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3203F63F"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5D0A9565"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r>
      <w:tr w:rsidR="006100DD" w:rsidRPr="003A72EE" w14:paraId="60251CDF"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2393A120" w14:textId="77777777" w:rsidR="006100DD" w:rsidRPr="003A72EE" w:rsidRDefault="006100DD" w:rsidP="00940BAE">
            <w:pPr>
              <w:rPr>
                <w:noProof/>
                <w:sz w:val="20"/>
                <w:szCs w:val="20"/>
                <w:lang w:val="es-ES" w:eastAsia="en-GB"/>
              </w:rPr>
            </w:pPr>
            <w:r w:rsidRPr="003A72EE">
              <w:rPr>
                <w:noProof/>
                <w:color w:val="000000"/>
                <w:sz w:val="20"/>
                <w:lang w:val="es-ES"/>
              </w:rPr>
              <w:t>Equipo/material de oficina</w:t>
            </w:r>
          </w:p>
        </w:tc>
        <w:tc>
          <w:tcPr>
            <w:tcW w:w="1635" w:type="dxa"/>
            <w:tcBorders>
              <w:top w:val="nil"/>
              <w:left w:val="nil"/>
              <w:bottom w:val="single" w:sz="4" w:space="0" w:color="auto"/>
              <w:right w:val="single" w:sz="4" w:space="0" w:color="auto"/>
            </w:tcBorders>
            <w:shd w:val="clear" w:color="auto" w:fill="auto"/>
            <w:noWrap/>
            <w:vAlign w:val="center"/>
            <w:hideMark/>
          </w:tcPr>
          <w:p w14:paraId="719902FE" w14:textId="77777777" w:rsidR="006100DD" w:rsidRPr="003A72EE" w:rsidRDefault="006100DD" w:rsidP="00940BAE">
            <w:pPr>
              <w:jc w:val="right"/>
              <w:rPr>
                <w:noProof/>
                <w:sz w:val="20"/>
                <w:szCs w:val="20"/>
                <w:lang w:val="es-ES" w:eastAsia="en-GB"/>
              </w:rPr>
            </w:pPr>
            <w:r w:rsidRPr="003A72EE">
              <w:rPr>
                <w:noProof/>
                <w:sz w:val="20"/>
                <w:szCs w:val="20"/>
                <w:lang w:val="es-ES" w:eastAsia="en-GB"/>
              </w:rPr>
              <w:t>95</w:t>
            </w:r>
          </w:p>
        </w:tc>
        <w:tc>
          <w:tcPr>
            <w:tcW w:w="1636" w:type="dxa"/>
            <w:tcBorders>
              <w:top w:val="nil"/>
              <w:left w:val="nil"/>
              <w:bottom w:val="single" w:sz="4" w:space="0" w:color="auto"/>
              <w:right w:val="single" w:sz="4" w:space="0" w:color="auto"/>
            </w:tcBorders>
            <w:shd w:val="clear" w:color="auto" w:fill="auto"/>
            <w:noWrap/>
            <w:vAlign w:val="center"/>
            <w:hideMark/>
          </w:tcPr>
          <w:p w14:paraId="1614B739"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33C5BD61"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43FF0A81"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2A42CFA8"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95</w:t>
            </w:r>
          </w:p>
        </w:tc>
      </w:tr>
      <w:tr w:rsidR="006100DD" w:rsidRPr="003A72EE" w14:paraId="67A75475"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0AD183BC" w14:textId="77777777" w:rsidR="006100DD" w:rsidRPr="003A72EE" w:rsidRDefault="006100DD" w:rsidP="00940BAE">
            <w:pPr>
              <w:rPr>
                <w:noProof/>
                <w:sz w:val="20"/>
                <w:szCs w:val="20"/>
                <w:lang w:val="es-ES" w:eastAsia="en-GB"/>
              </w:rPr>
            </w:pPr>
            <w:r w:rsidRPr="003A72EE">
              <w:rPr>
                <w:noProof/>
                <w:color w:val="000000"/>
                <w:sz w:val="20"/>
                <w:lang w:val="es-ES"/>
              </w:rPr>
              <w:t>Planificación y creación de capacidad</w:t>
            </w:r>
          </w:p>
        </w:tc>
        <w:tc>
          <w:tcPr>
            <w:tcW w:w="1635" w:type="dxa"/>
            <w:tcBorders>
              <w:top w:val="nil"/>
              <w:left w:val="nil"/>
              <w:bottom w:val="single" w:sz="4" w:space="0" w:color="auto"/>
              <w:right w:val="single" w:sz="4" w:space="0" w:color="auto"/>
            </w:tcBorders>
            <w:shd w:val="clear" w:color="auto" w:fill="auto"/>
            <w:noWrap/>
            <w:vAlign w:val="center"/>
            <w:hideMark/>
          </w:tcPr>
          <w:p w14:paraId="22B78C47"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768D567B" w14:textId="77777777" w:rsidR="006100DD" w:rsidRPr="003A72EE" w:rsidRDefault="006100DD" w:rsidP="00940BAE">
            <w:pPr>
              <w:jc w:val="right"/>
              <w:rPr>
                <w:noProof/>
                <w:sz w:val="20"/>
                <w:szCs w:val="20"/>
                <w:lang w:val="es-ES" w:eastAsia="en-GB"/>
              </w:rPr>
            </w:pPr>
            <w:r w:rsidRPr="003A72EE">
              <w:rPr>
                <w:noProof/>
                <w:sz w:val="20"/>
                <w:szCs w:val="20"/>
                <w:lang w:val="es-ES" w:eastAsia="en-GB"/>
              </w:rPr>
              <w:t>11</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273BB2F5" w14:textId="77777777" w:rsidR="006100DD" w:rsidRPr="003A72EE" w:rsidRDefault="006100DD" w:rsidP="00940BAE">
            <w:pPr>
              <w:jc w:val="right"/>
              <w:rPr>
                <w:noProof/>
                <w:sz w:val="20"/>
                <w:szCs w:val="20"/>
                <w:lang w:val="es-ES" w:eastAsia="en-GB"/>
              </w:rPr>
            </w:pPr>
            <w:r w:rsidRPr="003A72EE">
              <w:rPr>
                <w:noProof/>
                <w:sz w:val="20"/>
                <w:szCs w:val="20"/>
                <w:lang w:val="es-ES" w:eastAsia="en-GB"/>
              </w:rPr>
              <w:t>73</w:t>
            </w:r>
          </w:p>
        </w:tc>
        <w:tc>
          <w:tcPr>
            <w:tcW w:w="1636" w:type="dxa"/>
            <w:tcBorders>
              <w:top w:val="nil"/>
              <w:left w:val="nil"/>
              <w:bottom w:val="single" w:sz="4" w:space="0" w:color="auto"/>
              <w:right w:val="single" w:sz="4" w:space="0" w:color="auto"/>
            </w:tcBorders>
            <w:shd w:val="clear" w:color="auto" w:fill="auto"/>
            <w:noWrap/>
            <w:vAlign w:val="center"/>
            <w:hideMark/>
          </w:tcPr>
          <w:p w14:paraId="384D27A9"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02F76341"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84</w:t>
            </w:r>
          </w:p>
        </w:tc>
      </w:tr>
      <w:tr w:rsidR="006100DD" w:rsidRPr="003A72EE" w14:paraId="3EE212B8"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195FEDEA" w14:textId="77777777" w:rsidR="006100DD" w:rsidRPr="003A72EE" w:rsidRDefault="006100DD" w:rsidP="00940BAE">
            <w:pPr>
              <w:rPr>
                <w:noProof/>
                <w:sz w:val="20"/>
                <w:szCs w:val="20"/>
                <w:lang w:val="es-ES" w:eastAsia="en-GB"/>
              </w:rPr>
            </w:pPr>
            <w:r w:rsidRPr="003A72EE">
              <w:rPr>
                <w:noProof/>
                <w:color w:val="000000"/>
                <w:sz w:val="20"/>
                <w:lang w:val="es-ES"/>
              </w:rPr>
              <w:t>H. Servicios para el Comité Permanente</w:t>
            </w:r>
          </w:p>
        </w:tc>
        <w:tc>
          <w:tcPr>
            <w:tcW w:w="1635" w:type="dxa"/>
            <w:tcBorders>
              <w:top w:val="nil"/>
              <w:left w:val="nil"/>
              <w:bottom w:val="single" w:sz="4" w:space="0" w:color="auto"/>
              <w:right w:val="single" w:sz="4" w:space="0" w:color="auto"/>
            </w:tcBorders>
            <w:shd w:val="clear" w:color="auto" w:fill="E2EFD9" w:themeFill="accent6" w:themeFillTint="33"/>
            <w:noWrap/>
            <w:vAlign w:val="center"/>
            <w:hideMark/>
          </w:tcPr>
          <w:p w14:paraId="1036F996"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150</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28119F39"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47161C3B"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25</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3645EB0F" w14:textId="3FD1EEE0" w:rsidR="006100DD" w:rsidRPr="003A72EE" w:rsidRDefault="00C34E5B" w:rsidP="00940BAE">
            <w:pPr>
              <w:jc w:val="right"/>
              <w:rPr>
                <w:b/>
                <w:bCs/>
                <w:noProof/>
                <w:color w:val="000000"/>
                <w:sz w:val="20"/>
                <w:szCs w:val="20"/>
                <w:lang w:val="es-ES" w:eastAsia="en-GB"/>
              </w:rPr>
            </w:pPr>
            <w:r w:rsidRPr="003A72EE">
              <w:rPr>
                <w:b/>
                <w:bCs/>
                <w:noProof/>
                <w:color w:val="000000"/>
                <w:sz w:val="20"/>
                <w:szCs w:val="20"/>
                <w:lang w:val="es-ES" w:eastAsia="en-GB"/>
              </w:rPr>
              <w:t>10</w:t>
            </w:r>
          </w:p>
        </w:tc>
        <w:tc>
          <w:tcPr>
            <w:tcW w:w="1843" w:type="dxa"/>
            <w:tcBorders>
              <w:top w:val="nil"/>
              <w:left w:val="nil"/>
              <w:bottom w:val="single" w:sz="4" w:space="0" w:color="auto"/>
              <w:right w:val="single" w:sz="4" w:space="0" w:color="auto"/>
            </w:tcBorders>
            <w:shd w:val="clear" w:color="auto" w:fill="E2EFD9" w:themeFill="accent6" w:themeFillTint="33"/>
            <w:noWrap/>
            <w:vAlign w:val="center"/>
            <w:hideMark/>
          </w:tcPr>
          <w:p w14:paraId="3357804F" w14:textId="08A2F510"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1</w:t>
            </w:r>
            <w:r w:rsidR="00C34E5B" w:rsidRPr="003A72EE">
              <w:rPr>
                <w:b/>
                <w:bCs/>
                <w:noProof/>
                <w:color w:val="000000"/>
                <w:sz w:val="20"/>
                <w:szCs w:val="20"/>
                <w:lang w:val="es-ES" w:eastAsia="en-GB"/>
              </w:rPr>
              <w:t>8</w:t>
            </w:r>
            <w:r w:rsidRPr="003A72EE">
              <w:rPr>
                <w:b/>
                <w:bCs/>
                <w:noProof/>
                <w:color w:val="000000"/>
                <w:sz w:val="20"/>
                <w:szCs w:val="20"/>
                <w:lang w:val="es-ES" w:eastAsia="en-GB"/>
              </w:rPr>
              <w:t>5</w:t>
            </w:r>
          </w:p>
        </w:tc>
      </w:tr>
      <w:tr w:rsidR="006100DD" w:rsidRPr="003A72EE" w14:paraId="70A0F573"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01F4E348" w14:textId="77777777" w:rsidR="006100DD" w:rsidRPr="003A72EE" w:rsidRDefault="006100DD" w:rsidP="00940BAE">
            <w:pPr>
              <w:rPr>
                <w:noProof/>
                <w:sz w:val="20"/>
                <w:szCs w:val="20"/>
                <w:lang w:val="es-ES" w:eastAsia="en-GB"/>
              </w:rPr>
            </w:pPr>
            <w:r w:rsidRPr="003A72EE">
              <w:rPr>
                <w:noProof/>
                <w:color w:val="000000"/>
                <w:sz w:val="20"/>
                <w:szCs w:val="20"/>
                <w:lang w:val="es-ES"/>
              </w:rPr>
              <w:t>Apoyo a los delegados del Comité Permanente</w:t>
            </w:r>
          </w:p>
        </w:tc>
        <w:tc>
          <w:tcPr>
            <w:tcW w:w="1635" w:type="dxa"/>
            <w:tcBorders>
              <w:top w:val="nil"/>
              <w:left w:val="nil"/>
              <w:bottom w:val="single" w:sz="4" w:space="0" w:color="auto"/>
              <w:right w:val="single" w:sz="4" w:space="0" w:color="auto"/>
            </w:tcBorders>
            <w:shd w:val="clear" w:color="auto" w:fill="auto"/>
            <w:noWrap/>
            <w:vAlign w:val="center"/>
            <w:hideMark/>
          </w:tcPr>
          <w:p w14:paraId="2ABFEABE" w14:textId="77777777" w:rsidR="006100DD" w:rsidRPr="003A72EE" w:rsidRDefault="006100DD" w:rsidP="00940BAE">
            <w:pPr>
              <w:jc w:val="right"/>
              <w:rPr>
                <w:noProof/>
                <w:sz w:val="20"/>
                <w:szCs w:val="20"/>
                <w:lang w:val="es-ES" w:eastAsia="en-GB"/>
              </w:rPr>
            </w:pPr>
            <w:r w:rsidRPr="003A72EE">
              <w:rPr>
                <w:noProof/>
                <w:sz w:val="20"/>
                <w:szCs w:val="20"/>
                <w:lang w:val="es-ES" w:eastAsia="en-GB"/>
              </w:rPr>
              <w:t>45</w:t>
            </w:r>
          </w:p>
        </w:tc>
        <w:tc>
          <w:tcPr>
            <w:tcW w:w="1636" w:type="dxa"/>
            <w:tcBorders>
              <w:top w:val="nil"/>
              <w:left w:val="nil"/>
              <w:bottom w:val="single" w:sz="4" w:space="0" w:color="auto"/>
              <w:right w:val="single" w:sz="4" w:space="0" w:color="auto"/>
            </w:tcBorders>
            <w:shd w:val="clear" w:color="auto" w:fill="auto"/>
            <w:noWrap/>
            <w:vAlign w:val="center"/>
            <w:hideMark/>
          </w:tcPr>
          <w:p w14:paraId="1F9D4D99"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70B6B780"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2CAAB04C"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2B3A24C2"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45</w:t>
            </w:r>
          </w:p>
        </w:tc>
      </w:tr>
      <w:tr w:rsidR="006100DD" w:rsidRPr="003A72EE" w14:paraId="2FB5FC68" w14:textId="77777777" w:rsidTr="00126728">
        <w:trPr>
          <w:trHeight w:val="270"/>
        </w:trPr>
        <w:tc>
          <w:tcPr>
            <w:tcW w:w="4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527D9" w14:textId="77777777" w:rsidR="006100DD" w:rsidRPr="003A72EE" w:rsidRDefault="006100DD" w:rsidP="00940BAE">
            <w:pPr>
              <w:rPr>
                <w:noProof/>
                <w:sz w:val="20"/>
                <w:szCs w:val="20"/>
                <w:lang w:val="es-ES" w:eastAsia="en-GB"/>
              </w:rPr>
            </w:pPr>
            <w:r w:rsidRPr="003A72EE">
              <w:rPr>
                <w:noProof/>
                <w:color w:val="000000"/>
                <w:sz w:val="20"/>
                <w:szCs w:val="20"/>
                <w:lang w:val="es-ES"/>
              </w:rPr>
              <w:lastRenderedPageBreak/>
              <w:t>Reuniones del Comité Permanente</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14:paraId="7D069F66" w14:textId="77777777" w:rsidR="006100DD" w:rsidRPr="003A72EE" w:rsidRDefault="006100DD" w:rsidP="00940BAE">
            <w:pPr>
              <w:jc w:val="right"/>
              <w:rPr>
                <w:noProof/>
                <w:sz w:val="20"/>
                <w:szCs w:val="20"/>
                <w:lang w:val="es-ES" w:eastAsia="en-GB"/>
              </w:rPr>
            </w:pPr>
            <w:r w:rsidRPr="003A72EE">
              <w:rPr>
                <w:noProof/>
                <w:sz w:val="20"/>
                <w:szCs w:val="20"/>
                <w:lang w:val="es-ES" w:eastAsia="en-GB"/>
              </w:rPr>
              <w:t>10</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14:paraId="021DF7A8"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29536"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9</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14:paraId="281326C4"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1C2F823"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19</w:t>
            </w:r>
          </w:p>
        </w:tc>
      </w:tr>
      <w:tr w:rsidR="006100DD" w:rsidRPr="003A72EE" w14:paraId="452E650F"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73A0E345" w14:textId="77777777" w:rsidR="006100DD" w:rsidRPr="003A72EE" w:rsidRDefault="006100DD" w:rsidP="00940BAE">
            <w:pPr>
              <w:rPr>
                <w:noProof/>
                <w:sz w:val="20"/>
                <w:szCs w:val="20"/>
                <w:lang w:val="es-ES" w:eastAsia="en-GB"/>
              </w:rPr>
            </w:pPr>
            <w:r w:rsidRPr="003A72EE">
              <w:rPr>
                <w:noProof/>
                <w:color w:val="000000"/>
                <w:sz w:val="20"/>
                <w:lang w:val="es-ES"/>
              </w:rPr>
              <w:t>Traducción para el CP</w:t>
            </w:r>
          </w:p>
        </w:tc>
        <w:tc>
          <w:tcPr>
            <w:tcW w:w="1635" w:type="dxa"/>
            <w:tcBorders>
              <w:top w:val="nil"/>
              <w:left w:val="nil"/>
              <w:bottom w:val="single" w:sz="4" w:space="0" w:color="auto"/>
              <w:right w:val="single" w:sz="4" w:space="0" w:color="auto"/>
            </w:tcBorders>
            <w:shd w:val="clear" w:color="auto" w:fill="auto"/>
            <w:noWrap/>
            <w:vAlign w:val="center"/>
            <w:hideMark/>
          </w:tcPr>
          <w:p w14:paraId="7E3BB577" w14:textId="77777777" w:rsidR="006100DD" w:rsidRPr="003A72EE" w:rsidRDefault="006100DD" w:rsidP="00940BAE">
            <w:pPr>
              <w:jc w:val="right"/>
              <w:rPr>
                <w:noProof/>
                <w:sz w:val="20"/>
                <w:szCs w:val="20"/>
                <w:lang w:val="es-ES" w:eastAsia="en-GB"/>
              </w:rPr>
            </w:pPr>
            <w:r w:rsidRPr="003A72EE">
              <w:rPr>
                <w:noProof/>
                <w:sz w:val="20"/>
                <w:szCs w:val="20"/>
                <w:lang w:val="es-ES" w:eastAsia="en-GB"/>
              </w:rPr>
              <w:t>60</w:t>
            </w:r>
          </w:p>
        </w:tc>
        <w:tc>
          <w:tcPr>
            <w:tcW w:w="1636" w:type="dxa"/>
            <w:tcBorders>
              <w:top w:val="nil"/>
              <w:left w:val="nil"/>
              <w:bottom w:val="single" w:sz="4" w:space="0" w:color="auto"/>
              <w:right w:val="single" w:sz="4" w:space="0" w:color="auto"/>
            </w:tcBorders>
            <w:shd w:val="clear" w:color="auto" w:fill="auto"/>
            <w:noWrap/>
            <w:vAlign w:val="center"/>
            <w:hideMark/>
          </w:tcPr>
          <w:p w14:paraId="53AD898B"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43828851"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01B457B5"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7E956AC8"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60</w:t>
            </w:r>
          </w:p>
        </w:tc>
      </w:tr>
      <w:tr w:rsidR="006100DD" w:rsidRPr="003A72EE" w14:paraId="4CF7AB92"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1FE7B84F" w14:textId="77777777" w:rsidR="006100DD" w:rsidRPr="003A72EE" w:rsidRDefault="006100DD" w:rsidP="00940BAE">
            <w:pPr>
              <w:rPr>
                <w:noProof/>
                <w:sz w:val="20"/>
                <w:szCs w:val="20"/>
                <w:lang w:val="es-ES" w:eastAsia="en-GB"/>
              </w:rPr>
            </w:pPr>
            <w:r w:rsidRPr="003A72EE">
              <w:rPr>
                <w:noProof/>
                <w:color w:val="000000"/>
                <w:sz w:val="20"/>
                <w:szCs w:val="20"/>
                <w:lang w:val="es-ES"/>
              </w:rPr>
              <w:t>Interpretación simultánea en las reuniones del CP</w:t>
            </w:r>
          </w:p>
        </w:tc>
        <w:tc>
          <w:tcPr>
            <w:tcW w:w="1635" w:type="dxa"/>
            <w:tcBorders>
              <w:top w:val="nil"/>
              <w:left w:val="nil"/>
              <w:bottom w:val="single" w:sz="4" w:space="0" w:color="auto"/>
              <w:right w:val="single" w:sz="4" w:space="0" w:color="auto"/>
            </w:tcBorders>
            <w:shd w:val="clear" w:color="auto" w:fill="auto"/>
            <w:noWrap/>
            <w:vAlign w:val="center"/>
            <w:hideMark/>
          </w:tcPr>
          <w:p w14:paraId="17966998" w14:textId="77777777" w:rsidR="006100DD" w:rsidRPr="003A72EE" w:rsidRDefault="006100DD" w:rsidP="00940BAE">
            <w:pPr>
              <w:jc w:val="right"/>
              <w:rPr>
                <w:noProof/>
                <w:sz w:val="20"/>
                <w:szCs w:val="20"/>
                <w:lang w:val="es-ES" w:eastAsia="en-GB"/>
              </w:rPr>
            </w:pPr>
            <w:r w:rsidRPr="003A72EE">
              <w:rPr>
                <w:noProof/>
                <w:sz w:val="20"/>
                <w:szCs w:val="20"/>
                <w:lang w:val="es-ES" w:eastAsia="en-GB"/>
              </w:rPr>
              <w:t>35</w:t>
            </w:r>
          </w:p>
        </w:tc>
        <w:tc>
          <w:tcPr>
            <w:tcW w:w="1636" w:type="dxa"/>
            <w:tcBorders>
              <w:top w:val="nil"/>
              <w:left w:val="nil"/>
              <w:bottom w:val="single" w:sz="4" w:space="0" w:color="auto"/>
              <w:right w:val="single" w:sz="4" w:space="0" w:color="auto"/>
            </w:tcBorders>
            <w:shd w:val="clear" w:color="auto" w:fill="auto"/>
            <w:noWrap/>
            <w:vAlign w:val="center"/>
            <w:hideMark/>
          </w:tcPr>
          <w:p w14:paraId="005DBD38"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2730CE62"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166A528F"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07EDE85B"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35</w:t>
            </w:r>
          </w:p>
        </w:tc>
      </w:tr>
      <w:tr w:rsidR="006100DD" w:rsidRPr="003A72EE" w14:paraId="54EC9EAB"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547DE8F0" w14:textId="77777777" w:rsidR="006100DD" w:rsidRPr="003A72EE" w:rsidRDefault="006100DD" w:rsidP="00940BAE">
            <w:pPr>
              <w:rPr>
                <w:noProof/>
                <w:sz w:val="20"/>
                <w:szCs w:val="20"/>
                <w:lang w:val="es-ES" w:eastAsia="en-GB"/>
              </w:rPr>
            </w:pPr>
            <w:r w:rsidRPr="003A72EE">
              <w:rPr>
                <w:noProof/>
                <w:color w:val="000000"/>
                <w:sz w:val="20"/>
                <w:szCs w:val="20"/>
                <w:lang w:val="es-ES"/>
              </w:rPr>
              <w:t>Grupo de trabajo sobre la eficacia</w:t>
            </w:r>
          </w:p>
        </w:tc>
        <w:tc>
          <w:tcPr>
            <w:tcW w:w="1635" w:type="dxa"/>
            <w:tcBorders>
              <w:top w:val="nil"/>
              <w:left w:val="nil"/>
              <w:bottom w:val="single" w:sz="4" w:space="0" w:color="auto"/>
              <w:right w:val="single" w:sz="4" w:space="0" w:color="auto"/>
            </w:tcBorders>
            <w:shd w:val="clear" w:color="auto" w:fill="auto"/>
            <w:noWrap/>
            <w:vAlign w:val="center"/>
            <w:hideMark/>
          </w:tcPr>
          <w:p w14:paraId="7D5E246A"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1FA7DF8F"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06383DE8"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14</w:t>
            </w:r>
          </w:p>
        </w:tc>
        <w:tc>
          <w:tcPr>
            <w:tcW w:w="1636" w:type="dxa"/>
            <w:tcBorders>
              <w:top w:val="nil"/>
              <w:left w:val="nil"/>
              <w:bottom w:val="single" w:sz="4" w:space="0" w:color="auto"/>
              <w:right w:val="single" w:sz="4" w:space="0" w:color="auto"/>
            </w:tcBorders>
            <w:shd w:val="clear" w:color="auto" w:fill="auto"/>
            <w:noWrap/>
            <w:vAlign w:val="center"/>
            <w:hideMark/>
          </w:tcPr>
          <w:p w14:paraId="36AB8F4D"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6EA54247"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14</w:t>
            </w:r>
          </w:p>
        </w:tc>
      </w:tr>
      <w:tr w:rsidR="006100DD" w:rsidRPr="003A72EE" w14:paraId="537438E9"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148FF026" w14:textId="77777777" w:rsidR="006100DD" w:rsidRPr="003A72EE" w:rsidRDefault="006100DD" w:rsidP="00940BAE">
            <w:pPr>
              <w:rPr>
                <w:noProof/>
                <w:sz w:val="20"/>
                <w:szCs w:val="20"/>
                <w:lang w:val="es-ES" w:eastAsia="en-GB"/>
              </w:rPr>
            </w:pPr>
            <w:r w:rsidRPr="003A72EE">
              <w:rPr>
                <w:noProof/>
                <w:color w:val="000000"/>
                <w:sz w:val="20"/>
                <w:szCs w:val="20"/>
                <w:lang w:val="es-ES"/>
              </w:rPr>
              <w:t xml:space="preserve">Examen de las resoluciones </w:t>
            </w:r>
            <w:r w:rsidRPr="003A72EE">
              <w:rPr>
                <w:noProof/>
                <w:color w:val="000000"/>
                <w:sz w:val="20"/>
                <w:lang w:val="es-ES"/>
              </w:rPr>
              <w:t>(Res. XIII.4)</w:t>
            </w:r>
          </w:p>
        </w:tc>
        <w:tc>
          <w:tcPr>
            <w:tcW w:w="1635" w:type="dxa"/>
            <w:tcBorders>
              <w:top w:val="nil"/>
              <w:left w:val="nil"/>
              <w:bottom w:val="single" w:sz="4" w:space="0" w:color="auto"/>
              <w:right w:val="single" w:sz="4" w:space="0" w:color="auto"/>
            </w:tcBorders>
            <w:shd w:val="clear" w:color="auto" w:fill="auto"/>
            <w:noWrap/>
            <w:vAlign w:val="center"/>
            <w:hideMark/>
          </w:tcPr>
          <w:p w14:paraId="70FC961A"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25175B68"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0C1A7748" w14:textId="77777777" w:rsidR="006100DD" w:rsidRPr="003A72EE" w:rsidRDefault="006100DD" w:rsidP="00940BAE">
            <w:pPr>
              <w:jc w:val="right"/>
              <w:rPr>
                <w:noProof/>
                <w:sz w:val="20"/>
                <w:szCs w:val="20"/>
                <w:lang w:val="es-ES" w:eastAsia="en-GB"/>
              </w:rPr>
            </w:pPr>
            <w:r w:rsidRPr="003A72EE">
              <w:rPr>
                <w:noProof/>
                <w:sz w:val="20"/>
                <w:szCs w:val="20"/>
                <w:lang w:val="es-ES" w:eastAsia="en-GB"/>
              </w:rPr>
              <w:t>2</w:t>
            </w:r>
          </w:p>
        </w:tc>
        <w:tc>
          <w:tcPr>
            <w:tcW w:w="1636" w:type="dxa"/>
            <w:tcBorders>
              <w:top w:val="nil"/>
              <w:left w:val="nil"/>
              <w:bottom w:val="single" w:sz="4" w:space="0" w:color="auto"/>
              <w:right w:val="single" w:sz="4" w:space="0" w:color="auto"/>
            </w:tcBorders>
            <w:shd w:val="clear" w:color="auto" w:fill="auto"/>
            <w:noWrap/>
            <w:vAlign w:val="center"/>
            <w:hideMark/>
          </w:tcPr>
          <w:p w14:paraId="6E5EB81B" w14:textId="0573AE5C" w:rsidR="006100DD" w:rsidRPr="003A72EE" w:rsidRDefault="006100DD" w:rsidP="00E77FF3">
            <w:pPr>
              <w:jc w:val="right"/>
              <w:rPr>
                <w:noProof/>
                <w:color w:val="FF0000"/>
                <w:sz w:val="20"/>
                <w:szCs w:val="20"/>
                <w:lang w:val="es-ES" w:eastAsia="en-GB"/>
              </w:rPr>
            </w:pPr>
            <w:r w:rsidRPr="003A72EE">
              <w:rPr>
                <w:noProof/>
                <w:color w:val="FF0000"/>
                <w:sz w:val="20"/>
                <w:szCs w:val="20"/>
                <w:lang w:val="es-ES" w:eastAsia="en-GB"/>
              </w:rPr>
              <w:t> </w:t>
            </w:r>
            <w:r w:rsidR="00E77FF3" w:rsidRPr="003A72EE">
              <w:rPr>
                <w:noProof/>
                <w:color w:val="FF0000"/>
                <w:sz w:val="20"/>
                <w:szCs w:val="20"/>
                <w:lang w:val="es-ES" w:eastAsia="en-GB"/>
              </w:rPr>
              <w:t>10***</w:t>
            </w:r>
          </w:p>
        </w:tc>
        <w:tc>
          <w:tcPr>
            <w:tcW w:w="1843" w:type="dxa"/>
            <w:tcBorders>
              <w:top w:val="nil"/>
              <w:left w:val="nil"/>
              <w:bottom w:val="single" w:sz="4" w:space="0" w:color="auto"/>
              <w:right w:val="single" w:sz="4" w:space="0" w:color="auto"/>
            </w:tcBorders>
            <w:shd w:val="clear" w:color="auto" w:fill="auto"/>
            <w:noWrap/>
            <w:vAlign w:val="center"/>
            <w:hideMark/>
          </w:tcPr>
          <w:p w14:paraId="42C9D16E" w14:textId="41F4BDFD" w:rsidR="006100DD" w:rsidRPr="003A72EE" w:rsidRDefault="00E77FF3" w:rsidP="00940BAE">
            <w:pPr>
              <w:jc w:val="right"/>
              <w:rPr>
                <w:noProof/>
                <w:color w:val="000000"/>
                <w:sz w:val="20"/>
                <w:szCs w:val="20"/>
                <w:lang w:val="es-ES" w:eastAsia="en-GB"/>
              </w:rPr>
            </w:pPr>
            <w:r w:rsidRPr="003A72EE">
              <w:rPr>
                <w:noProof/>
                <w:color w:val="000000"/>
                <w:sz w:val="20"/>
                <w:szCs w:val="20"/>
                <w:lang w:val="es-ES" w:eastAsia="en-GB"/>
              </w:rPr>
              <w:t>1</w:t>
            </w:r>
            <w:r w:rsidR="006100DD" w:rsidRPr="003A72EE">
              <w:rPr>
                <w:noProof/>
                <w:color w:val="000000"/>
                <w:sz w:val="20"/>
                <w:szCs w:val="20"/>
                <w:lang w:val="es-ES" w:eastAsia="en-GB"/>
              </w:rPr>
              <w:t>2</w:t>
            </w:r>
          </w:p>
        </w:tc>
      </w:tr>
      <w:tr w:rsidR="006100DD" w:rsidRPr="003A72EE" w14:paraId="1A81C160" w14:textId="77777777" w:rsidTr="00126728">
        <w:trPr>
          <w:trHeight w:val="255"/>
        </w:trPr>
        <w:tc>
          <w:tcPr>
            <w:tcW w:w="4792"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2CB81538" w14:textId="77777777" w:rsidR="006100DD" w:rsidRPr="003A72EE" w:rsidRDefault="006100DD" w:rsidP="00940BAE">
            <w:pPr>
              <w:rPr>
                <w:noProof/>
                <w:sz w:val="20"/>
                <w:szCs w:val="20"/>
                <w:lang w:val="es-ES" w:eastAsia="en-GB"/>
              </w:rPr>
            </w:pPr>
            <w:r w:rsidRPr="003A72EE">
              <w:rPr>
                <w:noProof/>
                <w:color w:val="000000"/>
                <w:sz w:val="20"/>
                <w:szCs w:val="20"/>
                <w:lang w:val="es-ES" w:eastAsia="en-GB"/>
              </w:rPr>
              <w:t xml:space="preserve">J.  </w:t>
            </w:r>
            <w:r w:rsidRPr="003A72EE">
              <w:rPr>
                <w:noProof/>
                <w:color w:val="000000"/>
                <w:sz w:val="20"/>
                <w:szCs w:val="20"/>
                <w:lang w:val="es-ES"/>
              </w:rPr>
              <w:t>Gastos por servicios administrativos de la UICN (máximo)</w:t>
            </w:r>
          </w:p>
        </w:tc>
        <w:tc>
          <w:tcPr>
            <w:tcW w:w="1635" w:type="dxa"/>
            <w:tcBorders>
              <w:top w:val="nil"/>
              <w:left w:val="nil"/>
              <w:bottom w:val="single" w:sz="4" w:space="0" w:color="auto"/>
              <w:right w:val="single" w:sz="4" w:space="0" w:color="auto"/>
            </w:tcBorders>
            <w:shd w:val="clear" w:color="auto" w:fill="E2EFD9" w:themeFill="accent6" w:themeFillTint="33"/>
            <w:noWrap/>
            <w:vAlign w:val="center"/>
            <w:hideMark/>
          </w:tcPr>
          <w:p w14:paraId="2D12BF44"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541</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434056D7"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1650465B"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20A7D924"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843" w:type="dxa"/>
            <w:tcBorders>
              <w:top w:val="nil"/>
              <w:left w:val="nil"/>
              <w:bottom w:val="single" w:sz="4" w:space="0" w:color="auto"/>
              <w:right w:val="single" w:sz="4" w:space="0" w:color="auto"/>
            </w:tcBorders>
            <w:shd w:val="clear" w:color="auto" w:fill="E2EFD9" w:themeFill="accent6" w:themeFillTint="33"/>
            <w:noWrap/>
            <w:vAlign w:val="center"/>
            <w:hideMark/>
          </w:tcPr>
          <w:p w14:paraId="624209E0"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541</w:t>
            </w:r>
          </w:p>
        </w:tc>
      </w:tr>
      <w:tr w:rsidR="006100DD" w:rsidRPr="003A72EE" w14:paraId="0548CCD5"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7EE44208" w14:textId="77777777" w:rsidR="006100DD" w:rsidRPr="003A72EE" w:rsidRDefault="006100DD" w:rsidP="00940BAE">
            <w:pPr>
              <w:rPr>
                <w:noProof/>
                <w:sz w:val="20"/>
                <w:szCs w:val="20"/>
                <w:lang w:val="es-ES" w:eastAsia="en-GB"/>
              </w:rPr>
            </w:pPr>
            <w:r w:rsidRPr="003A72EE">
              <w:rPr>
                <w:noProof/>
                <w:color w:val="000000"/>
                <w:sz w:val="20"/>
                <w:szCs w:val="20"/>
                <w:lang w:val="es-ES"/>
              </w:rPr>
              <w:t>Administración, RR.HH., finanzas y servicios informáticos</w:t>
            </w:r>
          </w:p>
        </w:tc>
        <w:tc>
          <w:tcPr>
            <w:tcW w:w="1635" w:type="dxa"/>
            <w:tcBorders>
              <w:top w:val="nil"/>
              <w:left w:val="nil"/>
              <w:bottom w:val="single" w:sz="4" w:space="0" w:color="auto"/>
              <w:right w:val="single" w:sz="4" w:space="0" w:color="auto"/>
            </w:tcBorders>
            <w:shd w:val="clear" w:color="auto" w:fill="auto"/>
            <w:noWrap/>
            <w:vAlign w:val="center"/>
            <w:hideMark/>
          </w:tcPr>
          <w:p w14:paraId="15C63C06" w14:textId="77777777" w:rsidR="006100DD" w:rsidRPr="003A72EE" w:rsidRDefault="006100DD" w:rsidP="00940BAE">
            <w:pPr>
              <w:jc w:val="right"/>
              <w:rPr>
                <w:noProof/>
                <w:sz w:val="20"/>
                <w:szCs w:val="20"/>
                <w:lang w:val="es-ES" w:eastAsia="en-GB"/>
              </w:rPr>
            </w:pPr>
            <w:r w:rsidRPr="003A72EE">
              <w:rPr>
                <w:noProof/>
                <w:sz w:val="20"/>
                <w:szCs w:val="20"/>
                <w:lang w:val="es-ES" w:eastAsia="en-GB"/>
              </w:rPr>
              <w:t>541</w:t>
            </w:r>
          </w:p>
        </w:tc>
        <w:tc>
          <w:tcPr>
            <w:tcW w:w="1636" w:type="dxa"/>
            <w:tcBorders>
              <w:top w:val="nil"/>
              <w:left w:val="nil"/>
              <w:bottom w:val="single" w:sz="4" w:space="0" w:color="auto"/>
              <w:right w:val="single" w:sz="4" w:space="0" w:color="auto"/>
            </w:tcBorders>
            <w:shd w:val="clear" w:color="auto" w:fill="auto"/>
            <w:noWrap/>
            <w:vAlign w:val="center"/>
            <w:hideMark/>
          </w:tcPr>
          <w:p w14:paraId="70F96341"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2A61B3D8"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013D296F"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226B3123"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541</w:t>
            </w:r>
          </w:p>
        </w:tc>
      </w:tr>
      <w:tr w:rsidR="006100DD" w:rsidRPr="003A72EE" w14:paraId="5ACE8ED3"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4E6C070" w14:textId="77777777" w:rsidR="006100DD" w:rsidRPr="003A72EE" w:rsidRDefault="006100DD" w:rsidP="00940BAE">
            <w:pPr>
              <w:rPr>
                <w:noProof/>
                <w:sz w:val="20"/>
                <w:szCs w:val="20"/>
                <w:lang w:val="es-ES" w:eastAsia="en-GB"/>
              </w:rPr>
            </w:pPr>
            <w:r w:rsidRPr="003A72EE">
              <w:rPr>
                <w:noProof/>
                <w:color w:val="000000"/>
                <w:sz w:val="20"/>
                <w:szCs w:val="20"/>
                <w:lang w:val="es-ES" w:eastAsia="en-GB"/>
              </w:rPr>
              <w:t>K.  Varios – Fondo de reserva</w:t>
            </w:r>
          </w:p>
        </w:tc>
        <w:tc>
          <w:tcPr>
            <w:tcW w:w="1635" w:type="dxa"/>
            <w:tcBorders>
              <w:top w:val="nil"/>
              <w:left w:val="nil"/>
              <w:bottom w:val="single" w:sz="4" w:space="0" w:color="auto"/>
              <w:right w:val="single" w:sz="4" w:space="0" w:color="auto"/>
            </w:tcBorders>
            <w:shd w:val="clear" w:color="auto" w:fill="E2EFD9" w:themeFill="accent6" w:themeFillTint="33"/>
            <w:noWrap/>
            <w:vAlign w:val="center"/>
            <w:hideMark/>
          </w:tcPr>
          <w:p w14:paraId="33715B99"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109</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1ED3C2B8" w14:textId="77777777" w:rsidR="006100DD" w:rsidRPr="003A72EE" w:rsidRDefault="006100DD" w:rsidP="00940BAE">
            <w:pPr>
              <w:jc w:val="right"/>
              <w:rPr>
                <w:b/>
                <w:bCs/>
                <w:noProof/>
                <w:sz w:val="20"/>
                <w:szCs w:val="20"/>
                <w:lang w:val="es-ES" w:eastAsia="en-GB"/>
              </w:rPr>
            </w:pPr>
            <w:r w:rsidRPr="003A72EE">
              <w:rPr>
                <w:b/>
                <w:bCs/>
                <w:noProof/>
                <w:sz w:val="20"/>
                <w:szCs w:val="20"/>
                <w:lang w:val="es-ES" w:eastAsia="en-GB"/>
              </w:rPr>
              <w:t>120</w:t>
            </w:r>
          </w:p>
        </w:tc>
        <w:tc>
          <w:tcPr>
            <w:tcW w:w="163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3CE1C0EB"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62</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3BB2DA6D" w14:textId="5D74207D" w:rsidR="006100DD" w:rsidRPr="003A72EE" w:rsidRDefault="0092628D" w:rsidP="00940BAE">
            <w:pPr>
              <w:jc w:val="right"/>
              <w:rPr>
                <w:b/>
                <w:bCs/>
                <w:noProof/>
                <w:color w:val="000000"/>
                <w:sz w:val="20"/>
                <w:szCs w:val="20"/>
                <w:lang w:val="es-ES" w:eastAsia="en-GB"/>
              </w:rPr>
            </w:pPr>
            <w:r w:rsidRPr="003A72EE">
              <w:rPr>
                <w:b/>
                <w:bCs/>
                <w:noProof/>
                <w:color w:val="000000"/>
                <w:sz w:val="20"/>
                <w:szCs w:val="20"/>
                <w:lang w:val="es-ES" w:eastAsia="en-GB"/>
              </w:rPr>
              <w:t>0</w:t>
            </w:r>
          </w:p>
        </w:tc>
        <w:tc>
          <w:tcPr>
            <w:tcW w:w="1843" w:type="dxa"/>
            <w:tcBorders>
              <w:top w:val="nil"/>
              <w:left w:val="nil"/>
              <w:bottom w:val="single" w:sz="4" w:space="0" w:color="auto"/>
              <w:right w:val="single" w:sz="4" w:space="0" w:color="auto"/>
            </w:tcBorders>
            <w:shd w:val="clear" w:color="auto" w:fill="E2EFD9" w:themeFill="accent6" w:themeFillTint="33"/>
            <w:noWrap/>
            <w:vAlign w:val="center"/>
            <w:hideMark/>
          </w:tcPr>
          <w:p w14:paraId="57726661" w14:textId="6054F3D5" w:rsidR="006100DD" w:rsidRPr="003A72EE" w:rsidRDefault="00C34E5B" w:rsidP="00940BAE">
            <w:pPr>
              <w:jc w:val="right"/>
              <w:rPr>
                <w:b/>
                <w:bCs/>
                <w:noProof/>
                <w:color w:val="000000"/>
                <w:sz w:val="20"/>
                <w:szCs w:val="20"/>
                <w:lang w:val="es-ES" w:eastAsia="en-GB"/>
              </w:rPr>
            </w:pPr>
            <w:r w:rsidRPr="003A72EE">
              <w:rPr>
                <w:b/>
                <w:bCs/>
                <w:noProof/>
                <w:color w:val="000000"/>
                <w:sz w:val="20"/>
                <w:szCs w:val="20"/>
                <w:lang w:val="es-ES" w:eastAsia="en-GB"/>
              </w:rPr>
              <w:t>291</w:t>
            </w:r>
          </w:p>
        </w:tc>
      </w:tr>
      <w:tr w:rsidR="006100DD" w:rsidRPr="003A72EE" w14:paraId="2713CA85"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414A0A98" w14:textId="77777777" w:rsidR="006100DD" w:rsidRPr="003A72EE" w:rsidRDefault="006100DD" w:rsidP="00940BAE">
            <w:pPr>
              <w:rPr>
                <w:noProof/>
                <w:sz w:val="20"/>
                <w:szCs w:val="20"/>
                <w:lang w:val="es-ES" w:eastAsia="en-GB"/>
              </w:rPr>
            </w:pPr>
            <w:r w:rsidRPr="003A72EE">
              <w:rPr>
                <w:noProof/>
                <w:color w:val="000000"/>
                <w:sz w:val="20"/>
                <w:szCs w:val="20"/>
                <w:lang w:val="es-ES" w:eastAsia="en-GB"/>
              </w:rPr>
              <w:t>Provisiones correspondientes al personal</w:t>
            </w:r>
          </w:p>
        </w:tc>
        <w:tc>
          <w:tcPr>
            <w:tcW w:w="1635" w:type="dxa"/>
            <w:tcBorders>
              <w:top w:val="nil"/>
              <w:left w:val="nil"/>
              <w:bottom w:val="single" w:sz="4" w:space="0" w:color="auto"/>
              <w:right w:val="single" w:sz="4" w:space="0" w:color="auto"/>
            </w:tcBorders>
            <w:shd w:val="clear" w:color="auto" w:fill="auto"/>
            <w:noWrap/>
            <w:vAlign w:val="center"/>
            <w:hideMark/>
          </w:tcPr>
          <w:p w14:paraId="5085502B" w14:textId="77777777" w:rsidR="006100DD" w:rsidRPr="003A72EE" w:rsidRDefault="006100DD" w:rsidP="00940BAE">
            <w:pPr>
              <w:jc w:val="right"/>
              <w:rPr>
                <w:noProof/>
                <w:sz w:val="20"/>
                <w:szCs w:val="20"/>
                <w:lang w:val="es-ES" w:eastAsia="en-GB"/>
              </w:rPr>
            </w:pPr>
            <w:r w:rsidRPr="003A72EE">
              <w:rPr>
                <w:noProof/>
                <w:sz w:val="20"/>
                <w:szCs w:val="20"/>
                <w:lang w:val="es-ES" w:eastAsia="en-GB"/>
              </w:rPr>
              <w:t>20</w:t>
            </w:r>
          </w:p>
        </w:tc>
        <w:tc>
          <w:tcPr>
            <w:tcW w:w="1636" w:type="dxa"/>
            <w:tcBorders>
              <w:top w:val="nil"/>
              <w:left w:val="nil"/>
              <w:bottom w:val="single" w:sz="4" w:space="0" w:color="auto"/>
              <w:right w:val="single" w:sz="4" w:space="0" w:color="auto"/>
            </w:tcBorders>
            <w:shd w:val="clear" w:color="auto" w:fill="auto"/>
            <w:noWrap/>
            <w:vAlign w:val="center"/>
            <w:hideMark/>
          </w:tcPr>
          <w:p w14:paraId="2561717E"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264BA985"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3FB31661"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546E5084"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20</w:t>
            </w:r>
          </w:p>
        </w:tc>
      </w:tr>
      <w:tr w:rsidR="006100DD" w:rsidRPr="003A72EE" w14:paraId="4D2050AF" w14:textId="77777777" w:rsidTr="00126728">
        <w:trPr>
          <w:trHeight w:val="270"/>
        </w:trPr>
        <w:tc>
          <w:tcPr>
            <w:tcW w:w="4792" w:type="dxa"/>
            <w:tcBorders>
              <w:top w:val="nil"/>
              <w:left w:val="single" w:sz="4" w:space="0" w:color="auto"/>
              <w:bottom w:val="single" w:sz="4" w:space="0" w:color="auto"/>
              <w:right w:val="nil"/>
            </w:tcBorders>
            <w:shd w:val="clear" w:color="auto" w:fill="auto"/>
            <w:noWrap/>
            <w:vAlign w:val="center"/>
            <w:hideMark/>
          </w:tcPr>
          <w:p w14:paraId="3D4D1FBE" w14:textId="65296016" w:rsidR="006100DD" w:rsidRPr="003A72EE" w:rsidRDefault="006100DD" w:rsidP="00940BAE">
            <w:pPr>
              <w:rPr>
                <w:noProof/>
                <w:sz w:val="20"/>
                <w:szCs w:val="20"/>
                <w:lang w:val="es-ES" w:eastAsia="en-GB"/>
              </w:rPr>
            </w:pPr>
            <w:r w:rsidRPr="003A72EE">
              <w:rPr>
                <w:noProof/>
                <w:color w:val="000000"/>
                <w:sz w:val="20"/>
                <w:szCs w:val="20"/>
                <w:lang w:val="es-ES" w:eastAsia="en-GB"/>
              </w:rPr>
              <w:t>Provisiones correspondientes a las contribuciones pendientes</w:t>
            </w:r>
            <w:r w:rsidR="00E77FF3" w:rsidRPr="003A72EE">
              <w:rPr>
                <w:noProof/>
                <w:color w:val="000000"/>
                <w:sz w:val="20"/>
                <w:szCs w:val="20"/>
                <w:lang w:val="es-ES" w:eastAsia="en-GB"/>
              </w:rPr>
              <w:t>*</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52C7842E" w14:textId="77777777" w:rsidR="006100DD" w:rsidRPr="003A72EE" w:rsidRDefault="006100DD" w:rsidP="00940BAE">
            <w:pPr>
              <w:jc w:val="right"/>
              <w:rPr>
                <w:noProof/>
                <w:sz w:val="20"/>
                <w:szCs w:val="20"/>
                <w:lang w:val="es-ES" w:eastAsia="en-GB"/>
              </w:rPr>
            </w:pPr>
            <w:r w:rsidRPr="003A72EE">
              <w:rPr>
                <w:noProof/>
                <w:sz w:val="20"/>
                <w:szCs w:val="20"/>
                <w:lang w:val="es-ES" w:eastAsia="en-GB"/>
              </w:rPr>
              <w:t>30</w:t>
            </w:r>
          </w:p>
        </w:tc>
        <w:tc>
          <w:tcPr>
            <w:tcW w:w="1636" w:type="dxa"/>
            <w:tcBorders>
              <w:top w:val="nil"/>
              <w:left w:val="nil"/>
              <w:bottom w:val="single" w:sz="4" w:space="0" w:color="auto"/>
              <w:right w:val="single" w:sz="4" w:space="0" w:color="auto"/>
            </w:tcBorders>
            <w:shd w:val="clear" w:color="auto" w:fill="auto"/>
            <w:noWrap/>
            <w:vAlign w:val="center"/>
            <w:hideMark/>
          </w:tcPr>
          <w:p w14:paraId="4B26AF7A" w14:textId="77777777" w:rsidR="006100DD" w:rsidRPr="003A72EE" w:rsidRDefault="006100DD" w:rsidP="00940BAE">
            <w:pPr>
              <w:jc w:val="right"/>
              <w:rPr>
                <w:noProof/>
                <w:sz w:val="20"/>
                <w:szCs w:val="20"/>
                <w:lang w:val="es-ES" w:eastAsia="en-GB"/>
              </w:rPr>
            </w:pPr>
            <w:r w:rsidRPr="003A72EE">
              <w:rPr>
                <w:noProof/>
                <w:sz w:val="20"/>
                <w:szCs w:val="20"/>
                <w:lang w:val="es-ES" w:eastAsia="en-GB"/>
              </w:rPr>
              <w:t>120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2626C233"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37F4E111" w14:textId="77777777" w:rsidR="006100DD" w:rsidRPr="003A72EE" w:rsidRDefault="006100DD" w:rsidP="00940BAE">
            <w:pPr>
              <w:rPr>
                <w:noProof/>
                <w:sz w:val="20"/>
                <w:szCs w:val="20"/>
                <w:lang w:val="es-ES" w:eastAsia="en-GB"/>
              </w:rPr>
            </w:pPr>
            <w:r w:rsidRPr="003A72EE">
              <w:rPr>
                <w:noProof/>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486B080A"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150</w:t>
            </w:r>
          </w:p>
        </w:tc>
      </w:tr>
      <w:tr w:rsidR="006100DD" w:rsidRPr="003A72EE" w14:paraId="5BDC38CB"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624D428E" w14:textId="77777777" w:rsidR="006100DD" w:rsidRPr="003A72EE" w:rsidRDefault="006100DD" w:rsidP="00940BAE">
            <w:pPr>
              <w:rPr>
                <w:noProof/>
                <w:sz w:val="20"/>
                <w:szCs w:val="20"/>
                <w:lang w:val="es-ES" w:eastAsia="en-GB"/>
              </w:rPr>
            </w:pPr>
            <w:r w:rsidRPr="003A72EE">
              <w:rPr>
                <w:noProof/>
                <w:color w:val="000000"/>
                <w:sz w:val="20"/>
                <w:szCs w:val="20"/>
                <w:lang w:val="es-ES"/>
              </w:rPr>
              <w:t>Ganancias/pérdidas por fluctuaciones del tipo de cambio</w:t>
            </w:r>
          </w:p>
        </w:tc>
        <w:tc>
          <w:tcPr>
            <w:tcW w:w="1635" w:type="dxa"/>
            <w:tcBorders>
              <w:top w:val="nil"/>
              <w:left w:val="nil"/>
              <w:bottom w:val="single" w:sz="4" w:space="0" w:color="auto"/>
              <w:right w:val="single" w:sz="4" w:space="0" w:color="auto"/>
            </w:tcBorders>
            <w:shd w:val="clear" w:color="auto" w:fill="auto"/>
            <w:noWrap/>
            <w:vAlign w:val="center"/>
            <w:hideMark/>
          </w:tcPr>
          <w:p w14:paraId="48FF2923"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7FD9FE99"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69094072"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c>
          <w:tcPr>
            <w:tcW w:w="1636" w:type="dxa"/>
            <w:tcBorders>
              <w:top w:val="nil"/>
              <w:left w:val="nil"/>
              <w:bottom w:val="single" w:sz="4" w:space="0" w:color="auto"/>
              <w:right w:val="single" w:sz="4" w:space="0" w:color="auto"/>
            </w:tcBorders>
            <w:shd w:val="clear" w:color="auto" w:fill="auto"/>
            <w:noWrap/>
            <w:vAlign w:val="center"/>
            <w:hideMark/>
          </w:tcPr>
          <w:p w14:paraId="22FA41D6"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75BC8236"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0</w:t>
            </w:r>
          </w:p>
        </w:tc>
      </w:tr>
      <w:tr w:rsidR="006100DD" w:rsidRPr="003A72EE" w14:paraId="77E6B557" w14:textId="77777777" w:rsidTr="00126728">
        <w:trPr>
          <w:trHeight w:val="270"/>
        </w:trPr>
        <w:tc>
          <w:tcPr>
            <w:tcW w:w="4792" w:type="dxa"/>
            <w:tcBorders>
              <w:top w:val="nil"/>
              <w:left w:val="single" w:sz="4" w:space="0" w:color="auto"/>
              <w:bottom w:val="single" w:sz="4" w:space="0" w:color="auto"/>
              <w:right w:val="single" w:sz="4" w:space="0" w:color="auto"/>
            </w:tcBorders>
            <w:shd w:val="clear" w:color="auto" w:fill="auto"/>
            <w:noWrap/>
            <w:vAlign w:val="center"/>
            <w:hideMark/>
          </w:tcPr>
          <w:p w14:paraId="2A7BA23B" w14:textId="77777777" w:rsidR="006100DD" w:rsidRPr="003A72EE" w:rsidRDefault="006100DD" w:rsidP="00940BAE">
            <w:pPr>
              <w:rPr>
                <w:noProof/>
                <w:sz w:val="20"/>
                <w:szCs w:val="20"/>
                <w:lang w:val="es-ES" w:eastAsia="en-GB"/>
              </w:rPr>
            </w:pPr>
            <w:r w:rsidRPr="003A72EE">
              <w:rPr>
                <w:noProof/>
                <w:color w:val="000000"/>
                <w:sz w:val="20"/>
                <w:lang w:val="es-ES"/>
              </w:rPr>
              <w:t>Servicios jurídicos</w:t>
            </w:r>
          </w:p>
        </w:tc>
        <w:tc>
          <w:tcPr>
            <w:tcW w:w="1635" w:type="dxa"/>
            <w:tcBorders>
              <w:top w:val="nil"/>
              <w:left w:val="nil"/>
              <w:bottom w:val="single" w:sz="4" w:space="0" w:color="auto"/>
              <w:right w:val="single" w:sz="4" w:space="0" w:color="auto"/>
            </w:tcBorders>
            <w:shd w:val="clear" w:color="auto" w:fill="auto"/>
            <w:noWrap/>
            <w:vAlign w:val="center"/>
            <w:hideMark/>
          </w:tcPr>
          <w:p w14:paraId="640B8D25" w14:textId="77777777" w:rsidR="006100DD" w:rsidRPr="003A72EE" w:rsidRDefault="006100DD" w:rsidP="00940BAE">
            <w:pPr>
              <w:jc w:val="right"/>
              <w:rPr>
                <w:noProof/>
                <w:sz w:val="20"/>
                <w:szCs w:val="20"/>
                <w:lang w:val="es-ES" w:eastAsia="en-GB"/>
              </w:rPr>
            </w:pPr>
            <w:r w:rsidRPr="003A72EE">
              <w:rPr>
                <w:noProof/>
                <w:sz w:val="20"/>
                <w:szCs w:val="20"/>
                <w:lang w:val="es-ES" w:eastAsia="en-GB"/>
              </w:rPr>
              <w:t>59</w:t>
            </w:r>
          </w:p>
        </w:tc>
        <w:tc>
          <w:tcPr>
            <w:tcW w:w="1636" w:type="dxa"/>
            <w:tcBorders>
              <w:top w:val="nil"/>
              <w:left w:val="nil"/>
              <w:bottom w:val="single" w:sz="4" w:space="0" w:color="auto"/>
              <w:right w:val="single" w:sz="4" w:space="0" w:color="auto"/>
            </w:tcBorders>
            <w:shd w:val="clear" w:color="auto" w:fill="auto"/>
            <w:noWrap/>
            <w:vAlign w:val="center"/>
            <w:hideMark/>
          </w:tcPr>
          <w:p w14:paraId="2A32AADF" w14:textId="77777777" w:rsidR="006100DD" w:rsidRPr="003A72EE" w:rsidRDefault="006100DD" w:rsidP="00940BAE">
            <w:pPr>
              <w:jc w:val="right"/>
              <w:rPr>
                <w:noProof/>
                <w:sz w:val="20"/>
                <w:szCs w:val="20"/>
                <w:lang w:val="es-ES" w:eastAsia="en-GB"/>
              </w:rPr>
            </w:pPr>
            <w:r w:rsidRPr="003A72EE">
              <w:rPr>
                <w:noProof/>
                <w:sz w:val="20"/>
                <w:szCs w:val="20"/>
                <w:lang w:val="es-ES" w:eastAsia="en-GB"/>
              </w:rPr>
              <w:t>0</w:t>
            </w:r>
          </w:p>
        </w:tc>
        <w:tc>
          <w:tcPr>
            <w:tcW w:w="1636" w:type="dxa"/>
            <w:tcBorders>
              <w:top w:val="nil"/>
              <w:left w:val="single" w:sz="4" w:space="0" w:color="auto"/>
              <w:bottom w:val="single" w:sz="4" w:space="0" w:color="auto"/>
              <w:right w:val="single" w:sz="4" w:space="0" w:color="auto"/>
            </w:tcBorders>
            <w:shd w:val="clear" w:color="auto" w:fill="auto"/>
            <w:noWrap/>
            <w:vAlign w:val="center"/>
            <w:hideMark/>
          </w:tcPr>
          <w:p w14:paraId="74D1EC19"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62</w:t>
            </w:r>
          </w:p>
        </w:tc>
        <w:tc>
          <w:tcPr>
            <w:tcW w:w="1636" w:type="dxa"/>
            <w:tcBorders>
              <w:top w:val="nil"/>
              <w:left w:val="nil"/>
              <w:bottom w:val="single" w:sz="4" w:space="0" w:color="auto"/>
              <w:right w:val="single" w:sz="4" w:space="0" w:color="auto"/>
            </w:tcBorders>
            <w:shd w:val="clear" w:color="auto" w:fill="auto"/>
            <w:noWrap/>
            <w:vAlign w:val="center"/>
            <w:hideMark/>
          </w:tcPr>
          <w:p w14:paraId="345B790A" w14:textId="77777777" w:rsidR="006100DD" w:rsidRPr="003A72EE" w:rsidRDefault="006100DD" w:rsidP="00940BAE">
            <w:pPr>
              <w:rPr>
                <w:noProof/>
                <w:color w:val="000000"/>
                <w:sz w:val="20"/>
                <w:szCs w:val="20"/>
                <w:lang w:val="es-ES" w:eastAsia="en-GB"/>
              </w:rPr>
            </w:pPr>
            <w:r w:rsidRPr="003A72EE">
              <w:rPr>
                <w:noProof/>
                <w:color w:val="000000"/>
                <w:sz w:val="20"/>
                <w:szCs w:val="20"/>
                <w:lang w:val="es-ES" w:eastAsia="en-GB"/>
              </w:rPr>
              <w:t> </w:t>
            </w:r>
          </w:p>
        </w:tc>
        <w:tc>
          <w:tcPr>
            <w:tcW w:w="1843" w:type="dxa"/>
            <w:tcBorders>
              <w:top w:val="nil"/>
              <w:left w:val="nil"/>
              <w:bottom w:val="single" w:sz="4" w:space="0" w:color="auto"/>
              <w:right w:val="single" w:sz="4" w:space="0" w:color="auto"/>
            </w:tcBorders>
            <w:shd w:val="clear" w:color="auto" w:fill="auto"/>
            <w:noWrap/>
            <w:vAlign w:val="center"/>
            <w:hideMark/>
          </w:tcPr>
          <w:p w14:paraId="343F3526" w14:textId="77777777" w:rsidR="006100DD" w:rsidRPr="003A72EE" w:rsidRDefault="006100DD" w:rsidP="00940BAE">
            <w:pPr>
              <w:jc w:val="right"/>
              <w:rPr>
                <w:noProof/>
                <w:color w:val="000000"/>
                <w:sz w:val="20"/>
                <w:szCs w:val="20"/>
                <w:lang w:val="es-ES" w:eastAsia="en-GB"/>
              </w:rPr>
            </w:pPr>
            <w:r w:rsidRPr="003A72EE">
              <w:rPr>
                <w:noProof/>
                <w:color w:val="000000"/>
                <w:sz w:val="20"/>
                <w:szCs w:val="20"/>
                <w:lang w:val="es-ES" w:eastAsia="en-GB"/>
              </w:rPr>
              <w:t>121</w:t>
            </w:r>
          </w:p>
        </w:tc>
      </w:tr>
      <w:tr w:rsidR="006100DD" w:rsidRPr="003A72EE" w14:paraId="40E111C3" w14:textId="77777777" w:rsidTr="00126728">
        <w:trPr>
          <w:trHeight w:val="300"/>
        </w:trPr>
        <w:tc>
          <w:tcPr>
            <w:tcW w:w="4792"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68C7AFD5" w14:textId="77777777" w:rsidR="006100DD" w:rsidRPr="003A72EE" w:rsidRDefault="006100DD" w:rsidP="00940BAE">
            <w:pPr>
              <w:rPr>
                <w:b/>
                <w:bCs/>
                <w:noProof/>
                <w:color w:val="000000"/>
                <w:sz w:val="20"/>
                <w:szCs w:val="20"/>
                <w:lang w:val="es-ES" w:eastAsia="en-GB"/>
              </w:rPr>
            </w:pPr>
            <w:r w:rsidRPr="003A72EE">
              <w:rPr>
                <w:b/>
                <w:bCs/>
                <w:noProof/>
                <w:color w:val="000000"/>
                <w:sz w:val="20"/>
                <w:szCs w:val="20"/>
                <w:lang w:val="es-ES" w:eastAsia="en-GB"/>
              </w:rPr>
              <w:t>TOTAL, GASTOS</w:t>
            </w:r>
          </w:p>
        </w:tc>
        <w:tc>
          <w:tcPr>
            <w:tcW w:w="1635" w:type="dxa"/>
            <w:tcBorders>
              <w:top w:val="nil"/>
              <w:left w:val="nil"/>
              <w:bottom w:val="single" w:sz="4" w:space="0" w:color="auto"/>
              <w:right w:val="single" w:sz="4" w:space="0" w:color="auto"/>
            </w:tcBorders>
            <w:shd w:val="clear" w:color="auto" w:fill="E2EFD9" w:themeFill="accent6" w:themeFillTint="33"/>
            <w:noWrap/>
            <w:vAlign w:val="center"/>
            <w:hideMark/>
          </w:tcPr>
          <w:p w14:paraId="4FB16781"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5 081</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63DC93A2"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196</w:t>
            </w:r>
          </w:p>
        </w:tc>
        <w:tc>
          <w:tcPr>
            <w:tcW w:w="1636"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20188A8A" w14:textId="77777777"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767</w:t>
            </w:r>
          </w:p>
        </w:tc>
        <w:tc>
          <w:tcPr>
            <w:tcW w:w="1636" w:type="dxa"/>
            <w:tcBorders>
              <w:top w:val="nil"/>
              <w:left w:val="nil"/>
              <w:bottom w:val="single" w:sz="4" w:space="0" w:color="auto"/>
              <w:right w:val="single" w:sz="4" w:space="0" w:color="auto"/>
            </w:tcBorders>
            <w:shd w:val="clear" w:color="auto" w:fill="E2EFD9" w:themeFill="accent6" w:themeFillTint="33"/>
            <w:noWrap/>
            <w:vAlign w:val="center"/>
            <w:hideMark/>
          </w:tcPr>
          <w:p w14:paraId="68879E0E" w14:textId="19B5ACD7" w:rsidR="006100DD" w:rsidRPr="003A72EE" w:rsidRDefault="0092628D" w:rsidP="00940BAE">
            <w:pPr>
              <w:jc w:val="right"/>
              <w:rPr>
                <w:b/>
                <w:bCs/>
                <w:noProof/>
                <w:color w:val="000000"/>
                <w:sz w:val="20"/>
                <w:szCs w:val="20"/>
                <w:lang w:val="es-ES" w:eastAsia="en-GB"/>
              </w:rPr>
            </w:pPr>
            <w:r w:rsidRPr="003A72EE">
              <w:rPr>
                <w:b/>
                <w:bCs/>
                <w:noProof/>
                <w:color w:val="000000"/>
                <w:sz w:val="20"/>
                <w:szCs w:val="20"/>
                <w:lang w:val="es-ES" w:eastAsia="en-GB"/>
              </w:rPr>
              <w:t>100</w:t>
            </w:r>
          </w:p>
        </w:tc>
        <w:tc>
          <w:tcPr>
            <w:tcW w:w="1843" w:type="dxa"/>
            <w:tcBorders>
              <w:top w:val="nil"/>
              <w:left w:val="nil"/>
              <w:bottom w:val="single" w:sz="4" w:space="0" w:color="auto"/>
              <w:right w:val="single" w:sz="4" w:space="0" w:color="auto"/>
            </w:tcBorders>
            <w:shd w:val="clear" w:color="auto" w:fill="E2EFD9" w:themeFill="accent6" w:themeFillTint="33"/>
            <w:noWrap/>
            <w:vAlign w:val="center"/>
            <w:hideMark/>
          </w:tcPr>
          <w:p w14:paraId="35C77BB1" w14:textId="0FAC2E34" w:rsidR="006100DD" w:rsidRPr="003A72EE" w:rsidRDefault="006100DD" w:rsidP="00940BAE">
            <w:pPr>
              <w:jc w:val="right"/>
              <w:rPr>
                <w:b/>
                <w:bCs/>
                <w:noProof/>
                <w:color w:val="000000"/>
                <w:sz w:val="20"/>
                <w:szCs w:val="20"/>
                <w:lang w:val="es-ES" w:eastAsia="en-GB"/>
              </w:rPr>
            </w:pPr>
            <w:r w:rsidRPr="003A72EE">
              <w:rPr>
                <w:b/>
                <w:bCs/>
                <w:noProof/>
                <w:color w:val="000000"/>
                <w:sz w:val="20"/>
                <w:szCs w:val="20"/>
                <w:lang w:val="es-ES" w:eastAsia="en-GB"/>
              </w:rPr>
              <w:t xml:space="preserve">6 </w:t>
            </w:r>
            <w:r w:rsidR="00C34E5B" w:rsidRPr="003A72EE">
              <w:rPr>
                <w:b/>
                <w:bCs/>
                <w:noProof/>
                <w:color w:val="000000"/>
                <w:sz w:val="20"/>
                <w:szCs w:val="20"/>
                <w:lang w:val="es-ES" w:eastAsia="en-GB"/>
              </w:rPr>
              <w:t>144</w:t>
            </w:r>
          </w:p>
        </w:tc>
      </w:tr>
    </w:tbl>
    <w:p w14:paraId="1573453A" w14:textId="77777777" w:rsidR="006100DD" w:rsidRPr="003A72EE" w:rsidRDefault="006100DD" w:rsidP="006100DD">
      <w:pPr>
        <w:rPr>
          <w:rFonts w:asciiTheme="minorHAnsi" w:hAnsiTheme="minorHAnsi" w:cstheme="minorHAnsi"/>
          <w:b/>
          <w:bCs/>
          <w:noProof/>
          <w:lang w:val="es-ES" w:eastAsia="en-GB"/>
        </w:rPr>
      </w:pPr>
      <w:r w:rsidRPr="003A72EE">
        <w:rPr>
          <w:rFonts w:asciiTheme="minorHAnsi" w:hAnsiTheme="minorHAnsi" w:cstheme="minorHAnsi"/>
          <w:b/>
          <w:bCs/>
          <w:noProof/>
          <w:color w:val="000000"/>
          <w:sz w:val="20"/>
          <w:szCs w:val="20"/>
          <w:lang w:val="es-ES" w:eastAsia="en-GB"/>
        </w:rPr>
        <w:t>Notas:</w:t>
      </w:r>
    </w:p>
    <w:p w14:paraId="1201E650" w14:textId="6DED4820" w:rsidR="006100DD" w:rsidRPr="003A72EE" w:rsidRDefault="006100DD" w:rsidP="006100DD">
      <w:pPr>
        <w:rPr>
          <w:rFonts w:asciiTheme="minorHAnsi" w:hAnsiTheme="minorHAnsi" w:cstheme="minorHAnsi"/>
          <w:noProof/>
          <w:color w:val="000000"/>
          <w:sz w:val="20"/>
          <w:szCs w:val="20"/>
          <w:lang w:val="es-ES" w:eastAsia="en-GB"/>
        </w:rPr>
      </w:pPr>
      <w:r w:rsidRPr="003A72EE">
        <w:rPr>
          <w:rFonts w:asciiTheme="minorHAnsi" w:hAnsiTheme="minorHAnsi" w:cstheme="minorHAnsi"/>
          <w:noProof/>
          <w:color w:val="000000"/>
          <w:sz w:val="20"/>
          <w:szCs w:val="20"/>
          <w:lang w:val="es-ES" w:eastAsia="en-GB"/>
        </w:rPr>
        <w:t xml:space="preserve">* las partes que no se hayan utilizado deben ser devueltas a los ahorros </w:t>
      </w:r>
    </w:p>
    <w:p w14:paraId="0C819E67" w14:textId="77777777" w:rsidR="006100DD" w:rsidRPr="003A72EE" w:rsidRDefault="006100DD" w:rsidP="006100DD">
      <w:pPr>
        <w:rPr>
          <w:noProof/>
          <w:sz w:val="20"/>
          <w:szCs w:val="20"/>
          <w:lang w:val="es-ES"/>
        </w:rPr>
      </w:pPr>
      <w:r w:rsidRPr="003A72EE">
        <w:rPr>
          <w:noProof/>
          <w:sz w:val="20"/>
          <w:szCs w:val="20"/>
          <w:lang w:val="es-ES"/>
        </w:rPr>
        <w:t xml:space="preserve">**para su examen por la reunión SC62 (mayo-junio de 2023) para nuevas iniciativas regionales aprobadas por la COP14 </w:t>
      </w:r>
    </w:p>
    <w:p w14:paraId="63A69901" w14:textId="02DFC2B1" w:rsidR="006100DD" w:rsidRPr="003A72EE" w:rsidRDefault="006100DD" w:rsidP="006100DD">
      <w:pPr>
        <w:rPr>
          <w:noProof/>
          <w:color w:val="FF0000"/>
          <w:sz w:val="20"/>
          <w:szCs w:val="20"/>
          <w:lang w:val="es-ES"/>
        </w:rPr>
      </w:pPr>
      <w:r w:rsidRPr="003A72EE">
        <w:rPr>
          <w:noProof/>
          <w:color w:val="FF0000"/>
          <w:sz w:val="20"/>
          <w:szCs w:val="20"/>
          <w:lang w:val="es-ES"/>
        </w:rPr>
        <w:t xml:space="preserve">*** </w:t>
      </w:r>
      <w:r w:rsidR="009F6166" w:rsidRPr="003A72EE">
        <w:rPr>
          <w:noProof/>
          <w:color w:val="FF0000"/>
          <w:sz w:val="20"/>
          <w:szCs w:val="20"/>
          <w:lang w:val="es-ES"/>
        </w:rPr>
        <w:t>dependiendo</w:t>
      </w:r>
      <w:r w:rsidRPr="003A72EE">
        <w:rPr>
          <w:noProof/>
          <w:color w:val="FF0000"/>
          <w:sz w:val="20"/>
          <w:szCs w:val="20"/>
          <w:lang w:val="es-ES"/>
        </w:rPr>
        <w:t xml:space="preserve"> de la aprobación por el CP. Si el CP decide que no se necesita, la asignación se devolverá al excedente de 2021 para asignaciones futuras</w:t>
      </w:r>
    </w:p>
    <w:p w14:paraId="610CD865" w14:textId="77777777" w:rsidR="009548E8" w:rsidRPr="003A72EE" w:rsidRDefault="009548E8" w:rsidP="006100DD">
      <w:pPr>
        <w:rPr>
          <w:rFonts w:asciiTheme="minorHAnsi" w:hAnsiTheme="minorHAnsi" w:cs="Arial"/>
          <w:b/>
          <w:bCs/>
          <w:noProof/>
          <w:sz w:val="24"/>
          <w:szCs w:val="24"/>
          <w:lang w:val="es-ES" w:eastAsia="en-GB"/>
        </w:rPr>
        <w:sectPr w:rsidR="009548E8" w:rsidRPr="003A72EE" w:rsidSect="00AB178F">
          <w:footerReference w:type="default" r:id="rId12"/>
          <w:pgSz w:w="16838" w:h="11906" w:orient="landscape" w:code="9"/>
          <w:pgMar w:top="1440" w:right="1440" w:bottom="1440" w:left="1440" w:header="709" w:footer="709" w:gutter="0"/>
          <w:cols w:space="708"/>
          <w:docGrid w:linePitch="360"/>
        </w:sectPr>
      </w:pPr>
    </w:p>
    <w:p w14:paraId="624C2C40" w14:textId="5672F428" w:rsidR="00955845" w:rsidRPr="003A72EE" w:rsidRDefault="00276DFA" w:rsidP="00126728">
      <w:pPr>
        <w:widowControl/>
        <w:rPr>
          <w:rFonts w:asciiTheme="minorHAnsi" w:hAnsiTheme="minorHAnsi"/>
          <w:b/>
          <w:noProof/>
          <w:sz w:val="24"/>
          <w:szCs w:val="24"/>
          <w:lang w:val="es-ES"/>
        </w:rPr>
      </w:pPr>
      <w:r w:rsidRPr="003A72EE">
        <w:rPr>
          <w:rFonts w:asciiTheme="minorHAnsi" w:hAnsiTheme="minorHAnsi" w:cs="Arial"/>
          <w:b/>
          <w:bCs/>
          <w:noProof/>
          <w:sz w:val="24"/>
          <w:szCs w:val="24"/>
          <w:lang w:val="es-ES" w:eastAsia="en-GB"/>
        </w:rPr>
        <w:lastRenderedPageBreak/>
        <w:t>Anexo</w:t>
      </w:r>
      <w:r w:rsidR="00955845" w:rsidRPr="003A72EE">
        <w:rPr>
          <w:rFonts w:asciiTheme="minorHAnsi" w:hAnsiTheme="minorHAnsi" w:cs="Arial"/>
          <w:b/>
          <w:bCs/>
          <w:noProof/>
          <w:sz w:val="24"/>
          <w:szCs w:val="24"/>
          <w:lang w:val="es-ES" w:eastAsia="en-GB"/>
        </w:rPr>
        <w:t xml:space="preserve"> 2 </w:t>
      </w:r>
      <w:r w:rsidRPr="003A72EE">
        <w:rPr>
          <w:rFonts w:asciiTheme="minorHAnsi" w:hAnsiTheme="minorHAnsi" w:cs="Arial"/>
          <w:b/>
          <w:bCs/>
          <w:noProof/>
          <w:sz w:val="24"/>
          <w:szCs w:val="24"/>
          <w:lang w:val="es-ES" w:eastAsia="en-GB"/>
        </w:rPr>
        <w:t>del Informe del Subgrupo de Finanzas</w:t>
      </w:r>
    </w:p>
    <w:p w14:paraId="70A60D12" w14:textId="5752BB59" w:rsidR="00087C6E" w:rsidRPr="003A72EE" w:rsidRDefault="00087C6E" w:rsidP="00126728">
      <w:pPr>
        <w:widowControl/>
        <w:ind w:left="540" w:hanging="540"/>
        <w:rPr>
          <w:rFonts w:cs="Arial"/>
          <w:b/>
          <w:noProof/>
          <w:sz w:val="24"/>
          <w:szCs w:val="24"/>
          <w:lang w:val="es-ES"/>
        </w:rPr>
      </w:pPr>
      <w:r w:rsidRPr="003A72EE">
        <w:rPr>
          <w:rFonts w:cs="Arial"/>
          <w:b/>
          <w:noProof/>
          <w:sz w:val="24"/>
          <w:szCs w:val="24"/>
          <w:lang w:val="es-ES"/>
        </w:rPr>
        <w:t>Proyecto de Resolución 14.xx</w:t>
      </w:r>
    </w:p>
    <w:p w14:paraId="2D50503F" w14:textId="77777777" w:rsidR="00087C6E" w:rsidRPr="003A72EE" w:rsidRDefault="00087C6E" w:rsidP="00126728">
      <w:pPr>
        <w:widowControl/>
        <w:ind w:right="17"/>
        <w:outlineLvl w:val="0"/>
        <w:rPr>
          <w:rFonts w:cstheme="majorHAnsi"/>
          <w:b/>
          <w:bCs/>
          <w:noProof/>
          <w:sz w:val="24"/>
          <w:szCs w:val="24"/>
          <w:lang w:val="es-ES" w:eastAsia="en-GB"/>
        </w:rPr>
      </w:pPr>
      <w:r w:rsidRPr="003A72EE">
        <w:rPr>
          <w:b/>
          <w:noProof/>
          <w:sz w:val="24"/>
          <w:szCs w:val="24"/>
          <w:lang w:val="es-ES"/>
        </w:rPr>
        <w:t>Cuestiones financieras y presupuestarias</w:t>
      </w:r>
    </w:p>
    <w:p w14:paraId="7D233928" w14:textId="77777777" w:rsidR="00087C6E" w:rsidRPr="003A72EE" w:rsidRDefault="00087C6E" w:rsidP="00126728">
      <w:pPr>
        <w:widowControl/>
        <w:rPr>
          <w:rFonts w:asciiTheme="minorHAnsi" w:hAnsiTheme="minorHAnsi"/>
          <w:b/>
          <w:noProof/>
          <w:sz w:val="28"/>
          <w:szCs w:val="28"/>
          <w:lang w:val="es-ES"/>
        </w:rPr>
      </w:pPr>
    </w:p>
    <w:p w14:paraId="4B549D2E"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1.</w:t>
      </w:r>
      <w:r w:rsidRPr="003A72EE">
        <w:rPr>
          <w:rFonts w:asciiTheme="minorHAnsi" w:hAnsiTheme="minorHAnsi"/>
          <w:noProof/>
          <w:lang w:val="es-ES"/>
        </w:rPr>
        <w:tab/>
        <w:t>RECORDANDO las disposiciones presupuestarias establecidas en los párrafos 5 y 6 del Artículo 6 de la Convención;</w:t>
      </w:r>
    </w:p>
    <w:p w14:paraId="081ECC0D" w14:textId="77777777" w:rsidR="00087C6E" w:rsidRPr="003A72EE" w:rsidRDefault="00087C6E" w:rsidP="00126728">
      <w:pPr>
        <w:widowControl/>
        <w:rPr>
          <w:rFonts w:asciiTheme="minorHAnsi" w:hAnsiTheme="minorHAnsi"/>
          <w:noProof/>
          <w:lang w:val="es-ES"/>
        </w:rPr>
      </w:pPr>
    </w:p>
    <w:p w14:paraId="2086B623"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2.</w:t>
      </w:r>
      <w:r w:rsidRPr="003A72EE">
        <w:rPr>
          <w:rFonts w:asciiTheme="minorHAnsi" w:hAnsiTheme="minorHAnsi"/>
          <w:noProof/>
          <w:lang w:val="es-ES"/>
        </w:rPr>
        <w:tab/>
        <w:t xml:space="preserve">RECORDANDO la Resolución XII. 7 sobre el </w:t>
      </w:r>
      <w:r w:rsidRPr="003A72EE">
        <w:rPr>
          <w:rFonts w:asciiTheme="minorHAnsi" w:hAnsiTheme="minorHAnsi"/>
          <w:i/>
          <w:noProof/>
          <w:lang w:val="es-ES"/>
        </w:rPr>
        <w:t>Marco de la Convención de Ramsar para la movilización de recursos y las asociaciones de colaboración</w:t>
      </w:r>
      <w:r w:rsidRPr="003A72EE">
        <w:rPr>
          <w:rFonts w:asciiTheme="minorHAnsi" w:hAnsiTheme="minorHAnsi"/>
          <w:noProof/>
          <w:lang w:val="es-ES"/>
        </w:rPr>
        <w:t xml:space="preserve"> y las disposiciones pertinentes de la </w:t>
      </w:r>
      <w:r w:rsidRPr="003A72EE">
        <w:rPr>
          <w:noProof/>
          <w:lang w:val="es-ES"/>
        </w:rPr>
        <w:t xml:space="preserve">Resolución XIII.2 sobre </w:t>
      </w:r>
      <w:r w:rsidRPr="003A72EE">
        <w:rPr>
          <w:i/>
          <w:noProof/>
          <w:lang w:val="es-ES"/>
        </w:rPr>
        <w:t xml:space="preserve">Cuestiones </w:t>
      </w:r>
      <w:r w:rsidRPr="003A72EE">
        <w:rPr>
          <w:rFonts w:asciiTheme="minorHAnsi" w:eastAsia="Batang" w:hAnsiTheme="minorHAnsi"/>
          <w:i/>
          <w:noProof/>
          <w:lang w:val="es-ES"/>
        </w:rPr>
        <w:t>financieras y presupuestarias</w:t>
      </w:r>
      <w:r w:rsidRPr="003A72EE">
        <w:rPr>
          <w:rFonts w:asciiTheme="minorHAnsi" w:eastAsia="Batang" w:hAnsiTheme="minorHAnsi"/>
          <w:iCs/>
          <w:noProof/>
          <w:lang w:val="es-ES"/>
        </w:rPr>
        <w:t xml:space="preserve"> y la Resolución ExCOP3.2 sobre </w:t>
      </w:r>
      <w:r w:rsidRPr="003A72EE">
        <w:rPr>
          <w:i/>
          <w:noProof/>
          <w:lang w:val="es-ES"/>
        </w:rPr>
        <w:t xml:space="preserve">Cuestiones </w:t>
      </w:r>
      <w:r w:rsidRPr="003A72EE">
        <w:rPr>
          <w:rFonts w:asciiTheme="minorHAnsi" w:eastAsia="Batang" w:hAnsiTheme="minorHAnsi"/>
          <w:i/>
          <w:noProof/>
          <w:lang w:val="es-ES"/>
        </w:rPr>
        <w:t>financieras y presupuestarias: presupuesto básico de la Convención sobre los Humedales para 2022</w:t>
      </w:r>
      <w:r w:rsidRPr="003A72EE">
        <w:rPr>
          <w:rFonts w:asciiTheme="minorHAnsi" w:hAnsiTheme="minorHAnsi"/>
          <w:noProof/>
          <w:lang w:val="es-ES"/>
        </w:rPr>
        <w:t>;</w:t>
      </w:r>
    </w:p>
    <w:p w14:paraId="6B062505" w14:textId="77777777" w:rsidR="00087C6E" w:rsidRPr="003A72EE" w:rsidRDefault="00087C6E" w:rsidP="00126728">
      <w:pPr>
        <w:widowControl/>
        <w:rPr>
          <w:rFonts w:asciiTheme="minorHAnsi" w:hAnsiTheme="minorHAnsi"/>
          <w:noProof/>
          <w:lang w:val="es-ES"/>
        </w:rPr>
      </w:pPr>
    </w:p>
    <w:p w14:paraId="65C71585"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3.</w:t>
      </w:r>
      <w:r w:rsidRPr="003A72EE">
        <w:rPr>
          <w:rFonts w:asciiTheme="minorHAnsi" w:hAnsiTheme="minorHAnsi"/>
          <w:noProof/>
          <w:lang w:val="es-ES"/>
        </w:rPr>
        <w:tab/>
        <w:t xml:space="preserve">RECONOCIENDO CON APRECIO el pronto pago realizado por la mayoría de las Partes Contratantes de las contribuciones al presupuesto básico de la Convención, pero OBSERVANDO CON PREOCUPACIÓN que varias Partes aún tienen importantes contribuciones pendientes de pago (véase el documento </w:t>
      </w:r>
      <w:r w:rsidRPr="003A72EE">
        <w:rPr>
          <w:noProof/>
          <w:lang w:val="es-ES"/>
        </w:rPr>
        <w:t xml:space="preserve">COP14 Doc.xx, </w:t>
      </w:r>
      <w:r w:rsidRPr="003A72EE">
        <w:rPr>
          <w:i/>
          <w:iCs/>
          <w:noProof/>
          <w:lang w:val="es-ES"/>
        </w:rPr>
        <w:t>Informe sobre cuestiones financieras y presupuestarias</w:t>
      </w:r>
      <w:r w:rsidRPr="003A72EE">
        <w:rPr>
          <w:noProof/>
          <w:lang w:val="es-ES"/>
        </w:rPr>
        <w:t>);</w:t>
      </w:r>
    </w:p>
    <w:p w14:paraId="21916DF4" w14:textId="77777777" w:rsidR="00087C6E" w:rsidRPr="003A72EE" w:rsidRDefault="00087C6E" w:rsidP="00126728">
      <w:pPr>
        <w:widowControl/>
        <w:tabs>
          <w:tab w:val="left" w:pos="2676"/>
        </w:tabs>
        <w:rPr>
          <w:rFonts w:asciiTheme="minorHAnsi" w:hAnsiTheme="minorHAnsi"/>
          <w:noProof/>
          <w:lang w:val="es-ES"/>
        </w:rPr>
      </w:pPr>
    </w:p>
    <w:p w14:paraId="6333ECED"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4.</w:t>
      </w:r>
      <w:r w:rsidRPr="003A72EE">
        <w:rPr>
          <w:rFonts w:asciiTheme="minorHAnsi" w:hAnsiTheme="minorHAnsi"/>
          <w:noProof/>
          <w:lang w:val="es-ES"/>
        </w:rPr>
        <w:tab/>
        <w:t xml:space="preserve">OBSERVANDO CON AGRADECIMIENTO las contribuciones financieras adicionales de carácter voluntario realizadas por muchas Partes Contratantes, incluidas las de las Partes Contratantes de África destinadas específicamente a iniciativas regionales africanas (de conformidad con el párrafo 23 de la Resolución X.2 sobre </w:t>
      </w:r>
      <w:r w:rsidRPr="003A72EE">
        <w:rPr>
          <w:rFonts w:asciiTheme="minorHAnsi" w:hAnsiTheme="minorHAnsi"/>
          <w:i/>
          <w:noProof/>
          <w:lang w:val="es-ES"/>
        </w:rPr>
        <w:t>Asuntos financieros y presupuestarios</w:t>
      </w:r>
      <w:r w:rsidRPr="003A72EE">
        <w:rPr>
          <w:rFonts w:asciiTheme="minorHAnsi" w:hAnsiTheme="minorHAnsi"/>
          <w:noProof/>
          <w:lang w:val="es-ES"/>
        </w:rPr>
        <w:t xml:space="preserve">), así como las contribuciones realizadas por organizaciones no gubernamentales y empresas privadas para actividades llevadas a cabo por la Secretaría; </w:t>
      </w:r>
    </w:p>
    <w:p w14:paraId="5A151E48" w14:textId="77777777" w:rsidR="00087C6E" w:rsidRPr="003A72EE" w:rsidRDefault="00087C6E" w:rsidP="00126728">
      <w:pPr>
        <w:widowControl/>
        <w:rPr>
          <w:rFonts w:asciiTheme="minorHAnsi" w:hAnsiTheme="minorHAnsi"/>
          <w:noProof/>
          <w:lang w:val="es-ES"/>
        </w:rPr>
      </w:pPr>
    </w:p>
    <w:p w14:paraId="7737965B"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5.</w:t>
      </w:r>
      <w:r w:rsidRPr="003A72EE">
        <w:rPr>
          <w:rFonts w:asciiTheme="minorHAnsi" w:hAnsiTheme="minorHAnsi"/>
          <w:noProof/>
          <w:lang w:val="es-ES"/>
        </w:rPr>
        <w:tab/>
        <w:t>RECORDANDO la Delegación de Autoridad al Secretario General de la Convención sobre los Humedales, firmada por el Director General de la Unión Internacional para la Conservación de la Naturaleza (UICN) y la Presidencia del Comité Permanente de la Convención con fecha 29 de enero de 1993, y la Nota Complementaria a la Delegación de Autoridad, firmada en la misma fecha;</w:t>
      </w:r>
    </w:p>
    <w:p w14:paraId="2A9017F9" w14:textId="77777777" w:rsidR="00087C6E" w:rsidRPr="003A72EE" w:rsidRDefault="00087C6E" w:rsidP="00126728">
      <w:pPr>
        <w:widowControl/>
        <w:rPr>
          <w:rFonts w:asciiTheme="minorHAnsi" w:hAnsiTheme="minorHAnsi"/>
          <w:noProof/>
          <w:lang w:val="es-ES"/>
        </w:rPr>
      </w:pPr>
    </w:p>
    <w:p w14:paraId="74F4691F"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6.</w:t>
      </w:r>
      <w:r w:rsidRPr="003A72EE">
        <w:rPr>
          <w:rFonts w:asciiTheme="minorHAnsi" w:hAnsiTheme="minorHAnsi"/>
          <w:noProof/>
          <w:lang w:val="es-ES"/>
        </w:rPr>
        <w:tab/>
        <w:t>RECONOCIENDO CON APRECIO los servicios financieros y administrativos prestados a la Secretaría por la UICN, respaldados por el Acuerdo de Servicios entre Ramsar y la UICN revisado en 2009;</w:t>
      </w:r>
    </w:p>
    <w:p w14:paraId="5F71B6E8" w14:textId="77777777" w:rsidR="00087C6E" w:rsidRPr="003A72EE" w:rsidRDefault="00087C6E" w:rsidP="00126728">
      <w:pPr>
        <w:pStyle w:val="ListParagraph"/>
        <w:widowControl/>
        <w:ind w:left="425"/>
        <w:rPr>
          <w:rFonts w:asciiTheme="minorHAnsi" w:hAnsiTheme="minorHAnsi"/>
          <w:noProof/>
          <w:lang w:val="es-ES"/>
        </w:rPr>
      </w:pPr>
    </w:p>
    <w:p w14:paraId="2882CACF"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7.</w:t>
      </w:r>
      <w:r w:rsidRPr="003A72EE">
        <w:rPr>
          <w:rFonts w:asciiTheme="minorHAnsi" w:hAnsiTheme="minorHAnsi"/>
          <w:noProof/>
          <w:lang w:val="es-ES"/>
        </w:rPr>
        <w:tab/>
        <w:t>OBSERVANDO que se ha mantenido informadas a las Partes Contratantes sobre la situación financiera de la Secretaría mediante los estados financieros anuales auditados correspondientes a los ejercicios transcurridos desde 2018 hasta 2021 y los informes de las reuniones del Comité Permanente celebradas de 2019 hasta 2022; y</w:t>
      </w:r>
    </w:p>
    <w:p w14:paraId="3CAB2996" w14:textId="77777777" w:rsidR="00087C6E" w:rsidRPr="003A72EE" w:rsidRDefault="00087C6E" w:rsidP="00126728">
      <w:pPr>
        <w:widowControl/>
        <w:rPr>
          <w:rFonts w:asciiTheme="minorHAnsi" w:hAnsiTheme="minorHAnsi"/>
          <w:noProof/>
          <w:lang w:val="es-ES"/>
        </w:rPr>
      </w:pPr>
    </w:p>
    <w:p w14:paraId="0D6736C9"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8.</w:t>
      </w:r>
      <w:r w:rsidRPr="003A72EE">
        <w:rPr>
          <w:rFonts w:asciiTheme="minorHAnsi" w:hAnsiTheme="minorHAnsi"/>
          <w:noProof/>
          <w:lang w:val="es-ES"/>
        </w:rPr>
        <w:tab/>
        <w:t xml:space="preserve">RECONOCIENDO la necesidad de continuar fortaleciendo las alianzas financieras con las organizaciones internacionales pertinentes y otras entidades, y de estudiar oportunidades de financiación adicionales mediante los mecanismos financieros existentes; </w:t>
      </w:r>
    </w:p>
    <w:p w14:paraId="4BAD87F3" w14:textId="77777777" w:rsidR="00087C6E" w:rsidRPr="003A72EE" w:rsidRDefault="00087C6E" w:rsidP="00126728">
      <w:pPr>
        <w:widowControl/>
        <w:ind w:left="426" w:hanging="426"/>
        <w:rPr>
          <w:rFonts w:asciiTheme="minorHAnsi" w:hAnsiTheme="minorHAnsi"/>
          <w:noProof/>
          <w:lang w:val="es-ES"/>
        </w:rPr>
      </w:pPr>
    </w:p>
    <w:p w14:paraId="5B454154" w14:textId="77777777" w:rsidR="00087C6E" w:rsidRPr="003A72EE" w:rsidRDefault="00087C6E" w:rsidP="00126728">
      <w:pPr>
        <w:keepNext/>
        <w:widowControl/>
        <w:ind w:left="426" w:hanging="426"/>
        <w:jc w:val="center"/>
        <w:rPr>
          <w:rFonts w:asciiTheme="minorHAnsi" w:hAnsiTheme="minorHAnsi"/>
          <w:noProof/>
          <w:lang w:val="es-ES"/>
        </w:rPr>
      </w:pPr>
      <w:r w:rsidRPr="003A72EE">
        <w:rPr>
          <w:rFonts w:asciiTheme="minorHAnsi" w:hAnsiTheme="minorHAnsi"/>
          <w:noProof/>
          <w:lang w:val="es-ES"/>
        </w:rPr>
        <w:t>LA CONFERENCIA DE LAS PARTES CONTRATANTES</w:t>
      </w:r>
    </w:p>
    <w:p w14:paraId="0AE81B5F" w14:textId="77777777" w:rsidR="00087C6E" w:rsidRPr="003A72EE" w:rsidRDefault="00087C6E" w:rsidP="00126728">
      <w:pPr>
        <w:keepNext/>
        <w:widowControl/>
        <w:ind w:left="567" w:hanging="567"/>
        <w:rPr>
          <w:rFonts w:asciiTheme="minorHAnsi" w:hAnsiTheme="minorHAnsi"/>
          <w:noProof/>
          <w:lang w:val="es-ES"/>
        </w:rPr>
      </w:pPr>
    </w:p>
    <w:p w14:paraId="056EB58D"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9.</w:t>
      </w:r>
      <w:r w:rsidRPr="003A72EE">
        <w:rPr>
          <w:rFonts w:asciiTheme="minorHAnsi" w:hAnsiTheme="minorHAnsi"/>
          <w:noProof/>
          <w:lang w:val="es-ES"/>
        </w:rPr>
        <w:tab/>
        <w:t>VALORA que, desde la 13ª reunión de la Conferencia de las Partes Contratantes (COP13), en 2018, la Secretaría haya seguido mejorando considerablemente su administración de los fondos de la Convención de manera prudente, eficiente y abierta;</w:t>
      </w:r>
    </w:p>
    <w:p w14:paraId="033791E2" w14:textId="77777777" w:rsidR="00087C6E" w:rsidRPr="003A72EE" w:rsidRDefault="00087C6E" w:rsidP="00126728">
      <w:pPr>
        <w:widowControl/>
        <w:rPr>
          <w:rFonts w:asciiTheme="minorHAnsi" w:hAnsiTheme="minorHAnsi"/>
          <w:noProof/>
          <w:lang w:val="es-ES"/>
        </w:rPr>
      </w:pPr>
    </w:p>
    <w:p w14:paraId="05E42C4C"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lastRenderedPageBreak/>
        <w:t>10.</w:t>
      </w:r>
      <w:r w:rsidRPr="003A72EE">
        <w:rPr>
          <w:rFonts w:asciiTheme="minorHAnsi" w:hAnsiTheme="minorHAnsi"/>
          <w:noProof/>
          <w:lang w:val="es-ES"/>
        </w:rPr>
        <w:tab/>
        <w:t>EXPRESA SU AGRADECIMIENTO a las Partes Contratantes que han formado parte del Subgrupo de Finanzas del Comité Permanente durante el trienio 2019-2021 y 2022 y, en particular, a México, que ha ocupado la Presidencia de ese Subgrupo;</w:t>
      </w:r>
    </w:p>
    <w:p w14:paraId="1D8424FF" w14:textId="77777777" w:rsidR="00087C6E" w:rsidRPr="003A72EE" w:rsidRDefault="00087C6E" w:rsidP="00126728">
      <w:pPr>
        <w:widowControl/>
        <w:rPr>
          <w:rFonts w:asciiTheme="minorHAnsi" w:hAnsiTheme="minorHAnsi"/>
          <w:noProof/>
          <w:lang w:val="es-ES"/>
        </w:rPr>
      </w:pPr>
    </w:p>
    <w:p w14:paraId="718C1CBF"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11.</w:t>
      </w:r>
      <w:r w:rsidRPr="003A72EE">
        <w:rPr>
          <w:rFonts w:asciiTheme="minorHAnsi" w:hAnsiTheme="minorHAnsi"/>
          <w:noProof/>
          <w:lang w:val="es-ES"/>
        </w:rPr>
        <w:tab/>
        <w:t xml:space="preserve">DECIDE que el mandato relativo a la administración financiera de la Convención que figura en el Anexo 3 de la Resolución 5.2 sobre </w:t>
      </w:r>
      <w:r w:rsidRPr="003A72EE">
        <w:rPr>
          <w:rFonts w:asciiTheme="minorHAnsi" w:hAnsiTheme="minorHAnsi"/>
          <w:i/>
          <w:noProof/>
          <w:lang w:val="es-ES"/>
        </w:rPr>
        <w:t>Asuntos financieros y presupuestarios</w:t>
      </w:r>
      <w:r w:rsidRPr="003A72EE">
        <w:rPr>
          <w:rFonts w:asciiTheme="minorHAnsi" w:hAnsiTheme="minorHAnsi"/>
          <w:noProof/>
          <w:lang w:val="es-ES"/>
        </w:rPr>
        <w:t xml:space="preserve"> (1993) se aplicará en su totalidad al trienio 2023-2025;</w:t>
      </w:r>
    </w:p>
    <w:p w14:paraId="2737BF57" w14:textId="77777777" w:rsidR="00087C6E" w:rsidRPr="003A72EE" w:rsidRDefault="00087C6E" w:rsidP="00126728">
      <w:pPr>
        <w:widowControl/>
        <w:rPr>
          <w:rFonts w:asciiTheme="minorHAnsi" w:hAnsiTheme="minorHAnsi"/>
          <w:noProof/>
          <w:lang w:val="es-ES"/>
        </w:rPr>
      </w:pPr>
    </w:p>
    <w:p w14:paraId="20B436B6"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12.</w:t>
      </w:r>
      <w:r w:rsidRPr="003A72EE">
        <w:rPr>
          <w:rFonts w:asciiTheme="minorHAnsi" w:hAnsiTheme="minorHAnsi"/>
          <w:noProof/>
          <w:lang w:val="es-ES"/>
        </w:rPr>
        <w:tab/>
        <w:t xml:space="preserve">DECIDE ADEMÁS que el Subgrupo de Finanzas seguirá funcionando bajo la égida del Comité Permanente y con las funciones y responsabilidades especificadas en la Resolución VI.17, sobre </w:t>
      </w:r>
      <w:r w:rsidRPr="003A72EE">
        <w:rPr>
          <w:rFonts w:asciiTheme="minorHAnsi" w:hAnsiTheme="minorHAnsi"/>
          <w:i/>
          <w:noProof/>
          <w:lang w:val="es-ES"/>
        </w:rPr>
        <w:t>Asuntos financieros y presupuestarios</w:t>
      </w:r>
      <w:r w:rsidRPr="003A72EE">
        <w:rPr>
          <w:rFonts w:asciiTheme="minorHAnsi" w:hAnsiTheme="minorHAnsi"/>
          <w:noProof/>
          <w:lang w:val="es-ES"/>
        </w:rPr>
        <w:t xml:space="preserve"> (1996), e incluirá a un representante del Comité Permanente de cada una de las regiones de Ramsar más la Presidencia inmediatamente anterior del Subgrupo de Finanzas, así como a cualquier otra Parte Contratante interesada, teniendo en cuenta la conveniencia de una participación regional equitativa y la necesidad de que el grupo siga teniendo un tamaño manejable, y designará a uno de sus miembros como Presidencia; y OBSERVA que el apoyo a los viajes para asistir a las reuniones del Subgrupo en el caso de las Partes Contratantes que reúnan los requisitos para ello estará limitado a los representantes regionales del Comité Permanente;</w:t>
      </w:r>
    </w:p>
    <w:p w14:paraId="3CA3B03F" w14:textId="77777777" w:rsidR="00087C6E" w:rsidRPr="003A72EE" w:rsidRDefault="00087C6E" w:rsidP="00126728">
      <w:pPr>
        <w:pStyle w:val="ListParagraph"/>
        <w:widowControl/>
        <w:ind w:left="425"/>
        <w:rPr>
          <w:rFonts w:asciiTheme="minorHAnsi" w:hAnsiTheme="minorHAnsi"/>
          <w:noProof/>
          <w:lang w:val="es-ES"/>
        </w:rPr>
      </w:pPr>
    </w:p>
    <w:p w14:paraId="6EAD2957"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13.</w:t>
      </w:r>
      <w:r w:rsidRPr="003A72EE">
        <w:rPr>
          <w:rFonts w:asciiTheme="minorHAnsi" w:hAnsiTheme="minorHAnsi"/>
          <w:noProof/>
          <w:lang w:val="es-ES"/>
        </w:rPr>
        <w:tab/>
        <w:t>OBSERVA que el presupuesto para 2023-2025 incluye un componente básico que se financia a través de las cuotas de las Partes Contratantes y que la Secretaría buscará recursos no básicos adicionales en consonancia con las prioridades determinadas por la Conferencia de las Partes; y PIDE a la Secretaría que continúe elaborando nuevos enfoques e instrumentos para obtener apoyo financiero voluntario destinado a los proyectos prioritarios actualmente no financiados;</w:t>
      </w:r>
    </w:p>
    <w:p w14:paraId="0417E140" w14:textId="77777777" w:rsidR="00087C6E" w:rsidRPr="003A72EE" w:rsidRDefault="00087C6E" w:rsidP="00126728">
      <w:pPr>
        <w:widowControl/>
        <w:rPr>
          <w:rFonts w:asciiTheme="minorHAnsi" w:hAnsiTheme="minorHAnsi"/>
          <w:noProof/>
          <w:lang w:val="es-ES"/>
        </w:rPr>
      </w:pPr>
    </w:p>
    <w:p w14:paraId="2329046E"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 xml:space="preserve">14. </w:t>
      </w:r>
      <w:r w:rsidRPr="003A72EE">
        <w:rPr>
          <w:rFonts w:asciiTheme="minorHAnsi" w:hAnsiTheme="minorHAnsi"/>
          <w:noProof/>
          <w:lang w:val="es-ES"/>
        </w:rPr>
        <w:tab/>
        <w:t xml:space="preserve">APRUEBA el presupuesto básico para el trienio 2023-2025 que se presenta en el Anexo 1 de la presente resolución, con objeto de permitir la ejecución del Plan Estratégico de Ramsar para 2016-2024; </w:t>
      </w:r>
    </w:p>
    <w:p w14:paraId="779BC1EE" w14:textId="77777777" w:rsidR="00087C6E" w:rsidRPr="003A72EE" w:rsidRDefault="00087C6E" w:rsidP="00126728">
      <w:pPr>
        <w:widowControl/>
        <w:rPr>
          <w:rFonts w:asciiTheme="minorHAnsi" w:hAnsiTheme="minorHAnsi"/>
          <w:noProof/>
          <w:lang w:val="es-ES"/>
        </w:rPr>
      </w:pPr>
    </w:p>
    <w:p w14:paraId="2D6BBCBA"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15.</w:t>
      </w:r>
      <w:r w:rsidRPr="003A72EE">
        <w:rPr>
          <w:rFonts w:asciiTheme="minorHAnsi" w:hAnsiTheme="minorHAnsi"/>
          <w:noProof/>
          <w:lang w:val="es-ES"/>
        </w:rPr>
        <w:tab/>
        <w:t xml:space="preserve">APRUEBA el empleo del excedente del presupuesto básico del trienio 2019-2021 de 228 000 francos suizos para complementar el presupuesto aprobado del trienio 2023-2025 en las siguientes áreas: 120 000 francos suizos para Comunicaciones, traducción, publicaciones y </w:t>
      </w:r>
      <w:r w:rsidRPr="003A72EE">
        <w:rPr>
          <w:noProof/>
          <w:color w:val="000000"/>
          <w:lang w:val="es-ES"/>
        </w:rPr>
        <w:t>informes</w:t>
      </w:r>
      <w:r w:rsidRPr="003A72EE">
        <w:rPr>
          <w:rFonts w:asciiTheme="minorHAnsi" w:hAnsiTheme="minorHAnsi"/>
          <w:noProof/>
          <w:lang w:val="es-ES"/>
        </w:rPr>
        <w:t>; 60 000 francos suizos para viajes del personal (15 000 francos suizos para viajes del personal directivo de la Secretaría, 15 000 francos suizos para viajes de Movilización de recursos y promoción y 30 000 francos suizos para viajes de Asesoramiento y apoyo regionales); y, además, 15 000 francos suizos para la aplicación del programa del GECT y 33 000 francos suizos para actividades de planificación y fomento de la capacidad; y PIDE a la Secretaría que logre el equilibrio presupuestario al final del trienio 2023-2025</w:t>
      </w:r>
      <w:r w:rsidRPr="003A72EE">
        <w:rPr>
          <w:rStyle w:val="FootnoteReference"/>
          <w:rFonts w:asciiTheme="minorHAnsi" w:hAnsiTheme="minorHAnsi"/>
          <w:noProof/>
          <w:lang w:val="es-ES"/>
        </w:rPr>
        <w:footnoteReference w:id="4"/>
      </w:r>
      <w:r w:rsidRPr="003A72EE">
        <w:rPr>
          <w:rFonts w:asciiTheme="minorHAnsi" w:hAnsiTheme="minorHAnsi"/>
          <w:noProof/>
          <w:lang w:val="es-ES"/>
        </w:rPr>
        <w:t xml:space="preserve">; </w:t>
      </w:r>
    </w:p>
    <w:p w14:paraId="1933E964" w14:textId="77777777" w:rsidR="00087C6E" w:rsidRPr="003A72EE" w:rsidRDefault="00087C6E" w:rsidP="00126728">
      <w:pPr>
        <w:widowControl/>
        <w:rPr>
          <w:rFonts w:asciiTheme="minorHAnsi" w:hAnsiTheme="minorHAnsi"/>
          <w:noProof/>
          <w:lang w:val="es-ES"/>
        </w:rPr>
      </w:pPr>
    </w:p>
    <w:p w14:paraId="778D4F2E"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16.</w:t>
      </w:r>
      <w:r w:rsidRPr="003A72EE">
        <w:rPr>
          <w:rFonts w:asciiTheme="minorHAnsi" w:hAnsiTheme="minorHAnsi"/>
          <w:noProof/>
          <w:lang w:val="es-ES"/>
        </w:rPr>
        <w:tab/>
        <w:t xml:space="preserve">APRUEBA el empleo de hasta 360 000 francos suizos del excedente del presupuesto básico del trienio 2019-2021 para incrementar la provisión para contribuciones pendientes en el trienio 2023-2025; </w:t>
      </w:r>
    </w:p>
    <w:p w14:paraId="03239E36" w14:textId="77777777" w:rsidR="00087C6E" w:rsidRPr="003A72EE" w:rsidRDefault="00087C6E" w:rsidP="00126728">
      <w:pPr>
        <w:widowControl/>
        <w:rPr>
          <w:rFonts w:asciiTheme="minorHAnsi" w:hAnsiTheme="minorHAnsi"/>
          <w:noProof/>
          <w:lang w:val="es-ES"/>
        </w:rPr>
      </w:pPr>
    </w:p>
    <w:p w14:paraId="087932E5"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17.</w:t>
      </w:r>
      <w:r w:rsidRPr="003A72EE">
        <w:rPr>
          <w:rFonts w:asciiTheme="minorHAnsi" w:hAnsiTheme="minorHAnsi"/>
          <w:noProof/>
          <w:lang w:val="es-ES"/>
        </w:rPr>
        <w:tab/>
        <w:t>INSTA a las Partes Contratantes que tienen cuotas pendientes de pago que multipliquen sus esfuerzos para abonarlas a la mayor brevedad posible a fin de mejorar la sostenibilidad financiera de la Convención mediante las contribuciones de todas las Partes Contratantes;</w:t>
      </w:r>
    </w:p>
    <w:p w14:paraId="2CA2344A" w14:textId="77777777" w:rsidR="00087C6E" w:rsidRPr="003A72EE" w:rsidRDefault="00087C6E" w:rsidP="00126728">
      <w:pPr>
        <w:widowControl/>
        <w:rPr>
          <w:rFonts w:asciiTheme="minorHAnsi" w:hAnsiTheme="minorHAnsi"/>
          <w:noProof/>
          <w:lang w:val="es-ES"/>
        </w:rPr>
      </w:pPr>
    </w:p>
    <w:p w14:paraId="65BCD516"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18.</w:t>
      </w:r>
      <w:r w:rsidRPr="003A72EE">
        <w:rPr>
          <w:rFonts w:asciiTheme="minorHAnsi" w:hAnsiTheme="minorHAnsi"/>
          <w:noProof/>
          <w:lang w:val="es-ES"/>
        </w:rPr>
        <w:tab/>
        <w:t xml:space="preserve">PIDE que la Secretaría se ponga en contacto con las Partes Contratantes que tengan cuotas pendientes de pago desde hace más de tres años y les ayude a encontrar alguna solución apropiada </w:t>
      </w:r>
      <w:r w:rsidRPr="003A72EE">
        <w:rPr>
          <w:rFonts w:asciiTheme="minorHAnsi" w:hAnsiTheme="minorHAnsi"/>
          <w:noProof/>
          <w:lang w:val="es-ES"/>
        </w:rPr>
        <w:lastRenderedPageBreak/>
        <w:t>para remediar la situación y pedirles un plan de pago de sus cuotas, y que presente un informe en todas las reuniones del Comité Permanente y de la Conferencia de las Partes Contratantes sobre las medidas adoptadas al respecto y los resultados alcanzados; y CONVIENE en que el Comité Permanente siga estudiando las medidas adecuadas con respecto a las Partes que ni han pagado sus cuotas pendientes, ni han presentado un plan de pago para hacerlo;</w:t>
      </w:r>
    </w:p>
    <w:p w14:paraId="18479243" w14:textId="77777777" w:rsidR="00087C6E" w:rsidRPr="003A72EE" w:rsidRDefault="00087C6E" w:rsidP="00126728">
      <w:pPr>
        <w:widowControl/>
        <w:rPr>
          <w:rFonts w:asciiTheme="minorHAnsi" w:hAnsiTheme="minorHAnsi"/>
          <w:noProof/>
          <w:lang w:val="es-ES"/>
        </w:rPr>
      </w:pPr>
    </w:p>
    <w:p w14:paraId="0CC2C74B" w14:textId="4D58A930"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19.</w:t>
      </w:r>
      <w:r w:rsidRPr="003A72EE">
        <w:rPr>
          <w:rFonts w:asciiTheme="minorHAnsi" w:hAnsiTheme="minorHAnsi"/>
          <w:noProof/>
          <w:lang w:val="es-ES"/>
        </w:rPr>
        <w:tab/>
        <w:t>PIDE a los representantes de las regiones ante el Comité Permanente que traten con las Pa</w:t>
      </w:r>
      <w:r w:rsidR="00B71758" w:rsidRPr="003A72EE">
        <w:rPr>
          <w:rFonts w:asciiTheme="minorHAnsi" w:hAnsiTheme="minorHAnsi"/>
          <w:noProof/>
          <w:lang w:val="es-ES"/>
        </w:rPr>
        <w:t>r</w:t>
      </w:r>
      <w:r w:rsidRPr="003A72EE">
        <w:rPr>
          <w:rFonts w:asciiTheme="minorHAnsi" w:hAnsiTheme="minorHAnsi"/>
          <w:noProof/>
          <w:lang w:val="es-ES"/>
        </w:rPr>
        <w:t>tes de sus respectivas regiones el tema de las cuotas pendientes para instarlas a hallar posibles soluciones para remediar la situación;</w:t>
      </w:r>
    </w:p>
    <w:p w14:paraId="27644F81" w14:textId="77777777" w:rsidR="00087C6E" w:rsidRPr="003A72EE" w:rsidRDefault="00087C6E" w:rsidP="00126728">
      <w:pPr>
        <w:widowControl/>
        <w:rPr>
          <w:rFonts w:asciiTheme="minorHAnsi" w:hAnsiTheme="minorHAnsi"/>
          <w:noProof/>
          <w:lang w:val="es-ES"/>
        </w:rPr>
      </w:pPr>
    </w:p>
    <w:p w14:paraId="4E4AD7BC"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20.</w:t>
      </w:r>
      <w:r w:rsidRPr="003A72EE">
        <w:rPr>
          <w:rFonts w:asciiTheme="minorHAnsi" w:hAnsiTheme="minorHAnsi"/>
          <w:noProof/>
          <w:lang w:val="es-ES"/>
        </w:rPr>
        <w:tab/>
        <w:t>TOMA NOTA CON PREOCUPACIÓN de la situación de las contribuciones no básicas de las PARTES CONTRATANTES; y ALIENTA a las Partes Contratantes y otros asociados a incrementarlas;</w:t>
      </w:r>
    </w:p>
    <w:p w14:paraId="28433944" w14:textId="77777777" w:rsidR="00087C6E" w:rsidRPr="003A72EE" w:rsidRDefault="00087C6E" w:rsidP="00126728">
      <w:pPr>
        <w:widowControl/>
        <w:rPr>
          <w:rFonts w:asciiTheme="minorHAnsi" w:hAnsiTheme="minorHAnsi"/>
          <w:noProof/>
          <w:lang w:val="es-ES"/>
        </w:rPr>
      </w:pPr>
    </w:p>
    <w:p w14:paraId="35F8A3BF"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21.</w:t>
      </w:r>
      <w:r w:rsidRPr="003A72EE">
        <w:rPr>
          <w:rFonts w:asciiTheme="minorHAnsi" w:hAnsiTheme="minorHAnsi"/>
          <w:noProof/>
          <w:lang w:val="es-ES"/>
        </w:rPr>
        <w:tab/>
        <w:t>ALIENTA a las Partes Contratantes e INVITA a otros gobiernos, instituciones financieras, Organizaciones Internacionales Asociadas y otros asociados en materia de ejecución a apoyar la aplicación de la Convención de Ramsar;</w:t>
      </w:r>
    </w:p>
    <w:p w14:paraId="1EAE9926" w14:textId="77777777" w:rsidR="00087C6E" w:rsidRPr="003A72EE" w:rsidRDefault="00087C6E" w:rsidP="00126728">
      <w:pPr>
        <w:widowControl/>
        <w:rPr>
          <w:rFonts w:asciiTheme="minorHAnsi" w:hAnsiTheme="minorHAnsi"/>
          <w:noProof/>
          <w:lang w:val="es-ES"/>
        </w:rPr>
      </w:pPr>
    </w:p>
    <w:p w14:paraId="2B361A93"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22.</w:t>
      </w:r>
      <w:r w:rsidRPr="003A72EE">
        <w:rPr>
          <w:rFonts w:asciiTheme="minorHAnsi" w:hAnsiTheme="minorHAnsi"/>
          <w:noProof/>
          <w:lang w:val="es-ES"/>
        </w:rPr>
        <w:tab/>
        <w:t>TOMA NOTA del plan de trabajo para la movilización de recursos para la Convención aprobado por el Comité Permanente y PIDE a la Secretaría que lo actualice a fin de que refleje las prioridades identificadas por las Partes Contratantes en la COP14 y que lo presente al Comité Permanente en su 62ª reunión para su examen;</w:t>
      </w:r>
    </w:p>
    <w:p w14:paraId="55A65616" w14:textId="77777777" w:rsidR="00087C6E" w:rsidRPr="003A72EE" w:rsidRDefault="00087C6E" w:rsidP="00126728">
      <w:pPr>
        <w:pStyle w:val="ListParagraph"/>
        <w:widowControl/>
        <w:ind w:left="425"/>
        <w:rPr>
          <w:rFonts w:asciiTheme="minorHAnsi" w:hAnsiTheme="minorHAnsi"/>
          <w:noProof/>
          <w:lang w:val="es-ES"/>
        </w:rPr>
      </w:pPr>
    </w:p>
    <w:p w14:paraId="69417E47"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23.</w:t>
      </w:r>
      <w:r w:rsidRPr="003A72EE">
        <w:rPr>
          <w:rFonts w:asciiTheme="minorHAnsi" w:hAnsiTheme="minorHAnsi"/>
          <w:noProof/>
          <w:lang w:val="es-ES"/>
        </w:rPr>
        <w:tab/>
        <w:t>TOMA NOTA CON RECONOCIMIENTO de la armonización de la gestión de los fondos no básicos por la Secretaría con las políticas y procedimientos de la Unión Internacional para la Conservación de la Naturaleza (UICN) al respecto;</w:t>
      </w:r>
    </w:p>
    <w:p w14:paraId="10966667" w14:textId="77777777" w:rsidR="00087C6E" w:rsidRPr="003A72EE" w:rsidRDefault="00087C6E" w:rsidP="00126728">
      <w:pPr>
        <w:widowControl/>
        <w:rPr>
          <w:rFonts w:asciiTheme="minorHAnsi" w:hAnsiTheme="minorHAnsi"/>
          <w:noProof/>
          <w:lang w:val="es-ES"/>
        </w:rPr>
      </w:pPr>
    </w:p>
    <w:p w14:paraId="74E33383" w14:textId="77777777" w:rsidR="00087C6E" w:rsidRPr="003A72EE" w:rsidRDefault="00087C6E" w:rsidP="00126728">
      <w:pPr>
        <w:widowControl/>
        <w:rPr>
          <w:rFonts w:asciiTheme="minorHAnsi" w:hAnsiTheme="minorHAnsi"/>
          <w:i/>
          <w:noProof/>
          <w:lang w:val="es-ES"/>
        </w:rPr>
      </w:pPr>
      <w:r w:rsidRPr="003A72EE">
        <w:rPr>
          <w:rFonts w:asciiTheme="minorHAnsi" w:hAnsiTheme="minorHAnsi"/>
          <w:noProof/>
          <w:lang w:val="es-ES"/>
        </w:rPr>
        <w:t>24.</w:t>
      </w:r>
      <w:r w:rsidRPr="003A72EE">
        <w:rPr>
          <w:rFonts w:asciiTheme="minorHAnsi" w:hAnsiTheme="minorHAnsi"/>
          <w:noProof/>
          <w:lang w:val="es-ES"/>
        </w:rPr>
        <w:tab/>
        <w:t xml:space="preserve">PIDE a la Secretaría que proporcione anualmente a las iniciativas regionales de Ramsar (IRR) de África el saldo disponible del Fondo Africano de Contribuciones Voluntarias; e INVITA a dichas IRR a que, en sus informes, presenten a la Secretaría solicitudes para tener acceso a los fondos disponibles de conformidad con las disposiciones de la Resolución 14.xx sobre </w:t>
      </w:r>
      <w:r w:rsidRPr="003A72EE">
        <w:rPr>
          <w:rFonts w:asciiTheme="minorHAnsi" w:hAnsiTheme="minorHAnsi"/>
          <w:i/>
          <w:noProof/>
          <w:lang w:val="es-ES"/>
        </w:rPr>
        <w:t>Iniciativas regionales de Ramsar para 2023-2025</w:t>
      </w:r>
      <w:r w:rsidRPr="003A72EE">
        <w:rPr>
          <w:rFonts w:asciiTheme="minorHAnsi" w:hAnsiTheme="minorHAnsi"/>
          <w:noProof/>
          <w:lang w:val="es-ES"/>
        </w:rPr>
        <w:t>;</w:t>
      </w:r>
    </w:p>
    <w:p w14:paraId="4B3C2E56" w14:textId="77777777" w:rsidR="00087C6E" w:rsidRPr="003A72EE" w:rsidRDefault="00087C6E" w:rsidP="00126728">
      <w:pPr>
        <w:widowControl/>
        <w:rPr>
          <w:rFonts w:asciiTheme="minorHAnsi" w:hAnsiTheme="minorHAnsi"/>
          <w:noProof/>
          <w:lang w:val="es-ES"/>
        </w:rPr>
      </w:pPr>
    </w:p>
    <w:p w14:paraId="5ECA7BEC"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25.</w:t>
      </w:r>
      <w:r w:rsidRPr="003A72EE">
        <w:rPr>
          <w:rFonts w:asciiTheme="minorHAnsi" w:hAnsiTheme="minorHAnsi"/>
          <w:noProof/>
          <w:lang w:val="es-ES"/>
        </w:rPr>
        <w:tab/>
        <w:t>PIDE a los representantes regionales de África en el Comité Permanente que decidan la utilización de esos fondos, mencionados en el párrafo 24 de la presente Resolución, basándose en las solicitudes presentadas por las IRR, y que informen debidamente a la Secretaría;</w:t>
      </w:r>
    </w:p>
    <w:p w14:paraId="1900EF0B" w14:textId="77777777" w:rsidR="00087C6E" w:rsidRPr="003A72EE" w:rsidRDefault="00087C6E" w:rsidP="00126728">
      <w:pPr>
        <w:widowControl/>
        <w:rPr>
          <w:rFonts w:asciiTheme="minorHAnsi" w:hAnsiTheme="minorHAnsi"/>
          <w:noProof/>
          <w:lang w:val="es-ES"/>
        </w:rPr>
      </w:pPr>
    </w:p>
    <w:p w14:paraId="53DF3876"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26.</w:t>
      </w:r>
      <w:r w:rsidRPr="003A72EE">
        <w:rPr>
          <w:rFonts w:asciiTheme="minorHAnsi" w:hAnsiTheme="minorHAnsi"/>
          <w:noProof/>
          <w:lang w:val="es-ES"/>
        </w:rPr>
        <w:tab/>
        <w:t>REAFIRMA la decisión aprobada por la 13ª reunión de la Conferencia de las Partes Contratantes, en la que se pidió a la Secretaría que, en el contexto del marco jurídico y el mandato vigentes, preste asistencia, según proceda, a las Partes Contratantes en la administración de los proyectos financiados con cargo a recursos complementarios, incluyendo la recaudación eficaz de fondos para iniciativas regionales, entre otros; y se pidió asimismo al personal de la Secretaría indicado en el Anexo 3, cuyo costo se financia con cargo al presupuesto básico, que no participe en la gestión corriente de los proyectos financiados con cargo a recursos complementarios, ya que esta función competería a personal de la Secretaría financiado con cargo a los recursos complementarios destinados específicamente a ese fin;</w:t>
      </w:r>
    </w:p>
    <w:p w14:paraId="3585DAF0" w14:textId="77777777" w:rsidR="00087C6E" w:rsidRPr="003A72EE" w:rsidRDefault="00087C6E" w:rsidP="00126728">
      <w:pPr>
        <w:widowControl/>
        <w:rPr>
          <w:rFonts w:asciiTheme="minorHAnsi" w:hAnsiTheme="minorHAnsi"/>
          <w:noProof/>
          <w:lang w:val="es-ES"/>
        </w:rPr>
      </w:pPr>
    </w:p>
    <w:p w14:paraId="6B2CFB62"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27.</w:t>
      </w:r>
      <w:r w:rsidRPr="003A72EE">
        <w:rPr>
          <w:rFonts w:asciiTheme="minorHAnsi" w:hAnsiTheme="minorHAnsi"/>
          <w:noProof/>
          <w:lang w:val="es-ES"/>
        </w:rPr>
        <w:tab/>
        <w:t xml:space="preserve">AUTORIZA al Comité Permanente a que, con el asesoramiento de su Subgrupo de Finanzas, transfiera las asignaciones entre partidas del presupuesto básico según sea necesario, teniendo en cuenta las variaciones significativas, positivas o negativas, durante el trienio, de los costos, las tasas de inflación y los ingresos por intereses y por impuestos previstos en el presupuesto, sin incrementar </w:t>
      </w:r>
      <w:r w:rsidRPr="003A72EE">
        <w:rPr>
          <w:rFonts w:asciiTheme="minorHAnsi" w:hAnsiTheme="minorHAnsi"/>
          <w:noProof/>
          <w:lang w:val="es-ES"/>
        </w:rPr>
        <w:lastRenderedPageBreak/>
        <w:t>las cuotas de las Partes y sin aumentar los montos pagados a la UICN por encima del nivel máximo del 13 % del presupuesto;</w:t>
      </w:r>
    </w:p>
    <w:p w14:paraId="37B4C268" w14:textId="77777777" w:rsidR="00087C6E" w:rsidRPr="003A72EE" w:rsidRDefault="00087C6E" w:rsidP="00126728">
      <w:pPr>
        <w:widowControl/>
        <w:rPr>
          <w:rFonts w:asciiTheme="minorHAnsi" w:hAnsiTheme="minorHAnsi"/>
          <w:noProof/>
          <w:lang w:val="es-ES"/>
        </w:rPr>
      </w:pPr>
    </w:p>
    <w:p w14:paraId="2C92E786"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28.</w:t>
      </w:r>
      <w:r w:rsidRPr="003A72EE">
        <w:rPr>
          <w:rFonts w:asciiTheme="minorHAnsi" w:hAnsiTheme="minorHAnsi"/>
          <w:noProof/>
          <w:lang w:val="es-ES"/>
        </w:rPr>
        <w:tab/>
        <w:t>RECONOCE las ventajas de que haya flexibilidad en las partidas presupuestarias para viajes a fin de cumplir el plan de trabajo de la Secretaría para el trienio y REAFIRMA la decisión aprobada por la 13ª reunión de la Conferencia de las Partes Contratantes, en la que se autoriza al Secretario o la Secretaria General a transferir recursos entre partidas presupuestarias para viajes, asegurándose de que se informe al Subgrupo de Finanzas y de que se presente un informe al respecto al Comité Permanente en su siguiente reunión;</w:t>
      </w:r>
    </w:p>
    <w:p w14:paraId="1AC8CE0F" w14:textId="77777777" w:rsidR="00087C6E" w:rsidRPr="003A72EE" w:rsidRDefault="00087C6E" w:rsidP="00126728">
      <w:pPr>
        <w:pStyle w:val="ListParagraph"/>
        <w:widowControl/>
        <w:ind w:left="425"/>
        <w:rPr>
          <w:rFonts w:asciiTheme="minorHAnsi" w:hAnsiTheme="minorHAnsi"/>
          <w:noProof/>
          <w:lang w:val="es-ES"/>
        </w:rPr>
      </w:pPr>
    </w:p>
    <w:p w14:paraId="2495C8C7"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29.</w:t>
      </w:r>
      <w:r w:rsidRPr="003A72EE">
        <w:rPr>
          <w:rFonts w:asciiTheme="minorHAnsi" w:hAnsiTheme="minorHAnsi"/>
          <w:noProof/>
          <w:lang w:val="es-ES"/>
        </w:rPr>
        <w:tab/>
        <w:t>DECIDE que la contribución de cada Parte Contratante al presupuesto básico debería calcularse sobre la base de la última escala de cuotas aprobada por la Asamblea General de las Naciones Unidas para determinar la contribución de los Estados Miembros al presupuesto de las Naciones Unidas, salvo en el caso de aquellas Partes Contratantes cuya contribución anual al presupuesto básico de la Convención de Ramsar, según esa escala de cuotas, resultase inferior a 1 000 francos suizos, en cuyo caso la contribución anual será por esa cuantía. Las estimaciones de las contribuciones al presupuesto básico para el trienio 2023-2025 se presentan en el Anexo 2 de la presente Resolución;</w:t>
      </w:r>
    </w:p>
    <w:p w14:paraId="21443E08" w14:textId="77777777" w:rsidR="00087C6E" w:rsidRPr="003A72EE" w:rsidRDefault="00087C6E" w:rsidP="00126728">
      <w:pPr>
        <w:widowControl/>
        <w:rPr>
          <w:rFonts w:asciiTheme="minorHAnsi" w:hAnsiTheme="minorHAnsi"/>
          <w:noProof/>
          <w:lang w:val="es-ES"/>
        </w:rPr>
      </w:pPr>
    </w:p>
    <w:p w14:paraId="520C742C" w14:textId="77777777" w:rsidR="00087C6E" w:rsidRPr="003A72EE" w:rsidRDefault="00087C6E" w:rsidP="00126728">
      <w:pPr>
        <w:widowControl/>
        <w:rPr>
          <w:rFonts w:asciiTheme="minorHAnsi" w:hAnsiTheme="minorHAnsi"/>
          <w:noProof/>
          <w:lang w:val="es-ES"/>
        </w:rPr>
      </w:pPr>
      <w:bookmarkStart w:id="0" w:name="OLE_LINK6"/>
      <w:r w:rsidRPr="003A72EE">
        <w:rPr>
          <w:rFonts w:asciiTheme="minorHAnsi" w:hAnsiTheme="minorHAnsi"/>
          <w:noProof/>
          <w:lang w:val="es-ES"/>
        </w:rPr>
        <w:t>30.</w:t>
      </w:r>
      <w:r w:rsidRPr="003A72EE">
        <w:rPr>
          <w:rFonts w:asciiTheme="minorHAnsi" w:hAnsiTheme="minorHAnsi"/>
          <w:noProof/>
          <w:lang w:val="es-ES"/>
        </w:rPr>
        <w:tab/>
        <w:t>INSTA a todas las Partes Contratantes a que abonen sus cuotas con puntualidad antes del 1 de enero de cada año o, después de esa fecha, tan pronto como lo permita el ciclo presupuestario del país;</w:t>
      </w:r>
    </w:p>
    <w:p w14:paraId="42D1AFD3" w14:textId="77777777" w:rsidR="00087C6E" w:rsidRPr="003A72EE" w:rsidRDefault="00087C6E" w:rsidP="00126728">
      <w:pPr>
        <w:widowControl/>
        <w:rPr>
          <w:rFonts w:asciiTheme="minorHAnsi" w:hAnsiTheme="minorHAnsi"/>
          <w:noProof/>
          <w:lang w:val="es-ES"/>
        </w:rPr>
      </w:pPr>
    </w:p>
    <w:bookmarkEnd w:id="0"/>
    <w:p w14:paraId="01530474"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31.</w:t>
      </w:r>
      <w:r w:rsidRPr="003A72EE">
        <w:rPr>
          <w:rFonts w:asciiTheme="minorHAnsi" w:hAnsiTheme="minorHAnsi"/>
          <w:noProof/>
          <w:lang w:val="es-ES"/>
        </w:rPr>
        <w:tab/>
        <w:t>AGRADECE a los Gobiernos de Alemania, los Estados Unidos de América, la Federación de Rusia, Finlandia y Noruega, así como a Danone y la Nagao Natural Environment Foundation, sus contribuciones voluntarias a las actividades no financiadas con cargo al presupuesto básico;</w:t>
      </w:r>
    </w:p>
    <w:p w14:paraId="68DE7E9A" w14:textId="77777777" w:rsidR="00087C6E" w:rsidRPr="003A72EE" w:rsidRDefault="00087C6E" w:rsidP="00126728">
      <w:pPr>
        <w:widowControl/>
        <w:rPr>
          <w:rFonts w:asciiTheme="minorHAnsi" w:hAnsiTheme="minorHAnsi"/>
          <w:noProof/>
          <w:lang w:val="es-ES"/>
        </w:rPr>
      </w:pPr>
    </w:p>
    <w:p w14:paraId="3AABB715"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32.</w:t>
      </w:r>
      <w:r w:rsidRPr="003A72EE">
        <w:rPr>
          <w:rFonts w:asciiTheme="minorHAnsi" w:hAnsiTheme="minorHAnsi"/>
          <w:noProof/>
          <w:lang w:val="es-ES"/>
        </w:rPr>
        <w:tab/>
        <w:t xml:space="preserve">REAFIRMA la decisión adoptada en la 11ª reunión de la Conferencia de las Partes Contratantes (en la Resolución XI.2 sobre </w:t>
      </w:r>
      <w:r w:rsidRPr="003A72EE">
        <w:rPr>
          <w:rFonts w:asciiTheme="minorHAnsi" w:hAnsiTheme="minorHAnsi"/>
          <w:i/>
          <w:noProof/>
          <w:lang w:val="es-ES"/>
        </w:rPr>
        <w:t>Cuestiones financieras y presupuestarias</w:t>
      </w:r>
      <w:r w:rsidRPr="003A72EE">
        <w:rPr>
          <w:rFonts w:asciiTheme="minorHAnsi" w:hAnsiTheme="minorHAnsi"/>
          <w:noProof/>
          <w:lang w:val="es-ES"/>
        </w:rPr>
        <w:t xml:space="preserve">) de que el Fondo de Reserva: </w:t>
      </w:r>
    </w:p>
    <w:p w14:paraId="689B7D77" w14:textId="77777777" w:rsidR="00087C6E" w:rsidRPr="003A72EE" w:rsidRDefault="00087C6E" w:rsidP="00126728">
      <w:pPr>
        <w:widowControl/>
        <w:rPr>
          <w:rFonts w:asciiTheme="minorHAnsi" w:hAnsiTheme="minorHAnsi"/>
          <w:noProof/>
          <w:lang w:val="es-ES"/>
        </w:rPr>
      </w:pPr>
    </w:p>
    <w:p w14:paraId="30291A18" w14:textId="77777777" w:rsidR="00087C6E" w:rsidRPr="003A72EE" w:rsidRDefault="00087C6E" w:rsidP="00126728">
      <w:pPr>
        <w:pStyle w:val="MGfulltext"/>
        <w:numPr>
          <w:ilvl w:val="0"/>
          <w:numId w:val="8"/>
        </w:numPr>
        <w:spacing w:after="0"/>
        <w:ind w:left="851" w:hanging="425"/>
        <w:rPr>
          <w:rFonts w:asciiTheme="minorHAnsi" w:eastAsia="Batang" w:hAnsiTheme="minorHAnsi"/>
          <w:noProof/>
          <w:sz w:val="22"/>
          <w:lang w:val="es-ES"/>
        </w:rPr>
      </w:pPr>
      <w:r w:rsidRPr="003A72EE">
        <w:rPr>
          <w:rFonts w:asciiTheme="minorHAnsi" w:hAnsiTheme="minorHAnsi"/>
          <w:noProof/>
          <w:sz w:val="22"/>
          <w:lang w:val="es-ES"/>
        </w:rPr>
        <w:t>es una provisión que se utiliza para cubrir gastos imprevistos e inevitables</w:t>
      </w:r>
      <w:r w:rsidRPr="003A72EE">
        <w:rPr>
          <w:rFonts w:asciiTheme="minorHAnsi" w:eastAsia="Batang" w:hAnsiTheme="minorHAnsi"/>
          <w:noProof/>
          <w:sz w:val="22"/>
          <w:lang w:val="es-ES"/>
        </w:rPr>
        <w:t>;</w:t>
      </w:r>
    </w:p>
    <w:p w14:paraId="33DAD8B8" w14:textId="77777777" w:rsidR="00087C6E" w:rsidRPr="003A72EE" w:rsidRDefault="00087C6E" w:rsidP="00126728">
      <w:pPr>
        <w:pStyle w:val="MGfulltext"/>
        <w:numPr>
          <w:ilvl w:val="0"/>
          <w:numId w:val="8"/>
        </w:numPr>
        <w:spacing w:after="0"/>
        <w:ind w:left="851" w:hanging="425"/>
        <w:rPr>
          <w:rFonts w:asciiTheme="minorHAnsi" w:eastAsia="Batang" w:hAnsiTheme="minorHAnsi"/>
          <w:noProof/>
          <w:sz w:val="22"/>
          <w:lang w:val="es-ES"/>
        </w:rPr>
      </w:pPr>
      <w:r w:rsidRPr="003A72EE">
        <w:rPr>
          <w:rFonts w:asciiTheme="minorHAnsi" w:hAnsiTheme="minorHAnsi"/>
          <w:noProof/>
          <w:sz w:val="22"/>
          <w:lang w:val="es-ES"/>
        </w:rPr>
        <w:t>recibe los excedentes (o déficits) del presupuesto básico trienal</w:t>
      </w:r>
      <w:r w:rsidRPr="003A72EE">
        <w:rPr>
          <w:rFonts w:asciiTheme="minorHAnsi" w:eastAsia="Batang" w:hAnsiTheme="minorHAnsi"/>
          <w:noProof/>
          <w:sz w:val="22"/>
          <w:lang w:val="es-ES"/>
        </w:rPr>
        <w:t>;</w:t>
      </w:r>
    </w:p>
    <w:p w14:paraId="6DB8E80D" w14:textId="77777777" w:rsidR="00087C6E" w:rsidRPr="003A72EE" w:rsidRDefault="00087C6E" w:rsidP="00126728">
      <w:pPr>
        <w:pStyle w:val="MGfulltext"/>
        <w:numPr>
          <w:ilvl w:val="0"/>
          <w:numId w:val="8"/>
        </w:numPr>
        <w:spacing w:after="0"/>
        <w:ind w:left="851" w:hanging="425"/>
        <w:rPr>
          <w:rFonts w:asciiTheme="minorHAnsi" w:eastAsia="Batang" w:hAnsiTheme="minorHAnsi"/>
          <w:noProof/>
          <w:sz w:val="22"/>
          <w:lang w:val="es-ES"/>
        </w:rPr>
      </w:pPr>
      <w:r w:rsidRPr="003A72EE">
        <w:rPr>
          <w:rFonts w:asciiTheme="minorHAnsi" w:hAnsiTheme="minorHAnsi"/>
          <w:noProof/>
          <w:sz w:val="22"/>
          <w:lang w:val="es-ES"/>
        </w:rPr>
        <w:t>no debe ser inferior al 6 % ni superior al 15 % del presupuesto básico anual de la Convención</w:t>
      </w:r>
      <w:r w:rsidRPr="003A72EE">
        <w:rPr>
          <w:rFonts w:asciiTheme="minorHAnsi" w:eastAsia="Batang" w:hAnsiTheme="minorHAnsi"/>
          <w:noProof/>
          <w:sz w:val="22"/>
          <w:lang w:val="es-ES"/>
        </w:rPr>
        <w:t>;</w:t>
      </w:r>
      <w:r w:rsidRPr="003A72EE">
        <w:rPr>
          <w:rFonts w:asciiTheme="minorHAnsi" w:eastAsia="Batang" w:hAnsiTheme="minorHAnsi" w:cs="Times New Roman"/>
          <w:noProof/>
          <w:sz w:val="22"/>
          <w:szCs w:val="22"/>
          <w:lang w:val="es-ES"/>
        </w:rPr>
        <w:t xml:space="preserve"> y</w:t>
      </w:r>
    </w:p>
    <w:p w14:paraId="69AB396D" w14:textId="77777777" w:rsidR="00087C6E" w:rsidRPr="003A72EE" w:rsidRDefault="00087C6E" w:rsidP="00126728">
      <w:pPr>
        <w:pStyle w:val="MGfulltext"/>
        <w:numPr>
          <w:ilvl w:val="0"/>
          <w:numId w:val="8"/>
        </w:numPr>
        <w:spacing w:after="0"/>
        <w:ind w:left="851" w:hanging="425"/>
        <w:rPr>
          <w:rFonts w:asciiTheme="minorHAnsi" w:eastAsia="Batang" w:hAnsiTheme="minorHAnsi"/>
          <w:noProof/>
          <w:sz w:val="22"/>
          <w:lang w:val="es-ES"/>
        </w:rPr>
      </w:pPr>
      <w:r w:rsidRPr="003A72EE">
        <w:rPr>
          <w:rFonts w:asciiTheme="minorHAnsi" w:hAnsiTheme="minorHAnsi"/>
          <w:noProof/>
          <w:sz w:val="22"/>
          <w:lang w:val="es-ES"/>
        </w:rPr>
        <w:t>debería ser administrado por el Secretario o la Secretaria General con la aprobación del Subgrupo de Finanzas establecido por el Comité Permanente</w:t>
      </w:r>
      <w:r w:rsidRPr="003A72EE">
        <w:rPr>
          <w:rFonts w:asciiTheme="minorHAnsi" w:eastAsia="Batang" w:hAnsiTheme="minorHAnsi"/>
          <w:noProof/>
          <w:sz w:val="22"/>
          <w:lang w:val="es-ES"/>
        </w:rPr>
        <w:t>;</w:t>
      </w:r>
    </w:p>
    <w:p w14:paraId="68C6EA6E" w14:textId="77777777" w:rsidR="00087C6E" w:rsidRPr="003A72EE" w:rsidRDefault="00087C6E" w:rsidP="00126728">
      <w:pPr>
        <w:widowControl/>
        <w:ind w:left="426" w:hanging="426"/>
        <w:rPr>
          <w:rFonts w:asciiTheme="minorHAnsi" w:hAnsiTheme="minorHAnsi"/>
          <w:noProof/>
          <w:lang w:val="es-ES"/>
        </w:rPr>
      </w:pPr>
    </w:p>
    <w:p w14:paraId="321C6404"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33.</w:t>
      </w:r>
      <w:r w:rsidRPr="003A72EE">
        <w:rPr>
          <w:rFonts w:asciiTheme="minorHAnsi" w:hAnsiTheme="minorHAnsi"/>
          <w:noProof/>
          <w:lang w:val="es-ES"/>
        </w:rPr>
        <w:tab/>
        <w:t xml:space="preserve">PIDE a la Secretaría que trate de mantener el Fondo de Reserva durante el trienio 2023-2025 y presente un informe anual al Comité Permanente sobre la situación de este, y solicite la aprobación previa del Subgrupo de Finanzas para cualquier utilización del Fondo; </w:t>
      </w:r>
    </w:p>
    <w:p w14:paraId="0635B011" w14:textId="77777777" w:rsidR="00087C6E" w:rsidRPr="003A72EE" w:rsidRDefault="00087C6E" w:rsidP="00126728">
      <w:pPr>
        <w:widowControl/>
        <w:rPr>
          <w:rFonts w:asciiTheme="minorHAnsi" w:hAnsiTheme="minorHAnsi"/>
          <w:noProof/>
          <w:lang w:val="es-ES"/>
        </w:rPr>
      </w:pPr>
    </w:p>
    <w:p w14:paraId="54B04202"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34.</w:t>
      </w:r>
      <w:r w:rsidRPr="003A72EE">
        <w:rPr>
          <w:rFonts w:asciiTheme="minorHAnsi" w:hAnsiTheme="minorHAnsi"/>
          <w:noProof/>
          <w:lang w:val="es-ES"/>
        </w:rPr>
        <w:tab/>
        <w:t xml:space="preserve">REAFIRMA la decisión aprobada por la 13ª reunión de la Conferencia de las Partes Contratantes, (en la Resolución XII.2 sobre </w:t>
      </w:r>
      <w:r w:rsidRPr="003A72EE">
        <w:rPr>
          <w:rFonts w:asciiTheme="minorHAnsi" w:hAnsiTheme="minorHAnsi"/>
          <w:i/>
          <w:noProof/>
          <w:lang w:val="es-ES"/>
        </w:rPr>
        <w:t>Cuestiones financieras y presupuestarias</w:t>
      </w:r>
      <w:r w:rsidRPr="003A72EE">
        <w:rPr>
          <w:rFonts w:asciiTheme="minorHAnsi" w:hAnsiTheme="minorHAnsi"/>
          <w:noProof/>
          <w:lang w:val="es-ES"/>
        </w:rPr>
        <w:t xml:space="preserve">) en la que se autoriza al Secretario o la Secretaria General a que, de conformidad con las normas de la UICN, ajuste los niveles y la cantidad de personal, así como la estructura de la Secretaría, según figura en el Anexo 3 de la presente Resolución, siempre que los ajustes no excedan los costos indicados y se realicen de conformidad con la </w:t>
      </w:r>
      <w:r w:rsidRPr="003A72EE">
        <w:rPr>
          <w:rFonts w:asciiTheme="minorHAnsi" w:hAnsiTheme="minorHAnsi"/>
          <w:i/>
          <w:noProof/>
          <w:lang w:val="es-ES"/>
        </w:rPr>
        <w:t>Delegación de Autoridad al Secretario General de la Convención sobre los Humedales y su Nota Complementaria</w:t>
      </w:r>
      <w:r w:rsidRPr="003A72EE">
        <w:rPr>
          <w:rFonts w:asciiTheme="minorHAnsi" w:hAnsiTheme="minorHAnsi"/>
          <w:noProof/>
          <w:lang w:val="es-ES"/>
        </w:rPr>
        <w:t>, ambas de 1993;</w:t>
      </w:r>
    </w:p>
    <w:p w14:paraId="08E12BA9" w14:textId="77777777" w:rsidR="00087C6E" w:rsidRPr="003A72EE" w:rsidRDefault="00087C6E" w:rsidP="00126728">
      <w:pPr>
        <w:widowControl/>
        <w:rPr>
          <w:rFonts w:asciiTheme="minorHAnsi" w:hAnsiTheme="minorHAnsi"/>
          <w:noProof/>
          <w:lang w:val="es-ES"/>
        </w:rPr>
      </w:pPr>
    </w:p>
    <w:p w14:paraId="41549935"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lastRenderedPageBreak/>
        <w:t>35.</w:t>
      </w:r>
      <w:r w:rsidRPr="003A72EE">
        <w:rPr>
          <w:rFonts w:asciiTheme="minorHAnsi" w:hAnsiTheme="minorHAnsi"/>
          <w:noProof/>
          <w:lang w:val="es-ES"/>
        </w:rPr>
        <w:tab/>
        <w:t>OBSERVA con reconocimiento la transparencia y la rendición de cuentas con relación a las operaciones de la Secretaría que la Secretaria General ha fomentado durante el último trienio; y OBSERVA, como medio para intensificar aún más dichos esfuerzos, que la Secretaría ha establecido una sección específica del sitio web de la Convención para publicar información que garantice la transparencia y la rendición de cuentas, incluidos, entre otras cosas, los informes de auditoría finalizados y aceptados, las normas y los reglamentos financieros, los informes anuales del Secretario General al Comité Permanente, los procedimientos para establecer acuerdos con el sector privado, y los materiales relacionados con los códigos de conducta y la ética profesional del personal, la delegación de autoridad de 1993 y su nota complementaria, las políticas de lucha contra el fraude, las políticas de lucha contra el acoso, las reglas y medidas de protección con relación a los lanzadores de alertas, las políticas en materia de conflicto de intereses, las políticas de equidad e igualdad de género, así como cualquier otra información pertinente; y PIDE a la Secretaría que prosiga sus esfuerzos en este sentido en 2023-2025;</w:t>
      </w:r>
    </w:p>
    <w:p w14:paraId="6586638A" w14:textId="77777777" w:rsidR="00087C6E" w:rsidRPr="003A72EE" w:rsidRDefault="00087C6E" w:rsidP="00126728">
      <w:pPr>
        <w:widowControl/>
        <w:rPr>
          <w:rFonts w:asciiTheme="minorHAnsi" w:hAnsiTheme="minorHAnsi"/>
          <w:noProof/>
          <w:lang w:val="es-ES"/>
        </w:rPr>
      </w:pPr>
      <w:bookmarkStart w:id="1" w:name="_GoBack"/>
      <w:bookmarkEnd w:id="1"/>
    </w:p>
    <w:p w14:paraId="6FA58470" w14:textId="77777777" w:rsidR="00087C6E" w:rsidRPr="003A72EE" w:rsidRDefault="00087C6E" w:rsidP="00126728">
      <w:pPr>
        <w:widowControl/>
        <w:rPr>
          <w:rFonts w:asciiTheme="minorHAnsi" w:hAnsiTheme="minorHAnsi"/>
          <w:noProof/>
          <w:lang w:val="es-ES"/>
        </w:rPr>
      </w:pPr>
      <w:r w:rsidRPr="003A72EE">
        <w:rPr>
          <w:rFonts w:asciiTheme="minorHAnsi" w:hAnsiTheme="minorHAnsi"/>
          <w:noProof/>
          <w:lang w:val="es-ES"/>
        </w:rPr>
        <w:t>36.</w:t>
      </w:r>
      <w:r w:rsidRPr="003A72EE">
        <w:rPr>
          <w:rFonts w:asciiTheme="minorHAnsi" w:hAnsiTheme="minorHAnsi"/>
          <w:noProof/>
          <w:lang w:val="es-ES"/>
        </w:rPr>
        <w:tab/>
        <w:t>PIDE a la Secretaría que considere a las Partes Contratantes que figuren en la lista de Pequeños Estados insulares en desarrollo (SIDS, por sus siglas en inglés) de la Conferencia de las Naciones Unidas sobre Comercio y Desarrollo como candidatos para que el desplazamiento de sus delegados sea patrocinado, sin tener en cuenta si están clasificados formalmente como tales, por razones económicas, en la lista del Comité de Ayuda al Desarrollo (CAD) de la OCDE; y</w:t>
      </w:r>
    </w:p>
    <w:p w14:paraId="3BD6BEB0" w14:textId="77777777" w:rsidR="00087C6E" w:rsidRPr="003A72EE" w:rsidRDefault="00087C6E" w:rsidP="00126728">
      <w:pPr>
        <w:widowControl/>
        <w:rPr>
          <w:rFonts w:asciiTheme="minorHAnsi" w:hAnsiTheme="minorHAnsi"/>
          <w:noProof/>
          <w:lang w:val="es-ES"/>
        </w:rPr>
      </w:pPr>
    </w:p>
    <w:p w14:paraId="5A7ADF02" w14:textId="7D2E4670" w:rsidR="00356EEC" w:rsidRPr="003A72EE" w:rsidRDefault="00087C6E" w:rsidP="00126728">
      <w:pPr>
        <w:widowControl/>
        <w:rPr>
          <w:rFonts w:asciiTheme="minorHAnsi" w:hAnsiTheme="minorHAnsi"/>
          <w:i/>
          <w:noProof/>
          <w:lang w:val="es-ES"/>
        </w:rPr>
      </w:pPr>
      <w:r w:rsidRPr="003A72EE">
        <w:rPr>
          <w:rFonts w:asciiTheme="minorHAnsi" w:hAnsiTheme="minorHAnsi"/>
          <w:noProof/>
          <w:lang w:val="es-ES"/>
        </w:rPr>
        <w:t>37.</w:t>
      </w:r>
      <w:r w:rsidRPr="003A72EE">
        <w:rPr>
          <w:rFonts w:asciiTheme="minorHAnsi" w:hAnsiTheme="minorHAnsi"/>
          <w:noProof/>
          <w:lang w:val="es-ES"/>
        </w:rPr>
        <w:tab/>
        <w:t>CONFIRMA que la presente Resolución y sus anexos reemplazan a la Resolución XIII.2 sobre</w:t>
      </w:r>
      <w:r w:rsidRPr="003A72EE">
        <w:rPr>
          <w:rFonts w:asciiTheme="minorHAnsi" w:hAnsiTheme="minorHAnsi"/>
          <w:i/>
          <w:noProof/>
          <w:lang w:val="es-ES"/>
        </w:rPr>
        <w:t xml:space="preserve"> Cuestiones financieras y presupuestarias</w:t>
      </w:r>
      <w:r w:rsidRPr="003A72EE">
        <w:rPr>
          <w:rFonts w:asciiTheme="minorHAnsi" w:hAnsiTheme="minorHAnsi"/>
          <w:iCs/>
          <w:noProof/>
          <w:lang w:val="es-ES"/>
        </w:rPr>
        <w:t>,</w:t>
      </w:r>
      <w:r w:rsidRPr="003A72EE">
        <w:rPr>
          <w:rFonts w:asciiTheme="minorHAnsi" w:eastAsia="Batang" w:hAnsiTheme="minorHAnsi"/>
          <w:iCs/>
          <w:noProof/>
          <w:lang w:val="es-ES"/>
        </w:rPr>
        <w:t xml:space="preserve"> a la Resolución ExCOP3.2 sobre </w:t>
      </w:r>
      <w:r w:rsidRPr="003A72EE">
        <w:rPr>
          <w:i/>
          <w:noProof/>
          <w:lang w:val="es-ES"/>
        </w:rPr>
        <w:t xml:space="preserve">Cuestiones </w:t>
      </w:r>
      <w:r w:rsidRPr="003A72EE">
        <w:rPr>
          <w:rFonts w:asciiTheme="minorHAnsi" w:eastAsia="Batang" w:hAnsiTheme="minorHAnsi"/>
          <w:i/>
          <w:noProof/>
          <w:lang w:val="es-ES"/>
        </w:rPr>
        <w:t>financieras y presupuestarias: presupuesto básico de la Convención sobre los Humedales para 2022</w:t>
      </w:r>
      <w:r w:rsidRPr="003A72EE">
        <w:rPr>
          <w:rFonts w:asciiTheme="minorHAnsi" w:hAnsiTheme="minorHAnsi"/>
          <w:noProof/>
          <w:lang w:val="es-ES"/>
        </w:rPr>
        <w:t xml:space="preserve"> y al párrafo 11.a de la Resolución VI.17 sobre </w:t>
      </w:r>
      <w:r w:rsidRPr="003A72EE">
        <w:rPr>
          <w:rFonts w:asciiTheme="minorHAnsi" w:hAnsiTheme="minorHAnsi"/>
          <w:i/>
          <w:noProof/>
          <w:lang w:val="es-ES"/>
        </w:rPr>
        <w:t>Asuntos financieros y presupuestarios.</w:t>
      </w:r>
    </w:p>
    <w:sectPr w:rsidR="00356EEC" w:rsidRPr="003A72EE" w:rsidSect="00595B92">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10F81" w14:textId="77777777" w:rsidR="008633C5" w:rsidRDefault="008633C5" w:rsidP="00A50555">
      <w:r>
        <w:separator/>
      </w:r>
    </w:p>
  </w:endnote>
  <w:endnote w:type="continuationSeparator" w:id="0">
    <w:p w14:paraId="33C99FF7" w14:textId="77777777" w:rsidR="008633C5" w:rsidRDefault="008633C5" w:rsidP="00A5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7EB1" w14:textId="5387987A" w:rsidR="00591472" w:rsidRPr="00591472" w:rsidRDefault="00591472" w:rsidP="00591472">
    <w:pPr>
      <w:tabs>
        <w:tab w:val="left" w:pos="8789"/>
      </w:tabs>
      <w:rPr>
        <w:rFonts w:cstheme="minorHAnsi"/>
        <w:sz w:val="18"/>
        <w:szCs w:val="18"/>
      </w:rPr>
    </w:pPr>
    <w:r w:rsidRPr="00591472">
      <w:rPr>
        <w:rFonts w:cstheme="minorHAnsi"/>
        <w:sz w:val="18"/>
        <w:szCs w:val="18"/>
      </w:rPr>
      <w:t>SC59/2022 Com.2</w:t>
    </w:r>
    <w:r>
      <w:rPr>
        <w:rFonts w:cstheme="minorHAnsi"/>
        <w:sz w:val="18"/>
        <w:szCs w:val="18"/>
      </w:rPr>
      <w:tab/>
    </w:r>
    <w:r w:rsidR="003563E9" w:rsidRPr="003563E9">
      <w:rPr>
        <w:rFonts w:cstheme="minorHAnsi"/>
        <w:sz w:val="18"/>
        <w:szCs w:val="18"/>
      </w:rPr>
      <w:fldChar w:fldCharType="begin"/>
    </w:r>
    <w:r w:rsidR="003563E9" w:rsidRPr="003563E9">
      <w:rPr>
        <w:rFonts w:cstheme="minorHAnsi"/>
        <w:sz w:val="18"/>
        <w:szCs w:val="18"/>
      </w:rPr>
      <w:instrText xml:space="preserve"> PAGE   \* MERGEFORMAT </w:instrText>
    </w:r>
    <w:r w:rsidR="003563E9" w:rsidRPr="003563E9">
      <w:rPr>
        <w:rFonts w:cstheme="minorHAnsi"/>
        <w:sz w:val="18"/>
        <w:szCs w:val="18"/>
      </w:rPr>
      <w:fldChar w:fldCharType="separate"/>
    </w:r>
    <w:r w:rsidR="00126728">
      <w:rPr>
        <w:rFonts w:cstheme="minorHAnsi"/>
        <w:noProof/>
        <w:sz w:val="18"/>
        <w:szCs w:val="18"/>
      </w:rPr>
      <w:t>6</w:t>
    </w:r>
    <w:r w:rsidR="003563E9" w:rsidRPr="003563E9">
      <w:rPr>
        <w:rFonts w:cs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5522" w14:textId="2DE37C7B" w:rsidR="003563E9" w:rsidRPr="00591472" w:rsidRDefault="003563E9" w:rsidP="003563E9">
    <w:pPr>
      <w:tabs>
        <w:tab w:val="left" w:pos="13467"/>
      </w:tabs>
      <w:rPr>
        <w:rFonts w:cstheme="minorHAnsi"/>
        <w:sz w:val="18"/>
        <w:szCs w:val="18"/>
      </w:rPr>
    </w:pPr>
    <w:r w:rsidRPr="00591472">
      <w:rPr>
        <w:rFonts w:cstheme="minorHAnsi"/>
        <w:sz w:val="18"/>
        <w:szCs w:val="18"/>
      </w:rPr>
      <w:t>SC59/2022 Com.2</w:t>
    </w:r>
    <w:r>
      <w:rPr>
        <w:rFonts w:cstheme="minorHAnsi"/>
        <w:sz w:val="18"/>
        <w:szCs w:val="18"/>
      </w:rPr>
      <w:tab/>
    </w:r>
    <w:r w:rsidRPr="003563E9">
      <w:rPr>
        <w:rFonts w:cstheme="minorHAnsi"/>
        <w:sz w:val="18"/>
        <w:szCs w:val="18"/>
      </w:rPr>
      <w:fldChar w:fldCharType="begin"/>
    </w:r>
    <w:r w:rsidRPr="003563E9">
      <w:rPr>
        <w:rFonts w:cstheme="minorHAnsi"/>
        <w:sz w:val="18"/>
        <w:szCs w:val="18"/>
      </w:rPr>
      <w:instrText xml:space="preserve"> PAGE   \* MERGEFORMAT </w:instrText>
    </w:r>
    <w:r w:rsidRPr="003563E9">
      <w:rPr>
        <w:rFonts w:cstheme="minorHAnsi"/>
        <w:sz w:val="18"/>
        <w:szCs w:val="18"/>
      </w:rPr>
      <w:fldChar w:fldCharType="separate"/>
    </w:r>
    <w:r w:rsidR="00126728">
      <w:rPr>
        <w:rFonts w:cstheme="minorHAnsi"/>
        <w:noProof/>
        <w:sz w:val="18"/>
        <w:szCs w:val="18"/>
      </w:rPr>
      <w:t>9</w:t>
    </w:r>
    <w:r w:rsidRPr="003563E9">
      <w:rPr>
        <w:rFonts w:cs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A6A2" w14:textId="23414191" w:rsidR="003563E9" w:rsidRPr="00591472" w:rsidRDefault="003563E9" w:rsidP="00591472">
    <w:pPr>
      <w:tabs>
        <w:tab w:val="left" w:pos="8789"/>
      </w:tabs>
      <w:rPr>
        <w:rFonts w:cstheme="minorHAnsi"/>
        <w:sz w:val="18"/>
        <w:szCs w:val="18"/>
      </w:rPr>
    </w:pPr>
    <w:r w:rsidRPr="00591472">
      <w:rPr>
        <w:rFonts w:cstheme="minorHAnsi"/>
        <w:sz w:val="18"/>
        <w:szCs w:val="18"/>
      </w:rPr>
      <w:t>SC59/2022 Com.2</w:t>
    </w:r>
    <w:r>
      <w:rPr>
        <w:rFonts w:cstheme="minorHAnsi"/>
        <w:sz w:val="18"/>
        <w:szCs w:val="18"/>
      </w:rPr>
      <w:tab/>
    </w:r>
    <w:r w:rsidRPr="003563E9">
      <w:rPr>
        <w:rFonts w:cstheme="minorHAnsi"/>
        <w:sz w:val="18"/>
        <w:szCs w:val="18"/>
      </w:rPr>
      <w:fldChar w:fldCharType="begin"/>
    </w:r>
    <w:r w:rsidRPr="003563E9">
      <w:rPr>
        <w:rFonts w:cstheme="minorHAnsi"/>
        <w:sz w:val="18"/>
        <w:szCs w:val="18"/>
      </w:rPr>
      <w:instrText xml:space="preserve"> PAGE   \* MERGEFORMAT </w:instrText>
    </w:r>
    <w:r w:rsidRPr="003563E9">
      <w:rPr>
        <w:rFonts w:cstheme="minorHAnsi"/>
        <w:sz w:val="18"/>
        <w:szCs w:val="18"/>
      </w:rPr>
      <w:fldChar w:fldCharType="separate"/>
    </w:r>
    <w:r w:rsidR="00126728">
      <w:rPr>
        <w:rFonts w:cstheme="minorHAnsi"/>
        <w:noProof/>
        <w:sz w:val="18"/>
        <w:szCs w:val="18"/>
      </w:rPr>
      <w:t>14</w:t>
    </w:r>
    <w:r w:rsidRPr="003563E9">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733DD" w14:textId="77777777" w:rsidR="008633C5" w:rsidRDefault="008633C5" w:rsidP="00A50555">
      <w:r>
        <w:separator/>
      </w:r>
    </w:p>
  </w:footnote>
  <w:footnote w:type="continuationSeparator" w:id="0">
    <w:p w14:paraId="0A126F6E" w14:textId="77777777" w:rsidR="008633C5" w:rsidRDefault="008633C5" w:rsidP="00A50555">
      <w:r>
        <w:continuationSeparator/>
      </w:r>
    </w:p>
  </w:footnote>
  <w:footnote w:id="1">
    <w:p w14:paraId="75EBE957" w14:textId="0D4A8AE2" w:rsidR="00591472" w:rsidRPr="00294A0E" w:rsidRDefault="00591472">
      <w:pPr>
        <w:pStyle w:val="FootnoteText"/>
        <w:rPr>
          <w:noProof/>
          <w:lang w:val="es-ES"/>
        </w:rPr>
      </w:pPr>
      <w:r w:rsidRPr="00294A0E">
        <w:rPr>
          <w:rStyle w:val="FootnoteReference"/>
          <w:noProof/>
          <w:lang w:val="es-ES"/>
        </w:rPr>
        <w:footnoteRef/>
      </w:r>
      <w:r w:rsidRPr="00294A0E">
        <w:rPr>
          <w:noProof/>
          <w:lang w:val="es-ES"/>
        </w:rPr>
        <w:t xml:space="preserve"> </w:t>
      </w:r>
      <w:r w:rsidR="00294A0E" w:rsidRPr="00294A0E">
        <w:rPr>
          <w:noProof/>
          <w:lang w:val="es-ES"/>
        </w:rPr>
        <w:t>Continuación en el punto 5, más abajo</w:t>
      </w:r>
      <w:r w:rsidRPr="00294A0E">
        <w:rPr>
          <w:noProof/>
          <w:lang w:val="es-ES"/>
        </w:rPr>
        <w:t>.</w:t>
      </w:r>
    </w:p>
  </w:footnote>
  <w:footnote w:id="2">
    <w:p w14:paraId="3290C0DB" w14:textId="0E30EF7A" w:rsidR="00DA4E58" w:rsidRPr="00294A0E" w:rsidRDefault="00DA4E58" w:rsidP="00DA4E58">
      <w:pPr>
        <w:pStyle w:val="FootnoteText"/>
        <w:rPr>
          <w:noProof/>
          <w:lang w:val="es-ES"/>
        </w:rPr>
      </w:pPr>
      <w:r w:rsidRPr="00294A0E">
        <w:rPr>
          <w:rStyle w:val="FootnoteReference"/>
          <w:noProof/>
          <w:lang w:val="es-ES"/>
        </w:rPr>
        <w:footnoteRef/>
      </w:r>
      <w:r w:rsidRPr="00294A0E">
        <w:rPr>
          <w:noProof/>
          <w:lang w:val="es-ES"/>
        </w:rPr>
        <w:t xml:space="preserve"> </w:t>
      </w:r>
      <w:r w:rsidR="00294A0E">
        <w:rPr>
          <w:noProof/>
          <w:lang w:val="es-ES"/>
        </w:rPr>
        <w:t xml:space="preserve">Esto es una corrección del </w:t>
      </w:r>
      <w:r w:rsidRPr="00294A0E">
        <w:rPr>
          <w:noProof/>
          <w:lang w:val="es-ES"/>
        </w:rPr>
        <w:t>document</w:t>
      </w:r>
      <w:r w:rsidR="00294A0E">
        <w:rPr>
          <w:noProof/>
          <w:lang w:val="es-ES"/>
        </w:rPr>
        <w:t>o</w:t>
      </w:r>
      <w:r w:rsidRPr="00294A0E">
        <w:rPr>
          <w:noProof/>
          <w:lang w:val="es-ES"/>
        </w:rPr>
        <w:t xml:space="preserve"> SC59/8022 Doc.8.3.</w:t>
      </w:r>
    </w:p>
  </w:footnote>
  <w:footnote w:id="3">
    <w:p w14:paraId="73AABD7D" w14:textId="03DD4ACE" w:rsidR="00591472" w:rsidRPr="00294A0E" w:rsidRDefault="00591472">
      <w:pPr>
        <w:pStyle w:val="FootnoteText"/>
        <w:rPr>
          <w:noProof/>
          <w:lang w:val="es-ES"/>
        </w:rPr>
      </w:pPr>
      <w:r w:rsidRPr="00294A0E">
        <w:rPr>
          <w:rStyle w:val="FootnoteReference"/>
          <w:noProof/>
          <w:lang w:val="es-ES"/>
        </w:rPr>
        <w:footnoteRef/>
      </w:r>
      <w:r w:rsidRPr="00294A0E">
        <w:rPr>
          <w:noProof/>
          <w:lang w:val="es-ES"/>
        </w:rPr>
        <w:t xml:space="preserve"> </w:t>
      </w:r>
      <w:r w:rsidR="00294A0E">
        <w:rPr>
          <w:noProof/>
          <w:lang w:val="es-ES"/>
        </w:rPr>
        <w:t>Continuación del punto 2, más arriba</w:t>
      </w:r>
      <w:r w:rsidRPr="00294A0E">
        <w:rPr>
          <w:noProof/>
          <w:lang w:val="es-ES"/>
        </w:rPr>
        <w:t>.</w:t>
      </w:r>
    </w:p>
  </w:footnote>
  <w:footnote w:id="4">
    <w:p w14:paraId="624AFACF" w14:textId="77777777" w:rsidR="00087C6E" w:rsidRPr="00294A0E" w:rsidRDefault="00087C6E" w:rsidP="00087C6E">
      <w:pPr>
        <w:pStyle w:val="FootnoteText"/>
        <w:rPr>
          <w:noProof/>
          <w:lang w:val="es-ES"/>
        </w:rPr>
      </w:pPr>
      <w:r w:rsidRPr="00294A0E">
        <w:rPr>
          <w:rStyle w:val="FootnoteReference"/>
          <w:noProof/>
          <w:lang w:val="es-ES"/>
        </w:rPr>
        <w:footnoteRef/>
      </w:r>
      <w:r w:rsidRPr="00294A0E">
        <w:rPr>
          <w:noProof/>
          <w:lang w:val="es-ES"/>
        </w:rPr>
        <w:t xml:space="preserve"> Este párrafo se propone con respecto al escenario presupuestario A y tiene el mismo enfoque que el párrafo 15 de la Resolución XIII.2.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276D8"/>
    <w:multiLevelType w:val="hybridMultilevel"/>
    <w:tmpl w:val="3544D272"/>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BC2E81"/>
    <w:multiLevelType w:val="hybridMultilevel"/>
    <w:tmpl w:val="A0D0D50C"/>
    <w:lvl w:ilvl="0" w:tplc="089E18B0">
      <w:start w:val="1"/>
      <w:numFmt w:val="decimal"/>
      <w:lvlText w:val="%1)"/>
      <w:lvlJc w:val="left"/>
      <w:pPr>
        <w:ind w:left="360" w:hanging="360"/>
      </w:pPr>
      <w:rPr>
        <w:rFonts w:ascii="Calibri" w:hAnsi="Calibri"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751BAD"/>
    <w:multiLevelType w:val="hybridMultilevel"/>
    <w:tmpl w:val="0B0C2C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54C3034"/>
    <w:multiLevelType w:val="hybridMultilevel"/>
    <w:tmpl w:val="AEEE90FA"/>
    <w:lvl w:ilvl="0" w:tplc="B63A677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694522"/>
    <w:multiLevelType w:val="hybridMultilevel"/>
    <w:tmpl w:val="4D86A0D6"/>
    <w:lvl w:ilvl="0" w:tplc="C486D5A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67CF7"/>
    <w:multiLevelType w:val="hybridMultilevel"/>
    <w:tmpl w:val="C93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A5"/>
    <w:rsid w:val="000159B6"/>
    <w:rsid w:val="0002451C"/>
    <w:rsid w:val="000400BF"/>
    <w:rsid w:val="00041B6A"/>
    <w:rsid w:val="00052FFA"/>
    <w:rsid w:val="00061146"/>
    <w:rsid w:val="0007473E"/>
    <w:rsid w:val="00075BDC"/>
    <w:rsid w:val="00080D2B"/>
    <w:rsid w:val="00087C6E"/>
    <w:rsid w:val="0009289B"/>
    <w:rsid w:val="00093528"/>
    <w:rsid w:val="000B2E06"/>
    <w:rsid w:val="000C231F"/>
    <w:rsid w:val="000C7F8C"/>
    <w:rsid w:val="000D3076"/>
    <w:rsid w:val="000D7390"/>
    <w:rsid w:val="000E645B"/>
    <w:rsid w:val="000F0E85"/>
    <w:rsid w:val="000F46B6"/>
    <w:rsid w:val="000F4BA3"/>
    <w:rsid w:val="000F5F8C"/>
    <w:rsid w:val="000F77DA"/>
    <w:rsid w:val="001019BA"/>
    <w:rsid w:val="001037CE"/>
    <w:rsid w:val="001118B5"/>
    <w:rsid w:val="0011723D"/>
    <w:rsid w:val="00117BBC"/>
    <w:rsid w:val="00126728"/>
    <w:rsid w:val="00143B34"/>
    <w:rsid w:val="0018412E"/>
    <w:rsid w:val="00187E32"/>
    <w:rsid w:val="00196236"/>
    <w:rsid w:val="00196761"/>
    <w:rsid w:val="001A6241"/>
    <w:rsid w:val="001B5313"/>
    <w:rsid w:val="001B7BC0"/>
    <w:rsid w:val="001C794F"/>
    <w:rsid w:val="001D2175"/>
    <w:rsid w:val="001D6333"/>
    <w:rsid w:val="001D6A6C"/>
    <w:rsid w:val="001E583C"/>
    <w:rsid w:val="001F0201"/>
    <w:rsid w:val="001F1060"/>
    <w:rsid w:val="001F11ED"/>
    <w:rsid w:val="001F74B2"/>
    <w:rsid w:val="00204595"/>
    <w:rsid w:val="002050D5"/>
    <w:rsid w:val="00213D29"/>
    <w:rsid w:val="002261FB"/>
    <w:rsid w:val="002275AA"/>
    <w:rsid w:val="00230B95"/>
    <w:rsid w:val="00241CAB"/>
    <w:rsid w:val="00254B41"/>
    <w:rsid w:val="00256335"/>
    <w:rsid w:val="00261AFB"/>
    <w:rsid w:val="00273A11"/>
    <w:rsid w:val="002761E2"/>
    <w:rsid w:val="00276DFA"/>
    <w:rsid w:val="00293327"/>
    <w:rsid w:val="00294A0E"/>
    <w:rsid w:val="002965DA"/>
    <w:rsid w:val="002A55BB"/>
    <w:rsid w:val="002B0987"/>
    <w:rsid w:val="002B56FE"/>
    <w:rsid w:val="002C2CCE"/>
    <w:rsid w:val="002E00B9"/>
    <w:rsid w:val="002E1AA7"/>
    <w:rsid w:val="002E1C17"/>
    <w:rsid w:val="002E2BC5"/>
    <w:rsid w:val="002E6E44"/>
    <w:rsid w:val="002F01C2"/>
    <w:rsid w:val="00302AF5"/>
    <w:rsid w:val="00304621"/>
    <w:rsid w:val="0031045A"/>
    <w:rsid w:val="0031091C"/>
    <w:rsid w:val="003120C7"/>
    <w:rsid w:val="00312AAB"/>
    <w:rsid w:val="00317DDE"/>
    <w:rsid w:val="0032407D"/>
    <w:rsid w:val="003367DB"/>
    <w:rsid w:val="00342205"/>
    <w:rsid w:val="00347815"/>
    <w:rsid w:val="00352A0B"/>
    <w:rsid w:val="003563E9"/>
    <w:rsid w:val="00356EEC"/>
    <w:rsid w:val="003621B6"/>
    <w:rsid w:val="003625AF"/>
    <w:rsid w:val="003636C0"/>
    <w:rsid w:val="00370162"/>
    <w:rsid w:val="00381076"/>
    <w:rsid w:val="003836D6"/>
    <w:rsid w:val="003857D7"/>
    <w:rsid w:val="003A3C66"/>
    <w:rsid w:val="003A72EE"/>
    <w:rsid w:val="003B1DC5"/>
    <w:rsid w:val="003C0BB1"/>
    <w:rsid w:val="003C0CBD"/>
    <w:rsid w:val="003C3176"/>
    <w:rsid w:val="003C5B18"/>
    <w:rsid w:val="003D0E8A"/>
    <w:rsid w:val="003E1E49"/>
    <w:rsid w:val="003F3625"/>
    <w:rsid w:val="003F688F"/>
    <w:rsid w:val="00401F37"/>
    <w:rsid w:val="00413A35"/>
    <w:rsid w:val="00426C7C"/>
    <w:rsid w:val="0042785D"/>
    <w:rsid w:val="00440B49"/>
    <w:rsid w:val="00443D01"/>
    <w:rsid w:val="00444C8C"/>
    <w:rsid w:val="00450D67"/>
    <w:rsid w:val="004519D9"/>
    <w:rsid w:val="00451B9C"/>
    <w:rsid w:val="004575A6"/>
    <w:rsid w:val="004576D6"/>
    <w:rsid w:val="004626AB"/>
    <w:rsid w:val="00464A2A"/>
    <w:rsid w:val="00473610"/>
    <w:rsid w:val="00477F88"/>
    <w:rsid w:val="00480521"/>
    <w:rsid w:val="0049087F"/>
    <w:rsid w:val="00497B52"/>
    <w:rsid w:val="004A35A2"/>
    <w:rsid w:val="004C2818"/>
    <w:rsid w:val="004C2A35"/>
    <w:rsid w:val="004D5C37"/>
    <w:rsid w:val="004E6BCE"/>
    <w:rsid w:val="00503237"/>
    <w:rsid w:val="00503383"/>
    <w:rsid w:val="0051214A"/>
    <w:rsid w:val="00513537"/>
    <w:rsid w:val="00516474"/>
    <w:rsid w:val="0051680D"/>
    <w:rsid w:val="0052223D"/>
    <w:rsid w:val="00522262"/>
    <w:rsid w:val="00526E4C"/>
    <w:rsid w:val="00537C58"/>
    <w:rsid w:val="005410AA"/>
    <w:rsid w:val="005439A5"/>
    <w:rsid w:val="00543D97"/>
    <w:rsid w:val="00544F74"/>
    <w:rsid w:val="00561ABE"/>
    <w:rsid w:val="00574D80"/>
    <w:rsid w:val="00590B54"/>
    <w:rsid w:val="00591472"/>
    <w:rsid w:val="00595B92"/>
    <w:rsid w:val="005A32A8"/>
    <w:rsid w:val="005A5E14"/>
    <w:rsid w:val="005B2C0F"/>
    <w:rsid w:val="005B2F84"/>
    <w:rsid w:val="005B5816"/>
    <w:rsid w:val="005D6745"/>
    <w:rsid w:val="005E3216"/>
    <w:rsid w:val="005E3F07"/>
    <w:rsid w:val="005E5094"/>
    <w:rsid w:val="005F25FF"/>
    <w:rsid w:val="005F38A9"/>
    <w:rsid w:val="005F39F0"/>
    <w:rsid w:val="006034C0"/>
    <w:rsid w:val="006100DD"/>
    <w:rsid w:val="00620874"/>
    <w:rsid w:val="0062629D"/>
    <w:rsid w:val="00627A04"/>
    <w:rsid w:val="006302C1"/>
    <w:rsid w:val="0063093A"/>
    <w:rsid w:val="00632CDE"/>
    <w:rsid w:val="00637101"/>
    <w:rsid w:val="00641B45"/>
    <w:rsid w:val="00642406"/>
    <w:rsid w:val="00656511"/>
    <w:rsid w:val="00662D91"/>
    <w:rsid w:val="0066441B"/>
    <w:rsid w:val="0066724B"/>
    <w:rsid w:val="00687B72"/>
    <w:rsid w:val="006A43CF"/>
    <w:rsid w:val="006B7A8C"/>
    <w:rsid w:val="006C211A"/>
    <w:rsid w:val="006C516B"/>
    <w:rsid w:val="006D71F2"/>
    <w:rsid w:val="006E54A5"/>
    <w:rsid w:val="006F0A7A"/>
    <w:rsid w:val="006F417C"/>
    <w:rsid w:val="006F4234"/>
    <w:rsid w:val="006F7F31"/>
    <w:rsid w:val="007019C8"/>
    <w:rsid w:val="00711D36"/>
    <w:rsid w:val="007163B4"/>
    <w:rsid w:val="007221BA"/>
    <w:rsid w:val="00743F0F"/>
    <w:rsid w:val="00755019"/>
    <w:rsid w:val="00763805"/>
    <w:rsid w:val="00763865"/>
    <w:rsid w:val="00763D3E"/>
    <w:rsid w:val="0077382A"/>
    <w:rsid w:val="00774F14"/>
    <w:rsid w:val="00777E80"/>
    <w:rsid w:val="00782551"/>
    <w:rsid w:val="0078596A"/>
    <w:rsid w:val="00791E82"/>
    <w:rsid w:val="0079497A"/>
    <w:rsid w:val="007A4062"/>
    <w:rsid w:val="007A443A"/>
    <w:rsid w:val="007B46A8"/>
    <w:rsid w:val="007B6E89"/>
    <w:rsid w:val="007C1B17"/>
    <w:rsid w:val="007E32B3"/>
    <w:rsid w:val="00805DC2"/>
    <w:rsid w:val="00821625"/>
    <w:rsid w:val="00821E90"/>
    <w:rsid w:val="008224CD"/>
    <w:rsid w:val="00840681"/>
    <w:rsid w:val="0084500A"/>
    <w:rsid w:val="008519D6"/>
    <w:rsid w:val="008633C5"/>
    <w:rsid w:val="00871B5A"/>
    <w:rsid w:val="008758DC"/>
    <w:rsid w:val="00880792"/>
    <w:rsid w:val="0088584B"/>
    <w:rsid w:val="00893491"/>
    <w:rsid w:val="008A1322"/>
    <w:rsid w:val="008A1D4F"/>
    <w:rsid w:val="008A6071"/>
    <w:rsid w:val="008B029E"/>
    <w:rsid w:val="008B6868"/>
    <w:rsid w:val="008B6D4C"/>
    <w:rsid w:val="008E1AA5"/>
    <w:rsid w:val="008E3818"/>
    <w:rsid w:val="008F3ABA"/>
    <w:rsid w:val="008F6EDE"/>
    <w:rsid w:val="00912996"/>
    <w:rsid w:val="00913612"/>
    <w:rsid w:val="009261DF"/>
    <w:rsid w:val="0092628D"/>
    <w:rsid w:val="0094344E"/>
    <w:rsid w:val="00951EDA"/>
    <w:rsid w:val="009548E8"/>
    <w:rsid w:val="00955845"/>
    <w:rsid w:val="00957482"/>
    <w:rsid w:val="00963971"/>
    <w:rsid w:val="00972660"/>
    <w:rsid w:val="00974A00"/>
    <w:rsid w:val="00975200"/>
    <w:rsid w:val="00977562"/>
    <w:rsid w:val="0098108D"/>
    <w:rsid w:val="009850A6"/>
    <w:rsid w:val="00986334"/>
    <w:rsid w:val="00986D94"/>
    <w:rsid w:val="00991376"/>
    <w:rsid w:val="00995583"/>
    <w:rsid w:val="009A732E"/>
    <w:rsid w:val="009B30CB"/>
    <w:rsid w:val="009B7E58"/>
    <w:rsid w:val="009C4830"/>
    <w:rsid w:val="009D2CB4"/>
    <w:rsid w:val="009D60D2"/>
    <w:rsid w:val="009E7E61"/>
    <w:rsid w:val="009F5EF8"/>
    <w:rsid w:val="009F6166"/>
    <w:rsid w:val="009F696A"/>
    <w:rsid w:val="00A00F0F"/>
    <w:rsid w:val="00A0399C"/>
    <w:rsid w:val="00A24BE1"/>
    <w:rsid w:val="00A25CC9"/>
    <w:rsid w:val="00A2640A"/>
    <w:rsid w:val="00A464D1"/>
    <w:rsid w:val="00A50555"/>
    <w:rsid w:val="00A5061F"/>
    <w:rsid w:val="00A51A5D"/>
    <w:rsid w:val="00A672A1"/>
    <w:rsid w:val="00A71988"/>
    <w:rsid w:val="00A72214"/>
    <w:rsid w:val="00A90931"/>
    <w:rsid w:val="00AB178F"/>
    <w:rsid w:val="00AB2BC6"/>
    <w:rsid w:val="00AC086D"/>
    <w:rsid w:val="00AC4DCB"/>
    <w:rsid w:val="00AD079A"/>
    <w:rsid w:val="00AF4B37"/>
    <w:rsid w:val="00AF5120"/>
    <w:rsid w:val="00B00120"/>
    <w:rsid w:val="00B0237C"/>
    <w:rsid w:val="00B07F57"/>
    <w:rsid w:val="00B1398E"/>
    <w:rsid w:val="00B15073"/>
    <w:rsid w:val="00B1795F"/>
    <w:rsid w:val="00B17B8E"/>
    <w:rsid w:val="00B24305"/>
    <w:rsid w:val="00B24FC7"/>
    <w:rsid w:val="00B44B75"/>
    <w:rsid w:val="00B45EE7"/>
    <w:rsid w:val="00B4675C"/>
    <w:rsid w:val="00B47F4D"/>
    <w:rsid w:val="00B501A6"/>
    <w:rsid w:val="00B633CD"/>
    <w:rsid w:val="00B71758"/>
    <w:rsid w:val="00B848A8"/>
    <w:rsid w:val="00B87646"/>
    <w:rsid w:val="00B93A4E"/>
    <w:rsid w:val="00B94F63"/>
    <w:rsid w:val="00BA28A6"/>
    <w:rsid w:val="00BB5461"/>
    <w:rsid w:val="00BC0A3B"/>
    <w:rsid w:val="00BC35EB"/>
    <w:rsid w:val="00BD015F"/>
    <w:rsid w:val="00BD255E"/>
    <w:rsid w:val="00BD381C"/>
    <w:rsid w:val="00BD3891"/>
    <w:rsid w:val="00BD6489"/>
    <w:rsid w:val="00BF444B"/>
    <w:rsid w:val="00C07ED3"/>
    <w:rsid w:val="00C113FB"/>
    <w:rsid w:val="00C30815"/>
    <w:rsid w:val="00C34E5B"/>
    <w:rsid w:val="00C4108F"/>
    <w:rsid w:val="00C71068"/>
    <w:rsid w:val="00C72496"/>
    <w:rsid w:val="00C726E1"/>
    <w:rsid w:val="00C73A5F"/>
    <w:rsid w:val="00C76EEE"/>
    <w:rsid w:val="00C76FD5"/>
    <w:rsid w:val="00C77D35"/>
    <w:rsid w:val="00C80233"/>
    <w:rsid w:val="00C910A1"/>
    <w:rsid w:val="00CA2A73"/>
    <w:rsid w:val="00CA47DD"/>
    <w:rsid w:val="00CC6983"/>
    <w:rsid w:val="00CC7060"/>
    <w:rsid w:val="00CD1507"/>
    <w:rsid w:val="00CE0166"/>
    <w:rsid w:val="00CE1C6A"/>
    <w:rsid w:val="00CE2DD2"/>
    <w:rsid w:val="00CE5A38"/>
    <w:rsid w:val="00D11D9C"/>
    <w:rsid w:val="00D12344"/>
    <w:rsid w:val="00D21AB0"/>
    <w:rsid w:val="00D23279"/>
    <w:rsid w:val="00D32871"/>
    <w:rsid w:val="00D33B64"/>
    <w:rsid w:val="00D434D9"/>
    <w:rsid w:val="00D55468"/>
    <w:rsid w:val="00D645DD"/>
    <w:rsid w:val="00D816CB"/>
    <w:rsid w:val="00D86184"/>
    <w:rsid w:val="00D869E7"/>
    <w:rsid w:val="00DA4E58"/>
    <w:rsid w:val="00DA7A62"/>
    <w:rsid w:val="00DB006E"/>
    <w:rsid w:val="00DB0BED"/>
    <w:rsid w:val="00DB76E9"/>
    <w:rsid w:val="00DC0469"/>
    <w:rsid w:val="00DC23F7"/>
    <w:rsid w:val="00DD5F2D"/>
    <w:rsid w:val="00DD6078"/>
    <w:rsid w:val="00DF0134"/>
    <w:rsid w:val="00E04963"/>
    <w:rsid w:val="00E10F8A"/>
    <w:rsid w:val="00E113B3"/>
    <w:rsid w:val="00E1293D"/>
    <w:rsid w:val="00E15918"/>
    <w:rsid w:val="00E35FAB"/>
    <w:rsid w:val="00E36717"/>
    <w:rsid w:val="00E41F24"/>
    <w:rsid w:val="00E523A5"/>
    <w:rsid w:val="00E53255"/>
    <w:rsid w:val="00E54426"/>
    <w:rsid w:val="00E56E08"/>
    <w:rsid w:val="00E61FC3"/>
    <w:rsid w:val="00E75400"/>
    <w:rsid w:val="00E77FF3"/>
    <w:rsid w:val="00E8043E"/>
    <w:rsid w:val="00E8197F"/>
    <w:rsid w:val="00E842B7"/>
    <w:rsid w:val="00E9401C"/>
    <w:rsid w:val="00E96FBF"/>
    <w:rsid w:val="00E97A2C"/>
    <w:rsid w:val="00EA5A38"/>
    <w:rsid w:val="00EB3C86"/>
    <w:rsid w:val="00EB4C55"/>
    <w:rsid w:val="00EC10F2"/>
    <w:rsid w:val="00EC1418"/>
    <w:rsid w:val="00EC34F8"/>
    <w:rsid w:val="00EC44E1"/>
    <w:rsid w:val="00EC5FE9"/>
    <w:rsid w:val="00EC63D6"/>
    <w:rsid w:val="00ED15B4"/>
    <w:rsid w:val="00ED4BF2"/>
    <w:rsid w:val="00F02BAA"/>
    <w:rsid w:val="00F068B4"/>
    <w:rsid w:val="00F10FCB"/>
    <w:rsid w:val="00F13DA2"/>
    <w:rsid w:val="00F21AB2"/>
    <w:rsid w:val="00F237D4"/>
    <w:rsid w:val="00F30DD3"/>
    <w:rsid w:val="00F430ED"/>
    <w:rsid w:val="00F517A5"/>
    <w:rsid w:val="00F60AB1"/>
    <w:rsid w:val="00F63469"/>
    <w:rsid w:val="00F71148"/>
    <w:rsid w:val="00F837E1"/>
    <w:rsid w:val="00F86A01"/>
    <w:rsid w:val="00F91FE6"/>
    <w:rsid w:val="00F95F0B"/>
    <w:rsid w:val="00F979B9"/>
    <w:rsid w:val="00FA0892"/>
    <w:rsid w:val="00FB49AD"/>
    <w:rsid w:val="00FB512A"/>
    <w:rsid w:val="00FB66BD"/>
    <w:rsid w:val="00FC0E47"/>
    <w:rsid w:val="00FC5734"/>
    <w:rsid w:val="00FC5C2F"/>
    <w:rsid w:val="00FD6050"/>
    <w:rsid w:val="00FE408D"/>
    <w:rsid w:val="00FF19B1"/>
    <w:rsid w:val="00FF7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871BA"/>
  <w15:chartTrackingRefBased/>
  <w15:docId w15:val="{078A3970-D28C-4D77-9744-9C197CE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AA5"/>
    <w:pPr>
      <w:widowControl w:val="0"/>
      <w:autoSpaceDE w:val="0"/>
      <w:autoSpaceDN w:val="0"/>
      <w:spacing w:after="0" w:line="240" w:lineRule="auto"/>
    </w:pPr>
    <w:rPr>
      <w:rFonts w:ascii="Calibri" w:eastAsia="Times New Roman" w:hAnsi="Calibri" w:cs="Calibri"/>
      <w:lang w:val="en-US"/>
    </w:rPr>
  </w:style>
  <w:style w:type="paragraph" w:styleId="Heading2">
    <w:name w:val="heading 2"/>
    <w:basedOn w:val="Normal"/>
    <w:link w:val="Heading2Char"/>
    <w:uiPriority w:val="9"/>
    <w:unhideWhenUsed/>
    <w:qFormat/>
    <w:rsid w:val="008E1AA5"/>
    <w:pPr>
      <w:ind w:left="24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AA5"/>
    <w:rPr>
      <w:rFonts w:ascii="Calibri" w:eastAsia="Times New Roman" w:hAnsi="Calibri" w:cs="Calibri"/>
      <w:b/>
      <w:bCs/>
      <w:i/>
      <w:lang w:val="en-US"/>
    </w:rPr>
  </w:style>
  <w:style w:type="paragraph" w:styleId="BodyText">
    <w:name w:val="Body Text"/>
    <w:basedOn w:val="Normal"/>
    <w:link w:val="BodyTextChar"/>
    <w:uiPriority w:val="1"/>
    <w:unhideWhenUsed/>
    <w:qFormat/>
    <w:rsid w:val="008E1AA5"/>
  </w:style>
  <w:style w:type="character" w:customStyle="1" w:styleId="BodyTextChar">
    <w:name w:val="Body Text Char"/>
    <w:basedOn w:val="DefaultParagraphFont"/>
    <w:link w:val="BodyText"/>
    <w:uiPriority w:val="1"/>
    <w:rsid w:val="008E1AA5"/>
    <w:rPr>
      <w:rFonts w:ascii="Calibri" w:eastAsia="Times New Roman" w:hAnsi="Calibri" w:cs="Calibri"/>
      <w:lang w:val="en-US"/>
    </w:rPr>
  </w:style>
  <w:style w:type="character" w:styleId="CommentReference">
    <w:name w:val="annotation reference"/>
    <w:basedOn w:val="DefaultParagraphFont"/>
    <w:uiPriority w:val="99"/>
    <w:semiHidden/>
    <w:unhideWhenUsed/>
    <w:rsid w:val="005F39F0"/>
    <w:rPr>
      <w:sz w:val="16"/>
      <w:szCs w:val="16"/>
    </w:rPr>
  </w:style>
  <w:style w:type="paragraph" w:styleId="CommentText">
    <w:name w:val="annotation text"/>
    <w:basedOn w:val="Normal"/>
    <w:link w:val="CommentTextChar"/>
    <w:uiPriority w:val="99"/>
    <w:unhideWhenUsed/>
    <w:rsid w:val="005F39F0"/>
    <w:rPr>
      <w:sz w:val="20"/>
      <w:szCs w:val="20"/>
    </w:rPr>
  </w:style>
  <w:style w:type="character" w:customStyle="1" w:styleId="CommentTextChar">
    <w:name w:val="Comment Text Char"/>
    <w:basedOn w:val="DefaultParagraphFont"/>
    <w:link w:val="CommentText"/>
    <w:uiPriority w:val="99"/>
    <w:rsid w:val="005F39F0"/>
    <w:rPr>
      <w:rFonts w:ascii="Calibri" w:eastAsia="Times New Roman"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F39F0"/>
    <w:rPr>
      <w:b/>
      <w:bCs/>
    </w:rPr>
  </w:style>
  <w:style w:type="character" w:customStyle="1" w:styleId="CommentSubjectChar">
    <w:name w:val="Comment Subject Char"/>
    <w:basedOn w:val="CommentTextChar"/>
    <w:link w:val="CommentSubject"/>
    <w:uiPriority w:val="99"/>
    <w:semiHidden/>
    <w:rsid w:val="005F39F0"/>
    <w:rPr>
      <w:rFonts w:ascii="Calibri" w:eastAsia="Times New Roman" w:hAnsi="Calibri" w:cs="Calibri"/>
      <w:b/>
      <w:bCs/>
      <w:sz w:val="20"/>
      <w:szCs w:val="20"/>
      <w:lang w:val="en-US"/>
    </w:rPr>
  </w:style>
  <w:style w:type="paragraph" w:styleId="BalloonText">
    <w:name w:val="Balloon Text"/>
    <w:basedOn w:val="Normal"/>
    <w:link w:val="BalloonTextChar"/>
    <w:uiPriority w:val="99"/>
    <w:semiHidden/>
    <w:unhideWhenUsed/>
    <w:rsid w:val="005F3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F0"/>
    <w:rPr>
      <w:rFonts w:ascii="Segoe UI" w:eastAsia="Times New Roman" w:hAnsi="Segoe UI" w:cs="Segoe UI"/>
      <w:sz w:val="18"/>
      <w:szCs w:val="18"/>
      <w:lang w:val="en-US"/>
    </w:rPr>
  </w:style>
  <w:style w:type="paragraph" w:styleId="NormalWeb">
    <w:name w:val="Normal (Web)"/>
    <w:basedOn w:val="Normal"/>
    <w:uiPriority w:val="99"/>
    <w:unhideWhenUsed/>
    <w:rsid w:val="006302C1"/>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paragraph" w:styleId="ListParagraph">
    <w:name w:val="List Paragraph"/>
    <w:basedOn w:val="Normal"/>
    <w:uiPriority w:val="34"/>
    <w:qFormat/>
    <w:rsid w:val="006302C1"/>
    <w:pPr>
      <w:ind w:left="720"/>
      <w:contextualSpacing/>
    </w:pPr>
  </w:style>
  <w:style w:type="paragraph" w:styleId="Header">
    <w:name w:val="header"/>
    <w:basedOn w:val="Normal"/>
    <w:link w:val="HeaderChar"/>
    <w:uiPriority w:val="99"/>
    <w:unhideWhenUsed/>
    <w:rsid w:val="00A50555"/>
    <w:pPr>
      <w:tabs>
        <w:tab w:val="center" w:pos="4513"/>
        <w:tab w:val="right" w:pos="9026"/>
      </w:tabs>
    </w:pPr>
  </w:style>
  <w:style w:type="character" w:customStyle="1" w:styleId="HeaderChar">
    <w:name w:val="Header Char"/>
    <w:basedOn w:val="DefaultParagraphFont"/>
    <w:link w:val="Header"/>
    <w:uiPriority w:val="99"/>
    <w:rsid w:val="00A50555"/>
    <w:rPr>
      <w:rFonts w:ascii="Calibri" w:eastAsia="Times New Roman" w:hAnsi="Calibri" w:cs="Calibri"/>
      <w:lang w:val="en-US"/>
    </w:rPr>
  </w:style>
  <w:style w:type="paragraph" w:styleId="Footer">
    <w:name w:val="footer"/>
    <w:basedOn w:val="Normal"/>
    <w:link w:val="FooterChar"/>
    <w:uiPriority w:val="99"/>
    <w:unhideWhenUsed/>
    <w:rsid w:val="00A50555"/>
    <w:pPr>
      <w:tabs>
        <w:tab w:val="center" w:pos="4513"/>
        <w:tab w:val="right" w:pos="9026"/>
      </w:tabs>
    </w:pPr>
  </w:style>
  <w:style w:type="character" w:customStyle="1" w:styleId="FooterChar">
    <w:name w:val="Footer Char"/>
    <w:basedOn w:val="DefaultParagraphFont"/>
    <w:link w:val="Footer"/>
    <w:uiPriority w:val="99"/>
    <w:rsid w:val="00A50555"/>
    <w:rPr>
      <w:rFonts w:ascii="Calibri" w:eastAsia="Times New Roman" w:hAnsi="Calibri" w:cs="Calibri"/>
      <w:lang w:val="en-US"/>
    </w:rPr>
  </w:style>
  <w:style w:type="paragraph" w:styleId="Revision">
    <w:name w:val="Revision"/>
    <w:hidden/>
    <w:uiPriority w:val="99"/>
    <w:semiHidden/>
    <w:rsid w:val="00912996"/>
    <w:pPr>
      <w:spacing w:after="0" w:line="240" w:lineRule="auto"/>
    </w:pPr>
    <w:rPr>
      <w:rFonts w:ascii="Calibri" w:eastAsia="Times New Roman" w:hAnsi="Calibri" w:cs="Calibri"/>
      <w:lang w:val="en-US"/>
    </w:rPr>
  </w:style>
  <w:style w:type="paragraph" w:styleId="FootnoteText">
    <w:name w:val="footnote text"/>
    <w:basedOn w:val="Normal"/>
    <w:link w:val="FootnoteTextChar"/>
    <w:semiHidden/>
    <w:unhideWhenUsed/>
    <w:rsid w:val="00E36717"/>
    <w:rPr>
      <w:sz w:val="20"/>
      <w:szCs w:val="20"/>
    </w:rPr>
  </w:style>
  <w:style w:type="character" w:customStyle="1" w:styleId="FootnoteTextChar">
    <w:name w:val="Footnote Text Char"/>
    <w:basedOn w:val="DefaultParagraphFont"/>
    <w:link w:val="FootnoteText"/>
    <w:uiPriority w:val="99"/>
    <w:semiHidden/>
    <w:rsid w:val="00E36717"/>
    <w:rPr>
      <w:rFonts w:ascii="Calibri" w:eastAsia="Times New Roman" w:hAnsi="Calibri" w:cs="Calibri"/>
      <w:sz w:val="20"/>
      <w:szCs w:val="20"/>
      <w:lang w:val="en-US"/>
    </w:rPr>
  </w:style>
  <w:style w:type="character" w:styleId="FootnoteReference">
    <w:name w:val="footnote reference"/>
    <w:basedOn w:val="DefaultParagraphFont"/>
    <w:semiHidden/>
    <w:unhideWhenUsed/>
    <w:rsid w:val="00E36717"/>
    <w:rPr>
      <w:vertAlign w:val="superscript"/>
    </w:rPr>
  </w:style>
  <w:style w:type="paragraph" w:customStyle="1" w:styleId="MGfulltext">
    <w:name w:val="MG_fulltext"/>
    <w:basedOn w:val="Normal"/>
    <w:link w:val="MGfulltextChar"/>
    <w:qFormat/>
    <w:rsid w:val="009548E8"/>
    <w:pPr>
      <w:widowControl/>
      <w:autoSpaceDE/>
      <w:autoSpaceDN/>
      <w:spacing w:after="120"/>
    </w:pPr>
    <w:rPr>
      <w:rFonts w:ascii="Arial" w:hAnsi="Arial" w:cs="Arial"/>
      <w:sz w:val="24"/>
      <w:szCs w:val="24"/>
    </w:rPr>
  </w:style>
  <w:style w:type="character" w:customStyle="1" w:styleId="MGfulltextChar">
    <w:name w:val="MG_fulltext Char"/>
    <w:basedOn w:val="DefaultParagraphFont"/>
    <w:link w:val="MGfulltext"/>
    <w:rsid w:val="009548E8"/>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5422">
      <w:bodyDiv w:val="1"/>
      <w:marLeft w:val="0"/>
      <w:marRight w:val="0"/>
      <w:marTop w:val="0"/>
      <w:marBottom w:val="0"/>
      <w:divBdr>
        <w:top w:val="none" w:sz="0" w:space="0" w:color="auto"/>
        <w:left w:val="none" w:sz="0" w:space="0" w:color="auto"/>
        <w:bottom w:val="none" w:sz="0" w:space="0" w:color="auto"/>
        <w:right w:val="none" w:sz="0" w:space="0" w:color="auto"/>
      </w:divBdr>
    </w:div>
    <w:div w:id="708531519">
      <w:bodyDiv w:val="1"/>
      <w:marLeft w:val="0"/>
      <w:marRight w:val="0"/>
      <w:marTop w:val="0"/>
      <w:marBottom w:val="0"/>
      <w:divBdr>
        <w:top w:val="none" w:sz="0" w:space="0" w:color="auto"/>
        <w:left w:val="none" w:sz="0" w:space="0" w:color="auto"/>
        <w:bottom w:val="none" w:sz="0" w:space="0" w:color="auto"/>
        <w:right w:val="none" w:sz="0" w:space="0" w:color="auto"/>
      </w:divBdr>
    </w:div>
    <w:div w:id="1338655178">
      <w:bodyDiv w:val="1"/>
      <w:marLeft w:val="0"/>
      <w:marRight w:val="0"/>
      <w:marTop w:val="0"/>
      <w:marBottom w:val="0"/>
      <w:divBdr>
        <w:top w:val="none" w:sz="0" w:space="0" w:color="auto"/>
        <w:left w:val="none" w:sz="0" w:space="0" w:color="auto"/>
        <w:bottom w:val="none" w:sz="0" w:space="0" w:color="auto"/>
        <w:right w:val="none" w:sz="0" w:space="0" w:color="auto"/>
      </w:divBdr>
    </w:div>
    <w:div w:id="15236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846B956E9834EA94B2422C6533E66" ma:contentTypeVersion="12" ma:contentTypeDescription="Create a new document." ma:contentTypeScope="" ma:versionID="c04f076e067621cdc23d74f4982666fe">
  <xsd:schema xmlns:xsd="http://www.w3.org/2001/XMLSchema" xmlns:xs="http://www.w3.org/2001/XMLSchema" xmlns:p="http://schemas.microsoft.com/office/2006/metadata/properties" xmlns:ns3="fe166545-64fa-4e5d-a666-3f6f9d77430d" xmlns:ns4="77f9b079-6f48-4aa1-af8a-0476918bcea3" targetNamespace="http://schemas.microsoft.com/office/2006/metadata/properties" ma:root="true" ma:fieldsID="2070eb42dd43331a99ad02582772aabf" ns3:_="" ns4:_="">
    <xsd:import namespace="fe166545-64fa-4e5d-a666-3f6f9d77430d"/>
    <xsd:import namespace="77f9b079-6f48-4aa1-af8a-0476918bce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6545-64fa-4e5d-a666-3f6f9d774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9b079-6f48-4aa1-af8a-0476918bce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679F8-E22D-4983-B6C2-0810E9E5C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6545-64fa-4e5d-a666-3f6f9d77430d"/>
    <ds:schemaRef ds:uri="77f9b079-6f48-4aa1-af8a-0476918bc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D73C1-965B-461B-9B96-8FACCB921B11}">
  <ds:schemaRefs>
    <ds:schemaRef ds:uri="http://schemas.microsoft.com/sharepoint/v3/contenttype/forms"/>
  </ds:schemaRefs>
</ds:datastoreItem>
</file>

<file path=customXml/itemProps3.xml><?xml version="1.0" encoding="utf-8"?>
<ds:datastoreItem xmlns:ds="http://schemas.openxmlformats.org/officeDocument/2006/customXml" ds:itemID="{25A539E6-AACE-44B3-8AC1-70F9BED8C537}">
  <ds:schemaRef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documentManagement/types"/>
    <ds:schemaRef ds:uri="77f9b079-6f48-4aa1-af8a-0476918bcea3"/>
    <ds:schemaRef ds:uri="http://purl.org/dc/elements/1.1/"/>
    <ds:schemaRef ds:uri="fe166545-64fa-4e5d-a666-3f6f9d77430d"/>
    <ds:schemaRef ds:uri="http://schemas.microsoft.com/office/2006/metadata/properties"/>
  </ds:schemaRefs>
</ds:datastoreItem>
</file>

<file path=customXml/itemProps4.xml><?xml version="1.0" encoding="utf-8"?>
<ds:datastoreItem xmlns:ds="http://schemas.openxmlformats.org/officeDocument/2006/customXml" ds:itemID="{925541D4-BE79-4B25-95A1-5DC37A4C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5258</Words>
  <Characters>29974</Characters>
  <Application>Microsoft Office Word</Application>
  <DocSecurity>4</DocSecurity>
  <Lines>249</Lines>
  <Paragraphs>70</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
      <vt:lpstr/>
      <vt:lpstr/>
    </vt:vector>
  </TitlesOfParts>
  <Manager/>
  <Company>IUCN</Company>
  <LinksUpToDate>false</LinksUpToDate>
  <CharactersWithSpaces>35162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Jennings</dc:creator>
  <cp:keywords/>
  <dc:description/>
  <cp:lastModifiedBy>Ed Jennings</cp:lastModifiedBy>
  <cp:revision>2</cp:revision>
  <cp:lastPrinted>2022-05-24T13:43:00Z</cp:lastPrinted>
  <dcterms:created xsi:type="dcterms:W3CDTF">2022-05-26T06:54:00Z</dcterms:created>
  <dcterms:modified xsi:type="dcterms:W3CDTF">2022-05-26T06:54:00Z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2021-06-22T23:34:57.4971171Z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83324181-f610-4c7c-8725-5a98adbf0d4b</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0x010100551846B956E9834EA94B2422C6533E66</vt:lpwstr>
  </property>
</Properties>
</file>