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232D99" w14:textId="77777777" w:rsidR="00BA2459" w:rsidRPr="005D775C" w:rsidRDefault="00BA2459" w:rsidP="00BA2459">
      <w:pPr>
        <w:pBdr>
          <w:top w:val="single" w:sz="12" w:space="0" w:color="auto" w:shadow="1"/>
          <w:left w:val="single" w:sz="12" w:space="4" w:color="auto" w:shadow="1"/>
          <w:bottom w:val="single" w:sz="12" w:space="1" w:color="auto" w:shadow="1"/>
          <w:right w:val="single" w:sz="12" w:space="0" w:color="auto" w:shadow="1"/>
        </w:pBdr>
        <w:suppressAutoHyphens/>
        <w:spacing w:after="0" w:line="240" w:lineRule="auto"/>
        <w:ind w:right="3753"/>
        <w:rPr>
          <w:rFonts w:cstheme="minorHAnsi"/>
          <w:bCs/>
          <w:lang w:val="fr-FR"/>
        </w:rPr>
      </w:pPr>
      <w:r w:rsidRPr="005D775C">
        <w:rPr>
          <w:rFonts w:cstheme="minorHAnsi"/>
          <w:bCs/>
          <w:lang w:val="fr-FR"/>
        </w:rPr>
        <w:t xml:space="preserve">CONVENTION </w:t>
      </w:r>
      <w:r w:rsidR="005D775C" w:rsidRPr="005D775C">
        <w:rPr>
          <w:rFonts w:cstheme="minorHAnsi"/>
          <w:bCs/>
          <w:lang w:val="fr-FR"/>
        </w:rPr>
        <w:t>SUR LES ZONES HUMIDES</w:t>
      </w:r>
    </w:p>
    <w:p w14:paraId="52990931" w14:textId="77777777" w:rsidR="00BA2459" w:rsidRPr="005D775C" w:rsidRDefault="00BA2459" w:rsidP="00BA2459">
      <w:pPr>
        <w:pBdr>
          <w:top w:val="single" w:sz="12" w:space="0" w:color="auto" w:shadow="1"/>
          <w:left w:val="single" w:sz="12" w:space="4" w:color="auto" w:shadow="1"/>
          <w:bottom w:val="single" w:sz="12" w:space="1" w:color="auto" w:shadow="1"/>
          <w:right w:val="single" w:sz="12" w:space="0" w:color="auto" w:shadow="1"/>
        </w:pBdr>
        <w:suppressAutoHyphens/>
        <w:spacing w:after="0" w:line="240" w:lineRule="auto"/>
        <w:ind w:right="3753"/>
        <w:rPr>
          <w:rFonts w:cstheme="minorHAnsi"/>
          <w:bCs/>
          <w:lang w:val="fr-FR"/>
        </w:rPr>
      </w:pPr>
      <w:r w:rsidRPr="005D775C">
        <w:rPr>
          <w:rFonts w:cstheme="minorHAnsi"/>
          <w:bCs/>
          <w:lang w:val="fr-FR"/>
        </w:rPr>
        <w:t>59</w:t>
      </w:r>
      <w:r w:rsidR="005D775C" w:rsidRPr="005D775C">
        <w:rPr>
          <w:rFonts w:cstheme="minorHAnsi"/>
          <w:bCs/>
          <w:vertAlign w:val="superscript"/>
          <w:lang w:val="fr-FR"/>
        </w:rPr>
        <w:t>e</w:t>
      </w:r>
      <w:r w:rsidR="005D775C" w:rsidRPr="005D775C">
        <w:rPr>
          <w:rFonts w:cstheme="minorHAnsi"/>
          <w:bCs/>
          <w:lang w:val="fr-FR"/>
        </w:rPr>
        <w:t xml:space="preserve"> </w:t>
      </w:r>
      <w:r w:rsidR="004D59BC">
        <w:rPr>
          <w:rFonts w:cstheme="minorHAnsi"/>
          <w:bCs/>
          <w:lang w:val="fr-FR"/>
        </w:rPr>
        <w:t>réunion</w:t>
      </w:r>
      <w:r w:rsidR="005D775C" w:rsidRPr="005D775C">
        <w:rPr>
          <w:rFonts w:cstheme="minorHAnsi"/>
          <w:bCs/>
          <w:lang w:val="fr-FR"/>
        </w:rPr>
        <w:t xml:space="preserve"> du Comité permanent</w:t>
      </w:r>
    </w:p>
    <w:p w14:paraId="540288FF" w14:textId="77777777" w:rsidR="00BA2459" w:rsidRPr="005D775C" w:rsidRDefault="004D59BC" w:rsidP="00BA2459">
      <w:pPr>
        <w:pBdr>
          <w:top w:val="single" w:sz="12" w:space="0" w:color="auto" w:shadow="1"/>
          <w:left w:val="single" w:sz="12" w:space="4" w:color="auto" w:shadow="1"/>
          <w:bottom w:val="single" w:sz="12" w:space="1" w:color="auto" w:shadow="1"/>
          <w:right w:val="single" w:sz="12" w:space="0" w:color="auto" w:shadow="1"/>
        </w:pBdr>
        <w:suppressAutoHyphens/>
        <w:spacing w:after="0" w:line="240" w:lineRule="auto"/>
        <w:ind w:right="3753"/>
        <w:rPr>
          <w:rFonts w:cstheme="minorHAnsi"/>
          <w:bCs/>
          <w:lang w:val="fr-FR"/>
        </w:rPr>
      </w:pPr>
      <w:r>
        <w:rPr>
          <w:rFonts w:cstheme="minorHAnsi"/>
          <w:bCs/>
          <w:lang w:val="fr-FR"/>
        </w:rPr>
        <w:t>Reprise de séance</w:t>
      </w:r>
    </w:p>
    <w:p w14:paraId="004E8392" w14:textId="77777777" w:rsidR="00BA2459" w:rsidRPr="005D775C" w:rsidRDefault="00BA2459" w:rsidP="00BA2459">
      <w:pPr>
        <w:pBdr>
          <w:top w:val="single" w:sz="12" w:space="0" w:color="auto" w:shadow="1"/>
          <w:left w:val="single" w:sz="12" w:space="4" w:color="auto" w:shadow="1"/>
          <w:bottom w:val="single" w:sz="12" w:space="1" w:color="auto" w:shadow="1"/>
          <w:right w:val="single" w:sz="12" w:space="0" w:color="auto" w:shadow="1"/>
        </w:pBdr>
        <w:suppressAutoHyphens/>
        <w:spacing w:after="0" w:line="240" w:lineRule="auto"/>
        <w:ind w:right="3753"/>
        <w:rPr>
          <w:rFonts w:cstheme="minorHAnsi"/>
          <w:bCs/>
          <w:lang w:val="fr-FR"/>
        </w:rPr>
      </w:pPr>
      <w:r w:rsidRPr="005D775C">
        <w:rPr>
          <w:rFonts w:cstheme="minorHAnsi"/>
          <w:bCs/>
          <w:lang w:val="fr-FR"/>
        </w:rPr>
        <w:t>Gland, S</w:t>
      </w:r>
      <w:r w:rsidR="004D59BC">
        <w:rPr>
          <w:rFonts w:cstheme="minorHAnsi"/>
          <w:bCs/>
          <w:lang w:val="fr-FR"/>
        </w:rPr>
        <w:t xml:space="preserve">uisse, 23 au </w:t>
      </w:r>
      <w:r w:rsidR="005D775C" w:rsidRPr="005D775C">
        <w:rPr>
          <w:rFonts w:cstheme="minorHAnsi"/>
          <w:bCs/>
          <w:lang w:val="fr-FR"/>
        </w:rPr>
        <w:t>27 mai</w:t>
      </w:r>
      <w:r w:rsidRPr="005D775C">
        <w:rPr>
          <w:rFonts w:cstheme="minorHAnsi"/>
          <w:bCs/>
          <w:lang w:val="fr-FR"/>
        </w:rPr>
        <w:t xml:space="preserve"> 2022</w:t>
      </w:r>
    </w:p>
    <w:p w14:paraId="5F1A1EDA" w14:textId="77777777" w:rsidR="00BA2459" w:rsidRPr="005D775C" w:rsidRDefault="00BA2459" w:rsidP="00BA2459">
      <w:pPr>
        <w:tabs>
          <w:tab w:val="left" w:pos="10650"/>
          <w:tab w:val="right" w:pos="13958"/>
        </w:tabs>
        <w:spacing w:after="0" w:line="240" w:lineRule="auto"/>
        <w:jc w:val="right"/>
        <w:rPr>
          <w:rFonts w:cstheme="minorHAnsi"/>
          <w:b/>
          <w:sz w:val="28"/>
          <w:szCs w:val="28"/>
          <w:lang w:val="fr-FR"/>
        </w:rPr>
      </w:pPr>
    </w:p>
    <w:p w14:paraId="081E6E7C" w14:textId="2BDA01ED" w:rsidR="00BA2459" w:rsidRPr="004D59BC" w:rsidRDefault="00BA2459" w:rsidP="00BA2459">
      <w:pPr>
        <w:tabs>
          <w:tab w:val="left" w:pos="10650"/>
          <w:tab w:val="right" w:pos="13958"/>
        </w:tabs>
        <w:spacing w:after="0" w:line="240" w:lineRule="auto"/>
        <w:jc w:val="right"/>
        <w:rPr>
          <w:rFonts w:cstheme="minorHAnsi"/>
          <w:sz w:val="28"/>
          <w:szCs w:val="28"/>
          <w:lang w:val="fr-FR"/>
        </w:rPr>
      </w:pPr>
      <w:r w:rsidRPr="004D59BC">
        <w:rPr>
          <w:rFonts w:cstheme="minorHAnsi"/>
          <w:b/>
          <w:sz w:val="28"/>
          <w:szCs w:val="28"/>
          <w:lang w:val="fr-FR"/>
        </w:rPr>
        <w:t xml:space="preserve">SC59/2022 </w:t>
      </w:r>
      <w:r w:rsidR="002A5A4B">
        <w:rPr>
          <w:rFonts w:cstheme="minorHAnsi"/>
          <w:b/>
          <w:sz w:val="28"/>
          <w:szCs w:val="28"/>
          <w:lang w:val="fr-FR"/>
        </w:rPr>
        <w:t>Com.3</w:t>
      </w:r>
    </w:p>
    <w:p w14:paraId="12815262" w14:textId="77777777" w:rsidR="00BA2459" w:rsidRPr="004D59BC" w:rsidRDefault="00BA2459" w:rsidP="00BA2459">
      <w:pPr>
        <w:spacing w:after="0" w:line="240" w:lineRule="auto"/>
        <w:rPr>
          <w:rFonts w:cstheme="minorHAnsi"/>
          <w:b/>
          <w:sz w:val="28"/>
          <w:szCs w:val="28"/>
          <w:lang w:val="fr-FR"/>
        </w:rPr>
      </w:pPr>
    </w:p>
    <w:p w14:paraId="2C80337F" w14:textId="77777777" w:rsidR="0002081B" w:rsidRDefault="0038035D" w:rsidP="00EA4831">
      <w:pPr>
        <w:spacing w:after="0"/>
        <w:jc w:val="center"/>
        <w:rPr>
          <w:rFonts w:eastAsia="Times New Roman"/>
          <w:b/>
          <w:bCs/>
          <w:sz w:val="24"/>
          <w:szCs w:val="24"/>
          <w:lang w:val="fr-FR"/>
        </w:rPr>
      </w:pPr>
      <w:r w:rsidRPr="0038035D">
        <w:rPr>
          <w:rFonts w:eastAsia="Times New Roman"/>
          <w:b/>
          <w:bCs/>
          <w:sz w:val="24"/>
          <w:szCs w:val="24"/>
          <w:lang w:val="fr-FR"/>
        </w:rPr>
        <w:t>Projet de résolution sur l’efficacité et l’efficience</w:t>
      </w:r>
    </w:p>
    <w:p w14:paraId="120B02F3" w14:textId="25F1135A" w:rsidR="0038035D" w:rsidRPr="0038035D" w:rsidRDefault="0038035D" w:rsidP="00EA4831">
      <w:pPr>
        <w:spacing w:after="0"/>
        <w:jc w:val="center"/>
        <w:rPr>
          <w:rFonts w:eastAsia="Times New Roman"/>
          <w:b/>
          <w:bCs/>
          <w:sz w:val="24"/>
          <w:szCs w:val="24"/>
          <w:lang w:val="fr-FR"/>
        </w:rPr>
      </w:pPr>
      <w:r w:rsidRPr="0038035D">
        <w:rPr>
          <w:rFonts w:eastAsia="Times New Roman"/>
          <w:b/>
          <w:bCs/>
          <w:sz w:val="24"/>
          <w:szCs w:val="24"/>
          <w:lang w:val="fr-FR"/>
        </w:rPr>
        <w:t xml:space="preserve"> de la Convention de Ramsar</w:t>
      </w:r>
    </w:p>
    <w:p w14:paraId="4B7CEC0F" w14:textId="77777777" w:rsidR="0038035D" w:rsidRPr="00BE2E9F" w:rsidRDefault="0038035D" w:rsidP="0038035D">
      <w:pPr>
        <w:spacing w:after="0" w:line="240" w:lineRule="auto"/>
        <w:jc w:val="right"/>
        <w:rPr>
          <w:rFonts w:eastAsia="Times New Roman"/>
          <w:b/>
          <w:sz w:val="28"/>
          <w:szCs w:val="28"/>
          <w:lang w:val="fr-FR"/>
        </w:rPr>
      </w:pPr>
    </w:p>
    <w:p w14:paraId="1278D5BE" w14:textId="0324FAB5" w:rsidR="0038035D" w:rsidRPr="00BE2E9F" w:rsidRDefault="0002081B" w:rsidP="0038035D">
      <w:pPr>
        <w:spacing w:after="0" w:line="240" w:lineRule="auto"/>
        <w:ind w:right="16"/>
        <w:rPr>
          <w:rFonts w:eastAsia="Times New Roman"/>
          <w:i/>
          <w:iCs/>
          <w:lang w:val="fr-FR"/>
        </w:rPr>
      </w:pPr>
      <w:r>
        <w:rPr>
          <w:rFonts w:eastAsia="Times New Roman"/>
          <w:i/>
          <w:iCs/>
          <w:lang w:val="fr-FR"/>
        </w:rPr>
        <w:t>Présenté</w:t>
      </w:r>
      <w:r w:rsidR="0038035D" w:rsidRPr="00BE2E9F">
        <w:rPr>
          <w:rFonts w:eastAsia="Times New Roman"/>
          <w:i/>
          <w:iCs/>
          <w:lang w:val="fr-FR"/>
        </w:rPr>
        <w:t xml:space="preserve"> par le Groupe de travail sur l’efficacité du Comité permanent</w:t>
      </w:r>
    </w:p>
    <w:p w14:paraId="40AC88C7" w14:textId="77777777" w:rsidR="0038035D" w:rsidRPr="00BE2E9F" w:rsidRDefault="0038035D" w:rsidP="0038035D">
      <w:pPr>
        <w:spacing w:after="0" w:line="240" w:lineRule="auto"/>
        <w:ind w:right="16"/>
        <w:rPr>
          <w:i/>
          <w:iCs/>
          <w:lang w:val="fr-FR"/>
        </w:rPr>
      </w:pPr>
    </w:p>
    <w:p w14:paraId="36082152" w14:textId="77777777" w:rsidR="0038035D" w:rsidRPr="00BE2E9F" w:rsidRDefault="0014638D" w:rsidP="0038035D">
      <w:pPr>
        <w:spacing w:after="0" w:line="240" w:lineRule="auto"/>
        <w:jc w:val="both"/>
        <w:rPr>
          <w:lang w:val="fr-FR"/>
        </w:rPr>
      </w:pPr>
      <w:r>
        <w:rPr>
          <w:noProof/>
          <w:color w:val="2B579A"/>
          <w:shd w:val="clear" w:color="auto" w:fill="E6E6E6"/>
        </w:rPr>
        <mc:AlternateContent>
          <mc:Choice Requires="wps">
            <w:drawing>
              <wp:inline distT="0" distB="0" distL="0" distR="0" wp14:anchorId="0A819D28" wp14:editId="2976BBAF">
                <wp:extent cx="5820410" cy="965200"/>
                <wp:effectExtent l="9525" t="6350" r="8890" b="952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410" cy="965200"/>
                        </a:xfrm>
                        <a:prstGeom prst="rect">
                          <a:avLst/>
                        </a:prstGeom>
                        <a:solidFill>
                          <a:srgbClr val="FFFFFF"/>
                        </a:solidFill>
                        <a:ln w="9525">
                          <a:solidFill>
                            <a:srgbClr val="000000"/>
                          </a:solidFill>
                          <a:miter lim="800000"/>
                          <a:headEnd/>
                          <a:tailEnd/>
                        </a:ln>
                      </wps:spPr>
                      <wps:txbx>
                        <w:txbxContent>
                          <w:p w14:paraId="2DBB70F1" w14:textId="438B6F88" w:rsidR="0038035D" w:rsidRPr="001A1762" w:rsidRDefault="0002081B" w:rsidP="0038035D">
                            <w:pPr>
                              <w:spacing w:after="0" w:line="240" w:lineRule="auto"/>
                              <w:rPr>
                                <w:rFonts w:cs="Calibri"/>
                                <w:b/>
                                <w:lang w:val="fr-FR"/>
                              </w:rPr>
                            </w:pPr>
                            <w:r>
                              <w:rPr>
                                <w:rFonts w:cs="Calibri"/>
                                <w:b/>
                                <w:lang w:val="fr-FR"/>
                              </w:rPr>
                              <w:t>Mesure</w:t>
                            </w:r>
                            <w:r w:rsidR="0038035D" w:rsidRPr="001A1762">
                              <w:rPr>
                                <w:rFonts w:cs="Calibri"/>
                                <w:b/>
                                <w:lang w:val="fr-FR"/>
                              </w:rPr>
                              <w:t xml:space="preserve"> requise :</w:t>
                            </w:r>
                          </w:p>
                          <w:p w14:paraId="0AE89243" w14:textId="77777777" w:rsidR="0038035D" w:rsidRPr="001A1762" w:rsidRDefault="0038035D" w:rsidP="0038035D">
                            <w:pPr>
                              <w:spacing w:after="0" w:line="240" w:lineRule="auto"/>
                              <w:rPr>
                                <w:rFonts w:cs="Calibri"/>
                                <w:b/>
                                <w:lang w:val="fr-FR"/>
                              </w:rPr>
                            </w:pPr>
                          </w:p>
                          <w:p w14:paraId="173FDD79" w14:textId="30210F82" w:rsidR="0038035D" w:rsidRPr="001A1762" w:rsidRDefault="0038035D" w:rsidP="0038035D">
                            <w:pPr>
                              <w:widowControl w:val="0"/>
                              <w:numPr>
                                <w:ilvl w:val="0"/>
                                <w:numId w:val="7"/>
                              </w:numPr>
                              <w:spacing w:after="0" w:line="240" w:lineRule="auto"/>
                              <w:ind w:left="426" w:hanging="426"/>
                              <w:rPr>
                                <w:b/>
                                <w:lang w:val="fr-FR"/>
                              </w:rPr>
                            </w:pPr>
                            <w:r w:rsidRPr="001A1762">
                              <w:rPr>
                                <w:rFonts w:cs="Calibri"/>
                                <w:lang w:val="fr-FR"/>
                              </w:rPr>
                              <w:t>Le Comité permanent est invité à examiner et à approuver le projet de résolution ci-joint pour examen à la 14</w:t>
                            </w:r>
                            <w:r w:rsidRPr="001A1762">
                              <w:rPr>
                                <w:rFonts w:cs="Calibri"/>
                                <w:vertAlign w:val="superscript"/>
                                <w:lang w:val="fr-FR"/>
                              </w:rPr>
                              <w:t>e</w:t>
                            </w:r>
                            <w:r w:rsidRPr="001A1762">
                              <w:rPr>
                                <w:rFonts w:cs="Calibri"/>
                                <w:lang w:val="fr-FR"/>
                              </w:rPr>
                              <w:t xml:space="preserve"> </w:t>
                            </w:r>
                            <w:r w:rsidR="0002081B">
                              <w:rPr>
                                <w:rFonts w:cs="Calibri"/>
                                <w:lang w:val="fr-FR"/>
                              </w:rPr>
                              <w:t>S</w:t>
                            </w:r>
                            <w:r w:rsidRPr="001A1762">
                              <w:rPr>
                                <w:rFonts w:cs="Calibri"/>
                                <w:lang w:val="fr-FR"/>
                              </w:rPr>
                              <w:t>ession de la Conférence des Parties</w:t>
                            </w:r>
                            <w:r w:rsidRPr="001A1762">
                              <w:rPr>
                                <w:rFonts w:cs="Calibri"/>
                                <w:b/>
                                <w:lang w:val="fr-FR"/>
                              </w:rPr>
                              <w:t>.</w:t>
                            </w:r>
                          </w:p>
                          <w:p w14:paraId="0820293A" w14:textId="77777777" w:rsidR="0038035D" w:rsidRPr="001A1762" w:rsidRDefault="0038035D" w:rsidP="0038035D">
                            <w:pPr>
                              <w:widowControl w:val="0"/>
                              <w:spacing w:after="0" w:line="240" w:lineRule="auto"/>
                              <w:rPr>
                                <w:b/>
                                <w:highlight w:val="yellow"/>
                                <w:lang w:val="fr-FR"/>
                              </w:rPr>
                            </w:pPr>
                          </w:p>
                        </w:txbxContent>
                      </wps:txbx>
                      <wps:bodyPr rot="0" vert="horz" wrap="square" lIns="91440" tIns="45720" rIns="91440" bIns="45720" anchor="t" anchorCtr="0" upright="1">
                        <a:noAutofit/>
                      </wps:bodyPr>
                    </wps:wsp>
                  </a:graphicData>
                </a:graphic>
              </wp:inline>
            </w:drawing>
          </mc:Choice>
          <mc:Fallback>
            <w:pict>
              <v:shapetype w14:anchorId="0A819D28" id="_x0000_t202" coordsize="21600,21600" o:spt="202" path="m,l,21600r21600,l21600,xe">
                <v:stroke joinstyle="miter"/>
                <v:path gradientshapeok="t" o:connecttype="rect"/>
              </v:shapetype>
              <v:shape id="Text Box 2" o:spid="_x0000_s1026" type="#_x0000_t202" style="width:458.3pt;height: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">
                <v:textbox>
                  <w:txbxContent>
                    <w:p w14:paraId="2DBB70F1" w14:textId="438B6F88" w:rsidR="0038035D" w:rsidRPr="001A1762" w:rsidRDefault="0002081B" w:rsidP="0038035D">
                      <w:pPr>
                        <w:spacing w:after="0" w:line="240" w:lineRule="auto"/>
                        <w:rPr>
                          <w:rFonts w:cs="Calibri"/>
                          <w:b/>
                          <w:lang w:val="fr-FR"/>
                        </w:rPr>
                      </w:pPr>
                      <w:r>
                        <w:rPr>
                          <w:rFonts w:cs="Calibri"/>
                          <w:b/>
                          <w:lang w:val="fr-FR"/>
                        </w:rPr>
                        <w:t>Mesure</w:t>
                      </w:r>
                      <w:r w:rsidR="0038035D" w:rsidRPr="001A1762">
                        <w:rPr>
                          <w:rFonts w:cs="Calibri"/>
                          <w:b/>
                          <w:lang w:val="fr-FR"/>
                        </w:rPr>
                        <w:t xml:space="preserve"> requise :</w:t>
                      </w:r>
                    </w:p>
                    <w:p w14:paraId="0AE89243" w14:textId="77777777" w:rsidR="0038035D" w:rsidRPr="001A1762" w:rsidRDefault="0038035D" w:rsidP="0038035D">
                      <w:pPr>
                        <w:spacing w:after="0" w:line="240" w:lineRule="auto"/>
                        <w:rPr>
                          <w:rFonts w:cs="Calibri"/>
                          <w:b/>
                          <w:lang w:val="fr-FR"/>
                        </w:rPr>
                      </w:pPr>
                    </w:p>
                    <w:p w14:paraId="173FDD79" w14:textId="30210F82" w:rsidR="0038035D" w:rsidRPr="001A1762" w:rsidRDefault="0038035D" w:rsidP="0038035D">
                      <w:pPr>
                        <w:widowControl w:val="0"/>
                        <w:numPr>
                          <w:ilvl w:val="0"/>
                          <w:numId w:val="7"/>
                        </w:numPr>
                        <w:spacing w:after="0" w:line="240" w:lineRule="auto"/>
                        <w:ind w:left="426" w:hanging="426"/>
                        <w:rPr>
                          <w:b/>
                          <w:lang w:val="fr-FR"/>
                        </w:rPr>
                      </w:pPr>
                      <w:r w:rsidRPr="001A1762">
                        <w:rPr>
                          <w:rFonts w:cs="Calibri"/>
                          <w:lang w:val="fr-FR"/>
                        </w:rPr>
                        <w:t>Le Comité permanent est invité à examiner et à approuver le projet de résolution ci-joint pour examen à la 14</w:t>
                      </w:r>
                      <w:r w:rsidRPr="001A1762">
                        <w:rPr>
                          <w:rFonts w:cs="Calibri"/>
                          <w:vertAlign w:val="superscript"/>
                          <w:lang w:val="fr-FR"/>
                        </w:rPr>
                        <w:t>e</w:t>
                      </w:r>
                      <w:r w:rsidRPr="001A1762">
                        <w:rPr>
                          <w:rFonts w:cs="Calibri"/>
                          <w:lang w:val="fr-FR"/>
                        </w:rPr>
                        <w:t xml:space="preserve"> </w:t>
                      </w:r>
                      <w:r w:rsidR="0002081B">
                        <w:rPr>
                          <w:rFonts w:cs="Calibri"/>
                          <w:lang w:val="fr-FR"/>
                        </w:rPr>
                        <w:t>S</w:t>
                      </w:r>
                      <w:r w:rsidRPr="001A1762">
                        <w:rPr>
                          <w:rFonts w:cs="Calibri"/>
                          <w:lang w:val="fr-FR"/>
                        </w:rPr>
                        <w:t>ession de la Conférence des Parties</w:t>
                      </w:r>
                      <w:r w:rsidRPr="001A1762">
                        <w:rPr>
                          <w:rFonts w:cs="Calibri"/>
                          <w:b/>
                          <w:lang w:val="fr-FR"/>
                        </w:rPr>
                        <w:t>.</w:t>
                      </w:r>
                    </w:p>
                    <w:p w14:paraId="0820293A" w14:textId="77777777" w:rsidR="0038035D" w:rsidRPr="001A1762" w:rsidRDefault="0038035D" w:rsidP="0038035D">
                      <w:pPr>
                        <w:widowControl w:val="0"/>
                        <w:spacing w:after="0" w:line="240" w:lineRule="auto"/>
                        <w:rPr>
                          <w:b/>
                          <w:highlight w:val="yellow"/>
                          <w:lang w:val="fr-FR"/>
                        </w:rPr>
                      </w:pPr>
                    </w:p>
                  </w:txbxContent>
                </v:textbox>
                <w10:anchorlock/>
              </v:shape>
            </w:pict>
          </mc:Fallback>
        </mc:AlternateContent>
      </w:r>
    </w:p>
    <w:p w14:paraId="70F31742" w14:textId="77777777" w:rsidR="0038035D" w:rsidRPr="00BE2E9F" w:rsidRDefault="0038035D" w:rsidP="0038035D">
      <w:pPr>
        <w:spacing w:after="0" w:line="240" w:lineRule="auto"/>
        <w:rPr>
          <w:lang w:val="fr-FR"/>
        </w:rPr>
      </w:pPr>
    </w:p>
    <w:p w14:paraId="38D04254" w14:textId="77777777" w:rsidR="0038035D" w:rsidRPr="00BE2E9F" w:rsidRDefault="0038035D" w:rsidP="0038035D">
      <w:pPr>
        <w:spacing w:after="0" w:line="240" w:lineRule="auto"/>
        <w:rPr>
          <w:lang w:val="fr-FR"/>
        </w:rPr>
      </w:pPr>
    </w:p>
    <w:p w14:paraId="288D5407" w14:textId="77777777" w:rsidR="0038035D" w:rsidRPr="00BE2E9F" w:rsidRDefault="0038035D" w:rsidP="0038035D">
      <w:pPr>
        <w:spacing w:after="0" w:line="240" w:lineRule="auto"/>
        <w:rPr>
          <w:rFonts w:cstheme="minorHAnsi"/>
          <w:b/>
          <w:lang w:val="fr-FR"/>
        </w:rPr>
      </w:pPr>
      <w:r w:rsidRPr="00BE2E9F">
        <w:rPr>
          <w:rFonts w:cstheme="minorHAnsi"/>
          <w:b/>
          <w:lang w:val="fr-FR"/>
        </w:rPr>
        <w:t>Introduction</w:t>
      </w:r>
    </w:p>
    <w:p w14:paraId="50DD5D45" w14:textId="77777777" w:rsidR="0038035D" w:rsidRPr="00BE2E9F" w:rsidRDefault="0038035D" w:rsidP="0038035D">
      <w:pPr>
        <w:spacing w:after="0" w:line="240" w:lineRule="auto"/>
        <w:rPr>
          <w:rFonts w:cstheme="minorBidi"/>
          <w:b/>
          <w:lang w:val="fr-FR"/>
        </w:rPr>
      </w:pPr>
    </w:p>
    <w:p w14:paraId="574FF9E8" w14:textId="59835C72" w:rsidR="0038035D" w:rsidRPr="00BE2E9F" w:rsidRDefault="0038035D" w:rsidP="0038035D">
      <w:pPr>
        <w:spacing w:after="0" w:line="240" w:lineRule="auto"/>
        <w:rPr>
          <w:rFonts w:cstheme="minorBidi"/>
          <w:lang w:val="fr-FR"/>
        </w:rPr>
      </w:pPr>
      <w:r>
        <w:rPr>
          <w:rFonts w:cstheme="minorHAnsi"/>
          <w:lang w:val="fr-FR"/>
        </w:rPr>
        <w:t>Adoptée à</w:t>
      </w:r>
      <w:r w:rsidRPr="00BE2E9F">
        <w:rPr>
          <w:rFonts w:cstheme="minorBidi"/>
          <w:lang w:val="fr-FR"/>
        </w:rPr>
        <w:t xml:space="preserve"> la </w:t>
      </w:r>
      <w:r w:rsidR="0002081B">
        <w:rPr>
          <w:rFonts w:cstheme="minorBidi"/>
          <w:lang w:val="fr-FR"/>
        </w:rPr>
        <w:t>13</w:t>
      </w:r>
      <w:r w:rsidR="0002081B" w:rsidRPr="0002081B">
        <w:rPr>
          <w:rFonts w:cstheme="minorBidi"/>
          <w:vertAlign w:val="superscript"/>
          <w:lang w:val="fr-FR"/>
        </w:rPr>
        <w:t>e</w:t>
      </w:r>
      <w:r w:rsidR="0002081B">
        <w:rPr>
          <w:rFonts w:cstheme="minorBidi"/>
          <w:lang w:val="fr-FR"/>
        </w:rPr>
        <w:t xml:space="preserve"> S</w:t>
      </w:r>
      <w:r w:rsidRPr="00BE2E9F">
        <w:rPr>
          <w:rFonts w:cstheme="minorBidi"/>
          <w:lang w:val="fr-FR"/>
        </w:rPr>
        <w:t>ession de la COP</w:t>
      </w:r>
      <w:r>
        <w:rPr>
          <w:rFonts w:cstheme="minorBidi"/>
          <w:lang w:val="fr-FR"/>
        </w:rPr>
        <w:t>,</w:t>
      </w:r>
      <w:r w:rsidRPr="00BE2E9F">
        <w:rPr>
          <w:rFonts w:cstheme="minorBidi"/>
          <w:lang w:val="fr-FR"/>
        </w:rPr>
        <w:t xml:space="preserve"> </w:t>
      </w:r>
      <w:r>
        <w:rPr>
          <w:rFonts w:cstheme="minorBidi"/>
          <w:lang w:val="fr-FR"/>
        </w:rPr>
        <w:t xml:space="preserve">la </w:t>
      </w:r>
      <w:r w:rsidR="0002081B">
        <w:rPr>
          <w:rFonts w:cstheme="minorBidi"/>
          <w:lang w:val="fr-FR"/>
        </w:rPr>
        <w:t>R</w:t>
      </w:r>
      <w:r>
        <w:rPr>
          <w:rFonts w:cstheme="minorBidi"/>
          <w:lang w:val="fr-FR"/>
        </w:rPr>
        <w:t>ésolution XIII.3 charge</w:t>
      </w:r>
      <w:r w:rsidRPr="00BE2E9F">
        <w:rPr>
          <w:rFonts w:cstheme="minorBidi"/>
          <w:lang w:val="fr-FR"/>
        </w:rPr>
        <w:t xml:space="preserve"> le Groupe de travail sur l’efficacité d’examiner la structure de gouvernance de la Convention et de rendre compte de ses recommandations finales, </w:t>
      </w:r>
      <w:r>
        <w:rPr>
          <w:rFonts w:cstheme="minorBidi"/>
          <w:lang w:val="fr-FR"/>
        </w:rPr>
        <w:t>dont</w:t>
      </w:r>
      <w:r w:rsidRPr="00BE2E9F">
        <w:rPr>
          <w:rFonts w:cstheme="minorBidi"/>
          <w:lang w:val="fr-FR"/>
        </w:rPr>
        <w:t xml:space="preserve"> un projet de résolution décrit ci-</w:t>
      </w:r>
      <w:r>
        <w:rPr>
          <w:rFonts w:cstheme="minorBidi"/>
          <w:lang w:val="fr-FR"/>
        </w:rPr>
        <w:t>dessous</w:t>
      </w:r>
      <w:r w:rsidRPr="00BE2E9F">
        <w:rPr>
          <w:rFonts w:cstheme="minorBidi"/>
          <w:lang w:val="fr-FR"/>
        </w:rPr>
        <w:t xml:space="preserve"> :</w:t>
      </w:r>
    </w:p>
    <w:p w14:paraId="32330AF4" w14:textId="77777777" w:rsidR="0038035D" w:rsidRPr="00BE2E9F" w:rsidRDefault="0038035D" w:rsidP="0038035D">
      <w:pPr>
        <w:spacing w:after="0" w:line="240" w:lineRule="auto"/>
        <w:rPr>
          <w:rFonts w:cstheme="minorHAnsi"/>
          <w:lang w:val="fr-FR"/>
        </w:rPr>
      </w:pPr>
    </w:p>
    <w:p w14:paraId="6B380C07" w14:textId="77777777" w:rsidR="0038035D" w:rsidRPr="00BE2E9F" w:rsidRDefault="0038035D" w:rsidP="0038035D">
      <w:pPr>
        <w:spacing w:after="0" w:line="240" w:lineRule="auto"/>
        <w:ind w:left="720"/>
        <w:rPr>
          <w:rFonts w:cstheme="minorHAnsi"/>
          <w:lang w:val="fr-FR"/>
        </w:rPr>
      </w:pPr>
      <w:r w:rsidRPr="00BE2E9F">
        <w:rPr>
          <w:rFonts w:cstheme="minorHAnsi"/>
          <w:lang w:val="fr-FR"/>
        </w:rPr>
        <w:t xml:space="preserve">« 14. </w:t>
      </w:r>
      <w:r w:rsidRPr="00BE2E9F">
        <w:rPr>
          <w:rStyle w:val="markedcontent"/>
          <w:rFonts w:cstheme="minorHAnsi"/>
          <w:lang w:val="fr-FR"/>
        </w:rPr>
        <w:t>DEMANDE au Groupe de travail sur l’efficacité d’examiner, avec l’assistance d’un consultant indépendant, la structure de gouvernance de la Convention telle qu’elle se présente à la clôture de la 13</w:t>
      </w:r>
      <w:r w:rsidRPr="00B14880">
        <w:rPr>
          <w:rStyle w:val="markedcontent"/>
          <w:rFonts w:cstheme="minorHAnsi"/>
          <w:vertAlign w:val="superscript"/>
          <w:lang w:val="fr-FR"/>
        </w:rPr>
        <w:t>e</w:t>
      </w:r>
      <w:r w:rsidRPr="00BE2E9F">
        <w:rPr>
          <w:rStyle w:val="markedcontent"/>
          <w:rFonts w:cstheme="minorHAnsi"/>
          <w:lang w:val="fr-FR"/>
        </w:rPr>
        <w:t xml:space="preserve"> Session de la Conférence des Parties contractantes, aux fins de </w:t>
      </w:r>
      <w:r w:rsidRPr="00BE2E9F">
        <w:rPr>
          <w:rFonts w:cstheme="minorHAnsi"/>
          <w:lang w:val="fr-FR"/>
        </w:rPr>
        <w:t>:</w:t>
      </w:r>
    </w:p>
    <w:p w14:paraId="60325D21" w14:textId="77777777" w:rsidR="0038035D" w:rsidRPr="00BE2E9F" w:rsidRDefault="0038035D" w:rsidP="0038035D">
      <w:pPr>
        <w:spacing w:after="0" w:line="240" w:lineRule="auto"/>
        <w:ind w:left="851"/>
        <w:rPr>
          <w:color w:val="000000" w:themeColor="text1"/>
          <w:lang w:val="fr-FR"/>
        </w:rPr>
      </w:pPr>
    </w:p>
    <w:p w14:paraId="072BAD1C" w14:textId="77777777" w:rsidR="0038035D" w:rsidRPr="00BE2E9F" w:rsidRDefault="0038035D" w:rsidP="0002081B">
      <w:pPr>
        <w:pStyle w:val="ListParagraph"/>
        <w:numPr>
          <w:ilvl w:val="1"/>
          <w:numId w:val="9"/>
        </w:numPr>
        <w:spacing w:after="0" w:line="240" w:lineRule="auto"/>
        <w:rPr>
          <w:rFonts w:cstheme="minorHAnsi"/>
          <w:color w:val="000000" w:themeColor="text1"/>
          <w:lang w:val="fr-FR"/>
        </w:rPr>
      </w:pPr>
      <w:r w:rsidRPr="00BE2E9F">
        <w:rPr>
          <w:rStyle w:val="markedcontent"/>
          <w:rFonts w:cstheme="minorHAnsi"/>
          <w:lang w:val="fr-FR"/>
        </w:rPr>
        <w:t xml:space="preserve">recommander des révisions (le cas échéant) qui renforcent encore l’efficacité, y compris la </w:t>
      </w:r>
      <w:r w:rsidRPr="00BE2E9F">
        <w:rPr>
          <w:lang w:val="fr-FR"/>
        </w:rPr>
        <w:t>rentabilité</w:t>
      </w:r>
      <w:r w:rsidRPr="00BE2E9F">
        <w:rPr>
          <w:rStyle w:val="markedcontent"/>
          <w:rFonts w:cstheme="minorHAnsi"/>
          <w:lang w:val="fr-FR"/>
        </w:rPr>
        <w:t>, et l’efficience de la Convention, afin de réduire les charges administratives et d’accélérer la réalisation de la mission de la Convention de Ramsar ; et</w:t>
      </w:r>
      <w:r w:rsidRPr="00BE2E9F">
        <w:rPr>
          <w:rFonts w:cstheme="minorHAnsi"/>
          <w:color w:val="000000" w:themeColor="text1"/>
          <w:lang w:val="fr-FR"/>
        </w:rPr>
        <w:t>,</w:t>
      </w:r>
    </w:p>
    <w:p w14:paraId="319CB0C9" w14:textId="77777777" w:rsidR="0038035D" w:rsidRPr="00BE2E9F" w:rsidRDefault="0038035D" w:rsidP="0038035D">
      <w:pPr>
        <w:spacing w:after="0" w:line="240" w:lineRule="auto"/>
        <w:ind w:left="851"/>
        <w:rPr>
          <w:rFonts w:cstheme="minorHAnsi"/>
          <w:color w:val="000000" w:themeColor="text1"/>
          <w:lang w:val="fr-FR"/>
        </w:rPr>
      </w:pPr>
    </w:p>
    <w:p w14:paraId="6336EFE6" w14:textId="77777777" w:rsidR="0038035D" w:rsidRPr="00BE2E9F" w:rsidRDefault="0038035D" w:rsidP="0002081B">
      <w:pPr>
        <w:pStyle w:val="ListParagraph"/>
        <w:numPr>
          <w:ilvl w:val="1"/>
          <w:numId w:val="9"/>
        </w:numPr>
        <w:spacing w:after="0" w:line="240" w:lineRule="auto"/>
        <w:rPr>
          <w:rFonts w:eastAsiaTheme="minorEastAsia" w:cstheme="minorHAnsi"/>
          <w:color w:val="000000" w:themeColor="text1"/>
          <w:lang w:val="fr-FR"/>
        </w:rPr>
      </w:pPr>
      <w:r w:rsidRPr="00BE2E9F">
        <w:rPr>
          <w:rStyle w:val="markedcontent"/>
          <w:rFonts w:cstheme="minorHAnsi"/>
          <w:lang w:val="fr-FR"/>
        </w:rPr>
        <w:t>proposer un processus d’application de ses recommandations.</w:t>
      </w:r>
    </w:p>
    <w:p w14:paraId="4D9E4570" w14:textId="77777777" w:rsidR="0038035D" w:rsidRPr="00BE2E9F" w:rsidRDefault="0038035D" w:rsidP="0038035D">
      <w:pPr>
        <w:spacing w:after="0" w:line="240" w:lineRule="auto"/>
        <w:ind w:right="16"/>
        <w:rPr>
          <w:rFonts w:eastAsia="Times New Roman" w:cstheme="minorHAnsi"/>
          <w:lang w:val="fr-FR"/>
        </w:rPr>
      </w:pPr>
    </w:p>
    <w:p w14:paraId="4BDAAF55" w14:textId="161CE12F" w:rsidR="0038035D" w:rsidRPr="00BE2E9F" w:rsidRDefault="0038035D" w:rsidP="0038035D">
      <w:pPr>
        <w:spacing w:after="0" w:line="240" w:lineRule="auto"/>
        <w:rPr>
          <w:rFonts w:cs="Calibri"/>
          <w:b/>
          <w:bCs/>
          <w:lang w:val="fr-FR"/>
        </w:rPr>
      </w:pPr>
      <w:r w:rsidRPr="00BE2E9F">
        <w:rPr>
          <w:rFonts w:eastAsia="Times New Roman" w:cstheme="minorBidi"/>
          <w:lang w:val="fr-FR"/>
        </w:rPr>
        <w:t xml:space="preserve">Le projet de </w:t>
      </w:r>
      <w:r w:rsidRPr="00B14880">
        <w:rPr>
          <w:rFonts w:cstheme="minorBidi"/>
          <w:lang w:val="fr-FR"/>
        </w:rPr>
        <w:t>résolution</w:t>
      </w:r>
      <w:r w:rsidRPr="00BE2E9F">
        <w:rPr>
          <w:rFonts w:eastAsia="Times New Roman" w:cstheme="minorBidi"/>
          <w:lang w:val="fr-FR"/>
        </w:rPr>
        <w:t xml:space="preserve"> ci-après </w:t>
      </w:r>
      <w:r>
        <w:rPr>
          <w:rFonts w:eastAsia="Times New Roman" w:cstheme="minorBidi"/>
          <w:lang w:val="fr-FR"/>
        </w:rPr>
        <w:t>applique</w:t>
      </w:r>
      <w:r w:rsidRPr="00BE2E9F">
        <w:rPr>
          <w:rFonts w:eastAsia="Times New Roman" w:cstheme="minorBidi"/>
          <w:lang w:val="fr-FR"/>
        </w:rPr>
        <w:t xml:space="preserve"> les recommandations du Groupe de travail sur l'efficacité, telles qu</w:t>
      </w:r>
      <w:r>
        <w:rPr>
          <w:rFonts w:eastAsia="Times New Roman" w:cstheme="minorBidi"/>
          <w:lang w:val="fr-FR"/>
        </w:rPr>
        <w:t>’</w:t>
      </w:r>
      <w:r w:rsidRPr="00BE2E9F">
        <w:rPr>
          <w:rFonts w:eastAsia="Times New Roman" w:cstheme="minorBidi"/>
          <w:lang w:val="fr-FR"/>
        </w:rPr>
        <w:t>e</w:t>
      </w:r>
      <w:r>
        <w:rPr>
          <w:rFonts w:eastAsia="Times New Roman" w:cstheme="minorBidi"/>
          <w:lang w:val="fr-FR"/>
        </w:rPr>
        <w:t>lles sont</w:t>
      </w:r>
      <w:r w:rsidRPr="00BE2E9F">
        <w:rPr>
          <w:rFonts w:eastAsia="Times New Roman" w:cstheme="minorBidi"/>
          <w:lang w:val="fr-FR"/>
        </w:rPr>
        <w:t xml:space="preserve"> décrites dans le rapport du </w:t>
      </w:r>
      <w:r w:rsidR="0002081B">
        <w:rPr>
          <w:rFonts w:eastAsia="Times New Roman" w:cstheme="minorBidi"/>
          <w:lang w:val="fr-FR"/>
        </w:rPr>
        <w:t>G</w:t>
      </w:r>
      <w:r w:rsidRPr="00BE2E9F">
        <w:rPr>
          <w:rFonts w:eastAsia="Times New Roman" w:cstheme="minorBidi"/>
          <w:lang w:val="fr-FR"/>
        </w:rPr>
        <w:t>roupe.</w:t>
      </w:r>
    </w:p>
    <w:p w14:paraId="1F851AF6" w14:textId="77777777" w:rsidR="0038035D" w:rsidRPr="00BE2E9F" w:rsidRDefault="0038035D" w:rsidP="0038035D">
      <w:pPr>
        <w:spacing w:after="0" w:line="240" w:lineRule="auto"/>
        <w:rPr>
          <w:rFonts w:eastAsia="Times New Roman" w:cstheme="minorBidi"/>
          <w:b/>
          <w:bCs/>
          <w:lang w:val="fr-FR"/>
        </w:rPr>
      </w:pPr>
      <w:r w:rsidRPr="00BE2E9F">
        <w:rPr>
          <w:rFonts w:eastAsia="Times New Roman" w:cstheme="minorBidi"/>
          <w:b/>
          <w:bCs/>
          <w:lang w:val="fr-FR"/>
        </w:rPr>
        <w:br w:type="page"/>
      </w:r>
    </w:p>
    <w:p w14:paraId="506802FE" w14:textId="29A9C67E" w:rsidR="0038035D" w:rsidRPr="00BE2E9F" w:rsidRDefault="0038035D" w:rsidP="0038035D">
      <w:pPr>
        <w:spacing w:after="0" w:line="240" w:lineRule="auto"/>
        <w:ind w:right="16"/>
        <w:rPr>
          <w:rFonts w:eastAsia="Times New Roman" w:cstheme="minorBidi"/>
          <w:b/>
          <w:bCs/>
          <w:lang w:val="fr-FR"/>
        </w:rPr>
      </w:pPr>
      <w:r w:rsidRPr="00BE2E9F">
        <w:rPr>
          <w:rFonts w:eastAsia="Times New Roman" w:cstheme="minorBidi"/>
          <w:b/>
          <w:bCs/>
          <w:lang w:val="fr-FR"/>
        </w:rPr>
        <w:lastRenderedPageBreak/>
        <w:t>Projet de résolution XX</w:t>
      </w:r>
    </w:p>
    <w:p w14:paraId="4147A9E2" w14:textId="77777777" w:rsidR="0038035D" w:rsidRPr="00BE2E9F" w:rsidRDefault="0038035D" w:rsidP="0038035D">
      <w:pPr>
        <w:spacing w:after="0" w:line="240" w:lineRule="auto"/>
        <w:rPr>
          <w:rFonts w:cstheme="minorHAnsi"/>
          <w:b/>
          <w:lang w:val="fr-FR"/>
        </w:rPr>
      </w:pPr>
    </w:p>
    <w:p w14:paraId="754D143F" w14:textId="30C5852F" w:rsidR="0038035D" w:rsidRPr="00B663F1" w:rsidRDefault="00B663F1" w:rsidP="00B663F1">
      <w:pPr>
        <w:spacing w:after="0" w:line="240" w:lineRule="auto"/>
        <w:ind w:left="426" w:hanging="426"/>
        <w:rPr>
          <w:rFonts w:cstheme="minorBidi"/>
          <w:lang w:val="fr-FR"/>
        </w:rPr>
      </w:pPr>
      <w:r>
        <w:rPr>
          <w:rFonts w:cstheme="minorBidi"/>
          <w:lang w:val="fr-FR"/>
        </w:rPr>
        <w:t>1.</w:t>
      </w:r>
      <w:r>
        <w:rPr>
          <w:rFonts w:cstheme="minorBidi"/>
          <w:lang w:val="fr-FR"/>
        </w:rPr>
        <w:tab/>
      </w:r>
      <w:r w:rsidR="0038035D" w:rsidRPr="00B663F1">
        <w:rPr>
          <w:rFonts w:cstheme="minorBidi"/>
          <w:lang w:val="fr-FR"/>
        </w:rPr>
        <w:t>RECONNAISSANT l’importance d’une mise en place de dispositifs institutionnels efficaces pour la Convention de Ramsar, convention mondiale réunissant 172 Parties ;</w:t>
      </w:r>
    </w:p>
    <w:p w14:paraId="290EAA3A" w14:textId="77777777" w:rsidR="0038035D" w:rsidRPr="00BE2E9F" w:rsidRDefault="0038035D" w:rsidP="00B663F1">
      <w:pPr>
        <w:pStyle w:val="ListParagraph"/>
        <w:spacing w:after="0" w:line="240" w:lineRule="auto"/>
        <w:ind w:left="426" w:hanging="426"/>
        <w:rPr>
          <w:rFonts w:cstheme="minorBidi"/>
          <w:lang w:val="fr-FR"/>
        </w:rPr>
      </w:pPr>
    </w:p>
    <w:p w14:paraId="32A537EE" w14:textId="60C39B0C" w:rsidR="0038035D" w:rsidRPr="00B663F1" w:rsidRDefault="00B663F1" w:rsidP="00B663F1">
      <w:pPr>
        <w:spacing w:after="0" w:line="240" w:lineRule="auto"/>
        <w:ind w:left="426" w:hanging="426"/>
        <w:rPr>
          <w:rFonts w:cstheme="minorHAnsi"/>
          <w:lang w:val="fr-FR"/>
        </w:rPr>
      </w:pPr>
      <w:r>
        <w:rPr>
          <w:rFonts w:cstheme="minorHAnsi"/>
          <w:lang w:val="fr-FR"/>
        </w:rPr>
        <w:t>2.</w:t>
      </w:r>
      <w:r>
        <w:rPr>
          <w:rFonts w:cstheme="minorHAnsi"/>
          <w:lang w:val="fr-FR"/>
        </w:rPr>
        <w:tab/>
      </w:r>
      <w:r w:rsidR="0038035D" w:rsidRPr="00B663F1">
        <w:rPr>
          <w:rFonts w:cstheme="minorHAnsi"/>
          <w:lang w:val="fr-FR"/>
        </w:rPr>
        <w:t>RAPPELANT que la Convention a pour mission la conservation et l’utilisation rationnelle de toutes les zones humides par des actions locales et nationales, et par la coopération internationale, en tant que contribution à la réalisation du développement durable dans le monde entier ;</w:t>
      </w:r>
    </w:p>
    <w:p w14:paraId="075F7C88" w14:textId="77777777" w:rsidR="0038035D" w:rsidRPr="00BE2E9F" w:rsidRDefault="0038035D" w:rsidP="00B663F1">
      <w:pPr>
        <w:pStyle w:val="ListParagraph"/>
        <w:spacing w:after="0" w:line="240" w:lineRule="auto"/>
        <w:ind w:left="426" w:hanging="426"/>
        <w:rPr>
          <w:rFonts w:cstheme="minorHAnsi"/>
          <w:lang w:val="fr-FR"/>
        </w:rPr>
      </w:pPr>
    </w:p>
    <w:p w14:paraId="7539236D" w14:textId="4FCDB351" w:rsidR="0038035D" w:rsidRPr="00B663F1" w:rsidRDefault="00B663F1" w:rsidP="00B663F1">
      <w:pPr>
        <w:spacing w:after="0" w:line="240" w:lineRule="auto"/>
        <w:ind w:left="426" w:hanging="426"/>
        <w:rPr>
          <w:rFonts w:cstheme="minorHAnsi"/>
          <w:lang w:val="fr-FR"/>
        </w:rPr>
      </w:pPr>
      <w:r>
        <w:rPr>
          <w:rStyle w:val="markedcontent"/>
          <w:rFonts w:cstheme="minorHAnsi"/>
          <w:lang w:val="fr-FR"/>
        </w:rPr>
        <w:t>3.</w:t>
      </w:r>
      <w:r>
        <w:rPr>
          <w:rStyle w:val="markedcontent"/>
          <w:rFonts w:cstheme="minorHAnsi"/>
          <w:lang w:val="fr-FR"/>
        </w:rPr>
        <w:tab/>
      </w:r>
      <w:r w:rsidR="0038035D" w:rsidRPr="00B663F1">
        <w:rPr>
          <w:rStyle w:val="markedcontent"/>
          <w:rFonts w:cstheme="minorHAnsi"/>
          <w:lang w:val="fr-FR"/>
        </w:rPr>
        <w:t>RAPPELANT EN OUTRE que les Parties contractantes se sont engagées à réaliser la mission de la Convention, sur leur propre territoire et en coopérant à l’échelon mondial et avec les autres Parties contractantes </w:t>
      </w:r>
      <w:r w:rsidR="0038035D" w:rsidRPr="00B663F1">
        <w:rPr>
          <w:rFonts w:cstheme="minorHAnsi"/>
          <w:lang w:val="fr-FR"/>
        </w:rPr>
        <w:t>;</w:t>
      </w:r>
    </w:p>
    <w:p w14:paraId="2C110B61" w14:textId="77777777" w:rsidR="0038035D" w:rsidRPr="00BE2E9F" w:rsidRDefault="0038035D" w:rsidP="00B663F1">
      <w:pPr>
        <w:pStyle w:val="ListParagraph"/>
        <w:spacing w:after="0" w:line="240" w:lineRule="auto"/>
        <w:ind w:left="426" w:hanging="426"/>
        <w:rPr>
          <w:rFonts w:cstheme="minorHAnsi"/>
          <w:lang w:val="fr-FR"/>
        </w:rPr>
      </w:pPr>
    </w:p>
    <w:p w14:paraId="24EE489B" w14:textId="5ACE5FBA" w:rsidR="0038035D" w:rsidRPr="00B663F1" w:rsidRDefault="00B663F1" w:rsidP="00B663F1">
      <w:pPr>
        <w:spacing w:after="0" w:line="240" w:lineRule="auto"/>
        <w:ind w:left="426" w:hanging="426"/>
        <w:rPr>
          <w:rFonts w:cstheme="minorHAnsi"/>
          <w:lang w:val="fr-FR"/>
        </w:rPr>
      </w:pPr>
      <w:r>
        <w:rPr>
          <w:rFonts w:cstheme="minorHAnsi"/>
          <w:lang w:val="fr-FR"/>
        </w:rPr>
        <w:t>4.</w:t>
      </w:r>
      <w:r>
        <w:rPr>
          <w:rFonts w:cstheme="minorHAnsi"/>
          <w:lang w:val="fr-FR"/>
        </w:rPr>
        <w:tab/>
      </w:r>
      <w:r w:rsidR="0038035D" w:rsidRPr="00B663F1">
        <w:rPr>
          <w:rFonts w:cstheme="minorHAnsi"/>
          <w:lang w:val="fr-FR"/>
        </w:rPr>
        <w:t xml:space="preserve">RAPPELANT ÉGALEMENT que dans la résolution XIII.3, </w:t>
      </w:r>
      <w:r w:rsidR="0038035D" w:rsidRPr="00B663F1">
        <w:rPr>
          <w:rFonts w:cstheme="minorHAnsi"/>
          <w:i/>
          <w:lang w:val="fr-FR"/>
        </w:rPr>
        <w:t>Gouvernance de la Convention</w:t>
      </w:r>
      <w:r w:rsidR="0038035D" w:rsidRPr="00B663F1">
        <w:rPr>
          <w:rFonts w:cstheme="minorHAnsi"/>
          <w:lang w:val="fr-FR"/>
        </w:rPr>
        <w:t>, la Conférence des Parties a créé le Groupe de travail sur l’efficacité chargé d’examiner la structure de gouvernance de la Convention et de rendre compte de ses recommandations finales, dont un projet de résolution</w:t>
      </w:r>
    </w:p>
    <w:p w14:paraId="646416E8" w14:textId="77777777" w:rsidR="0038035D" w:rsidRPr="00BE2E9F" w:rsidRDefault="0038035D" w:rsidP="00B663F1">
      <w:pPr>
        <w:pStyle w:val="ListParagraph"/>
        <w:spacing w:after="0" w:line="240" w:lineRule="auto"/>
        <w:ind w:left="426" w:hanging="426"/>
        <w:rPr>
          <w:rFonts w:cstheme="minorHAnsi"/>
          <w:lang w:val="fr-FR"/>
        </w:rPr>
      </w:pPr>
    </w:p>
    <w:p w14:paraId="6ECFAFC0" w14:textId="21BADD3E" w:rsidR="0038035D" w:rsidRPr="00B663F1" w:rsidRDefault="00B663F1" w:rsidP="00B663F1">
      <w:pPr>
        <w:spacing w:after="0" w:line="240" w:lineRule="auto"/>
        <w:ind w:left="426" w:hanging="426"/>
        <w:rPr>
          <w:rFonts w:cstheme="minorHAnsi"/>
          <w:lang w:val="fr-FR"/>
        </w:rPr>
      </w:pPr>
      <w:r>
        <w:rPr>
          <w:rFonts w:cstheme="minorHAnsi"/>
          <w:lang w:val="fr-FR"/>
        </w:rPr>
        <w:t>5.</w:t>
      </w:r>
      <w:r>
        <w:rPr>
          <w:rFonts w:cstheme="minorHAnsi"/>
          <w:lang w:val="fr-FR"/>
        </w:rPr>
        <w:tab/>
      </w:r>
      <w:r w:rsidR="0038035D" w:rsidRPr="00B663F1">
        <w:rPr>
          <w:rFonts w:cstheme="minorHAnsi"/>
          <w:lang w:val="fr-FR"/>
        </w:rPr>
        <w:t xml:space="preserve">EXPRIMANT SA GRATITUDE à tous les organes et groupes de travail de la Convention pour les réalisations et les avantages obtenus grâce à leurs travaux ; </w:t>
      </w:r>
    </w:p>
    <w:p w14:paraId="3096410D" w14:textId="77777777" w:rsidR="0038035D" w:rsidRPr="00BE2E9F" w:rsidRDefault="0038035D" w:rsidP="00B663F1">
      <w:pPr>
        <w:pStyle w:val="ListParagraph"/>
        <w:spacing w:after="0" w:line="240" w:lineRule="auto"/>
        <w:ind w:left="426" w:hanging="426"/>
        <w:rPr>
          <w:rFonts w:eastAsiaTheme="minorEastAsia" w:cstheme="minorBidi"/>
          <w:lang w:val="fr-FR"/>
        </w:rPr>
      </w:pPr>
    </w:p>
    <w:p w14:paraId="0F4A6392" w14:textId="5918095E" w:rsidR="0038035D" w:rsidRPr="00B663F1" w:rsidRDefault="00B663F1" w:rsidP="00B663F1">
      <w:pPr>
        <w:spacing w:after="0" w:line="240" w:lineRule="auto"/>
        <w:ind w:left="426" w:hanging="426"/>
        <w:rPr>
          <w:rStyle w:val="normaltextrun"/>
          <w:rFonts w:cstheme="minorBidi"/>
          <w:lang w:val="fr-FR"/>
        </w:rPr>
      </w:pPr>
      <w:r>
        <w:rPr>
          <w:rFonts w:eastAsiaTheme="minorEastAsia" w:cstheme="minorBidi"/>
          <w:lang w:val="fr-FR"/>
        </w:rPr>
        <w:t>6.</w:t>
      </w:r>
      <w:r>
        <w:rPr>
          <w:rFonts w:eastAsiaTheme="minorEastAsia" w:cstheme="minorBidi"/>
          <w:lang w:val="fr-FR"/>
        </w:rPr>
        <w:tab/>
      </w:r>
      <w:r w:rsidR="0038035D" w:rsidRPr="00B663F1">
        <w:rPr>
          <w:rFonts w:eastAsiaTheme="minorEastAsia" w:cstheme="minorBidi"/>
          <w:lang w:val="fr-FR"/>
        </w:rPr>
        <w:t>RECONNAISSANT EN OUTRE les rapports et l’étude commandée sur la gouvernance de la Convention de Ramsar, en application des dispositions de la Résolution XIII.3</w:t>
      </w:r>
      <w:r w:rsidR="0038035D" w:rsidRPr="00BE2E9F">
        <w:rPr>
          <w:rStyle w:val="FootnoteReference"/>
          <w:rFonts w:cstheme="minorBidi"/>
          <w:lang w:val="fr-FR"/>
        </w:rPr>
        <w:footnoteReference w:id="1"/>
      </w:r>
      <w:r w:rsidR="0038035D" w:rsidRPr="00B663F1">
        <w:rPr>
          <w:rFonts w:eastAsiaTheme="minorEastAsia" w:cstheme="minorBidi"/>
          <w:lang w:val="fr-FR"/>
        </w:rPr>
        <w:t> </w:t>
      </w:r>
      <w:r w:rsidR="0038035D" w:rsidRPr="00B663F1">
        <w:rPr>
          <w:rStyle w:val="normaltextrun"/>
          <w:rFonts w:cstheme="minorBidi"/>
          <w:lang w:val="fr-FR"/>
        </w:rPr>
        <w:t>;</w:t>
      </w:r>
    </w:p>
    <w:p w14:paraId="33DA9555" w14:textId="77777777" w:rsidR="0038035D" w:rsidRPr="00BE2E9F" w:rsidRDefault="0038035D" w:rsidP="00B663F1">
      <w:pPr>
        <w:pStyle w:val="ListParagraph"/>
        <w:spacing w:after="0" w:line="240" w:lineRule="auto"/>
        <w:ind w:left="426" w:hanging="426"/>
        <w:rPr>
          <w:rFonts w:cstheme="minorBidi"/>
          <w:lang w:val="fr-FR"/>
        </w:rPr>
      </w:pPr>
    </w:p>
    <w:p w14:paraId="639FA7AE" w14:textId="10DE3CFD" w:rsidR="0038035D" w:rsidRPr="00B663F1" w:rsidRDefault="00B663F1" w:rsidP="00B663F1">
      <w:pPr>
        <w:spacing w:after="0" w:line="240" w:lineRule="auto"/>
        <w:ind w:left="426" w:hanging="426"/>
        <w:rPr>
          <w:rFonts w:cstheme="minorBidi"/>
          <w:lang w:val="fr-FR"/>
        </w:rPr>
      </w:pPr>
      <w:r>
        <w:rPr>
          <w:rFonts w:cstheme="minorHAnsi"/>
          <w:lang w:val="fr-FR"/>
        </w:rPr>
        <w:t>7.</w:t>
      </w:r>
      <w:r>
        <w:rPr>
          <w:rFonts w:cstheme="minorHAnsi"/>
          <w:lang w:val="fr-FR"/>
        </w:rPr>
        <w:tab/>
      </w:r>
      <w:r w:rsidR="0038035D" w:rsidRPr="00B663F1">
        <w:rPr>
          <w:rFonts w:cstheme="minorHAnsi"/>
          <w:lang w:val="fr-FR"/>
        </w:rPr>
        <w:t>RAPPELANT ÉGALEMENT les dispositions de la résolution</w:t>
      </w:r>
      <w:r w:rsidR="0038035D" w:rsidRPr="00B663F1">
        <w:rPr>
          <w:rStyle w:val="normaltextrun"/>
          <w:rFonts w:cstheme="minorHAnsi"/>
          <w:shd w:val="clear" w:color="auto" w:fill="FFFFFF"/>
          <w:lang w:val="fr-FR"/>
        </w:rPr>
        <w:t xml:space="preserve"> XIII.4, </w:t>
      </w:r>
      <w:r w:rsidR="0038035D" w:rsidRPr="00B663F1">
        <w:rPr>
          <w:rFonts w:cstheme="minorHAnsi"/>
          <w:i/>
          <w:lang w:val="fr-FR"/>
        </w:rPr>
        <w:t>Responsabilités, rôle et composition du Comité permanent et répartition régionale des pays dans le cadre de la Convention de Ramsar</w:t>
      </w:r>
      <w:r w:rsidR="0038035D" w:rsidRPr="00B663F1">
        <w:rPr>
          <w:rFonts w:cstheme="minorHAnsi"/>
          <w:lang w:val="fr-FR"/>
        </w:rPr>
        <w:t>, et les décisions ultérieures du Comité permanent relatives à l’examen de toutes les résolutions et décisions précédentes</w:t>
      </w:r>
      <w:r w:rsidR="0038035D" w:rsidRPr="00BE2E9F">
        <w:rPr>
          <w:rStyle w:val="FootnoteReference"/>
          <w:lang w:val="fr-FR"/>
        </w:rPr>
        <w:footnoteReference w:id="2"/>
      </w:r>
      <w:r w:rsidR="0038035D" w:rsidRPr="00B663F1">
        <w:rPr>
          <w:lang w:val="fr-FR"/>
        </w:rPr>
        <w:t xml:space="preserve">; </w:t>
      </w:r>
    </w:p>
    <w:p w14:paraId="7EF0BB30" w14:textId="77777777" w:rsidR="0038035D" w:rsidRPr="00BE2E9F" w:rsidRDefault="0038035D" w:rsidP="00B663F1">
      <w:pPr>
        <w:pStyle w:val="ListParagraph"/>
        <w:spacing w:after="0" w:line="240" w:lineRule="auto"/>
        <w:ind w:left="426" w:hanging="426"/>
        <w:rPr>
          <w:lang w:val="fr-FR"/>
        </w:rPr>
      </w:pPr>
    </w:p>
    <w:p w14:paraId="744A1FBD" w14:textId="45107CEE" w:rsidR="0038035D" w:rsidRPr="00B663F1" w:rsidRDefault="00B663F1" w:rsidP="00B663F1">
      <w:pPr>
        <w:spacing w:after="0" w:line="240" w:lineRule="auto"/>
        <w:ind w:left="426" w:hanging="426"/>
        <w:rPr>
          <w:lang w:val="fr-FR"/>
        </w:rPr>
      </w:pPr>
      <w:r>
        <w:rPr>
          <w:rFonts w:cstheme="minorBidi"/>
          <w:lang w:val="fr-FR"/>
        </w:rPr>
        <w:t>8.</w:t>
      </w:r>
      <w:r>
        <w:rPr>
          <w:rFonts w:cstheme="minorBidi"/>
          <w:lang w:val="fr-FR"/>
        </w:rPr>
        <w:tab/>
      </w:r>
      <w:r w:rsidR="0038035D" w:rsidRPr="00B663F1">
        <w:rPr>
          <w:rFonts w:cstheme="minorBidi"/>
          <w:lang w:val="fr-FR"/>
        </w:rPr>
        <w:t>RECONNAISSANT les circonstances et les difficultés uniques ayant découlés de la pandémie mondiale et qui ont souligné l’importance d’une gouvernance efficace en toutes circonstances</w:t>
      </w:r>
      <w:r w:rsidR="00010A9A" w:rsidRPr="00B663F1">
        <w:rPr>
          <w:rFonts w:cstheme="minorBidi"/>
          <w:lang w:val="fr-FR"/>
        </w:rPr>
        <w:t> ;</w:t>
      </w:r>
      <w:r w:rsidR="00010A9A" w:rsidRPr="00B663F1">
        <w:rPr>
          <w:lang w:val="fr-FR"/>
        </w:rPr>
        <w:t xml:space="preserve"> et</w:t>
      </w:r>
    </w:p>
    <w:p w14:paraId="7723D46A" w14:textId="77777777" w:rsidR="00010A9A" w:rsidRDefault="00010A9A" w:rsidP="00B663F1">
      <w:pPr>
        <w:pStyle w:val="ListParagraph"/>
        <w:spacing w:after="0" w:line="240" w:lineRule="auto"/>
        <w:ind w:left="426" w:hanging="426"/>
        <w:rPr>
          <w:lang w:val="fr-FR"/>
        </w:rPr>
      </w:pPr>
    </w:p>
    <w:p w14:paraId="317CD362" w14:textId="504C7493" w:rsidR="00010A9A" w:rsidRPr="00B663F1" w:rsidRDefault="00B663F1" w:rsidP="00B663F1">
      <w:pPr>
        <w:spacing w:after="0" w:line="240" w:lineRule="auto"/>
        <w:ind w:left="426" w:hanging="426"/>
        <w:rPr>
          <w:u w:val="single"/>
          <w:lang w:val="fr-FR"/>
        </w:rPr>
      </w:pPr>
      <w:r>
        <w:rPr>
          <w:u w:val="single"/>
          <w:lang w:val="fr-FR"/>
        </w:rPr>
        <w:t>9.</w:t>
      </w:r>
      <w:r>
        <w:rPr>
          <w:u w:val="single"/>
          <w:lang w:val="fr-FR"/>
        </w:rPr>
        <w:tab/>
      </w:r>
      <w:r w:rsidR="00010A9A" w:rsidRPr="00B663F1">
        <w:rPr>
          <w:u w:val="single"/>
          <w:lang w:val="fr-FR"/>
        </w:rPr>
        <w:t xml:space="preserve">SOULIGNANT </w:t>
      </w:r>
      <w:r w:rsidR="00D9680A" w:rsidRPr="00B663F1">
        <w:rPr>
          <w:u w:val="single"/>
          <w:lang w:val="fr-FR"/>
        </w:rPr>
        <w:t>qu’il importe que</w:t>
      </w:r>
      <w:r w:rsidR="00010A9A" w:rsidRPr="00B663F1">
        <w:rPr>
          <w:u w:val="single"/>
          <w:lang w:val="fr-FR"/>
        </w:rPr>
        <w:t xml:space="preserve"> </w:t>
      </w:r>
      <w:r w:rsidR="00D9680A" w:rsidRPr="00B663F1">
        <w:rPr>
          <w:u w:val="single"/>
          <w:lang w:val="fr-FR"/>
        </w:rPr>
        <w:t>l</w:t>
      </w:r>
      <w:r w:rsidR="00010A9A" w:rsidRPr="00B663F1">
        <w:rPr>
          <w:u w:val="single"/>
          <w:lang w:val="fr-FR"/>
        </w:rPr>
        <w:t xml:space="preserve">es modalités de travail </w:t>
      </w:r>
      <w:r w:rsidR="00D9680A" w:rsidRPr="00B663F1">
        <w:rPr>
          <w:u w:val="single"/>
          <w:lang w:val="fr-FR"/>
        </w:rPr>
        <w:t xml:space="preserve">de la Convention soient </w:t>
      </w:r>
      <w:r w:rsidR="00010A9A" w:rsidRPr="00B663F1">
        <w:rPr>
          <w:u w:val="single"/>
          <w:lang w:val="fr-FR"/>
        </w:rPr>
        <w:t xml:space="preserve">entièrement transparentes et inclusives ; </w:t>
      </w:r>
      <w:bookmarkStart w:id="0" w:name="_GoBack"/>
      <w:bookmarkEnd w:id="0"/>
    </w:p>
    <w:p w14:paraId="5AB086E0" w14:textId="77777777" w:rsidR="0038035D" w:rsidRPr="00BE2E9F" w:rsidRDefault="0038035D" w:rsidP="0038035D">
      <w:pPr>
        <w:spacing w:after="0" w:line="240" w:lineRule="auto"/>
        <w:ind w:left="66" w:right="16" w:hanging="426"/>
        <w:jc w:val="center"/>
        <w:rPr>
          <w:rFonts w:eastAsia="Times New Roman" w:cstheme="minorBidi"/>
          <w:b/>
          <w:bCs/>
          <w:lang w:val="fr-FR"/>
        </w:rPr>
      </w:pPr>
    </w:p>
    <w:p w14:paraId="41332AE6" w14:textId="77777777" w:rsidR="0038035D" w:rsidRPr="00010A9A" w:rsidRDefault="0038035D" w:rsidP="0038035D">
      <w:pPr>
        <w:spacing w:after="0" w:line="240" w:lineRule="auto"/>
        <w:ind w:left="66" w:right="16" w:hanging="426"/>
        <w:jc w:val="center"/>
        <w:rPr>
          <w:rFonts w:eastAsia="Times New Roman" w:cstheme="minorBidi"/>
          <w:lang w:val="fr-FR"/>
        </w:rPr>
      </w:pPr>
      <w:r w:rsidRPr="00010A9A">
        <w:rPr>
          <w:rFonts w:eastAsia="Times New Roman" w:cstheme="minorBidi"/>
          <w:lang w:val="fr-FR"/>
        </w:rPr>
        <w:t>LA CONFÉRENCE DES PARTIES CONTRACTANTES</w:t>
      </w:r>
    </w:p>
    <w:p w14:paraId="63018621" w14:textId="77777777" w:rsidR="0038035D" w:rsidRPr="00BE2E9F" w:rsidRDefault="0038035D" w:rsidP="0038035D">
      <w:pPr>
        <w:keepNext/>
        <w:tabs>
          <w:tab w:val="left" w:pos="6195"/>
        </w:tabs>
        <w:spacing w:after="0" w:line="240" w:lineRule="auto"/>
        <w:ind w:left="65"/>
        <w:rPr>
          <w:lang w:val="fr-FR"/>
        </w:rPr>
      </w:pPr>
    </w:p>
    <w:p w14:paraId="4C839241" w14:textId="69B4770D" w:rsidR="0038035D" w:rsidRPr="00B663F1" w:rsidRDefault="00B663F1" w:rsidP="00B663F1">
      <w:pPr>
        <w:spacing w:after="0" w:line="240" w:lineRule="auto"/>
        <w:ind w:left="426" w:right="16" w:hanging="426"/>
        <w:rPr>
          <w:lang w:val="fr-FR"/>
        </w:rPr>
      </w:pPr>
      <w:r w:rsidRPr="00B663F1">
        <w:rPr>
          <w:rFonts w:cstheme="minorBidi"/>
          <w:u w:val="single"/>
          <w:lang w:val="fr-FR"/>
        </w:rPr>
        <w:t>10</w:t>
      </w:r>
      <w:r w:rsidRPr="00B663F1">
        <w:rPr>
          <w:rFonts w:cstheme="minorBidi"/>
          <w:strike/>
          <w:lang w:val="fr-FR"/>
        </w:rPr>
        <w:t>9</w:t>
      </w:r>
      <w:r>
        <w:rPr>
          <w:rFonts w:cstheme="minorBidi"/>
          <w:lang w:val="fr-FR"/>
        </w:rPr>
        <w:t>.</w:t>
      </w:r>
      <w:r>
        <w:rPr>
          <w:rFonts w:cstheme="minorBidi"/>
          <w:lang w:val="fr-FR"/>
        </w:rPr>
        <w:tab/>
      </w:r>
      <w:r w:rsidR="0038035D" w:rsidRPr="00B663F1">
        <w:rPr>
          <w:rFonts w:cstheme="minorBidi"/>
          <w:lang w:val="fr-FR"/>
        </w:rPr>
        <w:t xml:space="preserve">APPRÉCIE le travail déjà accompli dans la mise en œuvre de la Résolution XIII.4 visant à supprimer les résolutions et décisions obsolètes, et à instaurer une pratique pour que la Convention supprime automatiquement les résolutions et décisions obsolètes lorsqu’elles sont remplacées par de </w:t>
      </w:r>
      <w:r w:rsidR="0038035D" w:rsidRPr="00B663F1">
        <w:rPr>
          <w:rFonts w:cstheme="minorBidi"/>
          <w:lang w:val="fr-FR"/>
        </w:rPr>
        <w:lastRenderedPageBreak/>
        <w:t>nouvelles résolutions et décisions, et ENCOURAGE le Secrétariat à fournir un appui administratif aux Parties, à leur demande, dans l’élaboration des projets de résolution, de manière à fournir des avis transparents et opportuns concernant le coût de la mise en œuvre des projets de résolution proposés, et à améliorer les références croisées, à éviter les doubles emplois et à appuyer la consolidation des projets de résolution en cours</w:t>
      </w:r>
      <w:r w:rsidR="00F7531E" w:rsidRPr="00B663F1">
        <w:rPr>
          <w:rFonts w:cstheme="minorBidi"/>
          <w:lang w:val="fr-FR"/>
        </w:rPr>
        <w:t>.</w:t>
      </w:r>
    </w:p>
    <w:p w14:paraId="6E8EA186" w14:textId="77777777" w:rsidR="0038035D" w:rsidRPr="00BE2E9F" w:rsidRDefault="0038035D" w:rsidP="00B663F1">
      <w:pPr>
        <w:pStyle w:val="ListParagraph"/>
        <w:spacing w:after="0" w:line="240" w:lineRule="auto"/>
        <w:ind w:left="426" w:right="16" w:hanging="426"/>
        <w:rPr>
          <w:lang w:val="fr-FR"/>
        </w:rPr>
      </w:pPr>
    </w:p>
    <w:p w14:paraId="70D790AE" w14:textId="024A7654" w:rsidR="0038035D" w:rsidRPr="00B663F1" w:rsidRDefault="00B663F1" w:rsidP="00B663F1">
      <w:pPr>
        <w:spacing w:after="0" w:line="240" w:lineRule="auto"/>
        <w:ind w:left="426" w:right="16" w:hanging="426"/>
        <w:rPr>
          <w:lang w:val="fr-FR"/>
        </w:rPr>
      </w:pPr>
      <w:r w:rsidRPr="00B663F1">
        <w:rPr>
          <w:rFonts w:eastAsia="Times New Roman" w:cstheme="minorBidi"/>
          <w:u w:val="single"/>
          <w:lang w:val="fr-FR"/>
        </w:rPr>
        <w:t>11</w:t>
      </w:r>
      <w:r w:rsidRPr="00B663F1">
        <w:rPr>
          <w:rFonts w:eastAsia="Times New Roman" w:cstheme="minorBidi"/>
          <w:strike/>
          <w:lang w:val="fr-FR"/>
        </w:rPr>
        <w:t>10</w:t>
      </w:r>
      <w:r>
        <w:rPr>
          <w:rFonts w:eastAsia="Times New Roman" w:cstheme="minorBidi"/>
          <w:lang w:val="fr-FR"/>
        </w:rPr>
        <w:t>.</w:t>
      </w:r>
      <w:r>
        <w:rPr>
          <w:rFonts w:eastAsia="Times New Roman" w:cstheme="minorBidi"/>
          <w:lang w:val="fr-FR"/>
        </w:rPr>
        <w:tab/>
      </w:r>
      <w:r w:rsidR="0038035D" w:rsidRPr="00B663F1">
        <w:rPr>
          <w:rFonts w:eastAsia="Times New Roman" w:cstheme="minorBidi"/>
          <w:lang w:val="fr-FR"/>
        </w:rPr>
        <w:t xml:space="preserve">CHARGE </w:t>
      </w:r>
      <w:r w:rsidR="0038035D" w:rsidRPr="00B663F1">
        <w:rPr>
          <w:rFonts w:eastAsia="Times New Roman" w:cstheme="minorBidi"/>
          <w:strike/>
          <w:lang w:val="fr-FR"/>
        </w:rPr>
        <w:t>PAR AILLEURS</w:t>
      </w:r>
      <w:r w:rsidR="0038035D" w:rsidRPr="00B663F1">
        <w:rPr>
          <w:rFonts w:eastAsia="Times New Roman" w:cstheme="minorBidi"/>
          <w:lang w:val="fr-FR"/>
        </w:rPr>
        <w:t xml:space="preserve"> le Secrétariat d’améliorer son approche en matière de communications à l’égard des Parties contractantes, y compris en formulant des recommandations et en fournissant une évaluation des coûts qui y seraient associés, de continuer à améliorer les outils de renforcement des capacités tels que les ateliers virtuels et les matériels de formation, dans le but de renforcer l’appui aux Parties contractantes ; et de soumettre aux Parties une stratégie actualisée pour examen à la SC63</w:t>
      </w:r>
      <w:r w:rsidR="00F7531E" w:rsidRPr="00B663F1">
        <w:rPr>
          <w:rFonts w:eastAsia="Times New Roman" w:cstheme="minorBidi"/>
          <w:lang w:val="fr-FR"/>
        </w:rPr>
        <w:t>.</w:t>
      </w:r>
    </w:p>
    <w:p w14:paraId="18D65EEC" w14:textId="77777777" w:rsidR="0038035D" w:rsidRPr="00BE2E9F" w:rsidRDefault="0038035D" w:rsidP="00B663F1">
      <w:pPr>
        <w:pStyle w:val="ListParagraph"/>
        <w:spacing w:after="0" w:line="240" w:lineRule="auto"/>
        <w:ind w:left="426" w:hanging="426"/>
        <w:rPr>
          <w:rFonts w:eastAsiaTheme="minorEastAsia" w:cstheme="minorBidi"/>
          <w:lang w:val="fr-FR"/>
        </w:rPr>
      </w:pPr>
    </w:p>
    <w:p w14:paraId="73043303" w14:textId="202110DC" w:rsidR="0038035D" w:rsidRPr="00B663F1" w:rsidRDefault="00B663F1" w:rsidP="00B663F1">
      <w:pPr>
        <w:spacing w:after="0" w:line="240" w:lineRule="auto"/>
        <w:ind w:left="426" w:right="16" w:hanging="426"/>
        <w:rPr>
          <w:lang w:val="fr-FR"/>
        </w:rPr>
      </w:pPr>
      <w:r w:rsidRPr="00B663F1">
        <w:rPr>
          <w:rFonts w:eastAsiaTheme="minorEastAsia" w:cstheme="minorBidi"/>
          <w:u w:val="single"/>
          <w:lang w:val="fr-FR"/>
        </w:rPr>
        <w:t>12</w:t>
      </w:r>
      <w:r w:rsidRPr="00B663F1">
        <w:rPr>
          <w:rFonts w:eastAsiaTheme="minorEastAsia" w:cstheme="minorBidi"/>
          <w:strike/>
          <w:lang w:val="fr-FR"/>
        </w:rPr>
        <w:t>11</w:t>
      </w:r>
      <w:r>
        <w:rPr>
          <w:rFonts w:eastAsiaTheme="minorEastAsia" w:cstheme="minorBidi"/>
          <w:lang w:val="fr-FR"/>
        </w:rPr>
        <w:t>.</w:t>
      </w:r>
      <w:r>
        <w:rPr>
          <w:rFonts w:eastAsiaTheme="minorEastAsia" w:cstheme="minorBidi"/>
          <w:lang w:val="fr-FR"/>
        </w:rPr>
        <w:tab/>
      </w:r>
      <w:r w:rsidR="0038035D" w:rsidRPr="00B663F1">
        <w:rPr>
          <w:rFonts w:eastAsiaTheme="minorEastAsia" w:cstheme="minorBidi"/>
          <w:lang w:val="fr-FR"/>
        </w:rPr>
        <w:t xml:space="preserve">CHARGE </w:t>
      </w:r>
      <w:r w:rsidR="003B6FFF" w:rsidRPr="00B663F1">
        <w:rPr>
          <w:rFonts w:eastAsiaTheme="minorEastAsia" w:cstheme="minorBidi"/>
          <w:u w:val="single"/>
          <w:lang w:val="fr-FR"/>
        </w:rPr>
        <w:t>ÉGALEMENT</w:t>
      </w:r>
      <w:r w:rsidR="003B6FFF" w:rsidRPr="00B663F1">
        <w:rPr>
          <w:rFonts w:eastAsiaTheme="minorEastAsia" w:cstheme="minorBidi"/>
          <w:lang w:val="fr-FR"/>
        </w:rPr>
        <w:t xml:space="preserve"> </w:t>
      </w:r>
      <w:r w:rsidR="0038035D" w:rsidRPr="00B663F1">
        <w:rPr>
          <w:rFonts w:eastAsiaTheme="minorEastAsia" w:cstheme="minorBidi"/>
          <w:lang w:val="fr-FR"/>
        </w:rPr>
        <w:t>le Secrétaria</w:t>
      </w:r>
      <w:r w:rsidR="00B65FE6" w:rsidRPr="00B663F1">
        <w:rPr>
          <w:rFonts w:eastAsiaTheme="minorEastAsia" w:cstheme="minorBidi"/>
          <w:lang w:val="fr-FR"/>
        </w:rPr>
        <w:t xml:space="preserve">t </w:t>
      </w:r>
      <w:r w:rsidR="0038035D" w:rsidRPr="00B663F1">
        <w:rPr>
          <w:rFonts w:eastAsiaTheme="minorEastAsia" w:cstheme="minorBidi"/>
          <w:strike/>
          <w:lang w:val="fr-FR"/>
        </w:rPr>
        <w:t>d’étudier les</w:t>
      </w:r>
      <w:r w:rsidR="00B65FE6" w:rsidRPr="00B663F1">
        <w:rPr>
          <w:rFonts w:eastAsiaTheme="minorEastAsia" w:cstheme="minorBidi"/>
          <w:u w:val="single"/>
          <w:lang w:val="fr-FR"/>
        </w:rPr>
        <w:t>de proposer des</w:t>
      </w:r>
      <w:r w:rsidR="0038035D" w:rsidRPr="00B663F1">
        <w:rPr>
          <w:rFonts w:eastAsiaTheme="minorEastAsia" w:cstheme="minorBidi"/>
          <w:lang w:val="fr-FR"/>
        </w:rPr>
        <w:t xml:space="preserve"> méthodes (y compris de possibles systèmes en ligne, et en particulier un portail réservé aux membres, des listes d’adresses des membres mises à jour en permanence et un meilleur accès aux documents en ligne) qui permettraient de renforcer la collaboration entre les Parties contractantes</w:t>
      </w:r>
      <w:r w:rsidR="00B65FE6" w:rsidRPr="00B663F1">
        <w:rPr>
          <w:rFonts w:eastAsiaTheme="minorEastAsia" w:cstheme="minorBidi"/>
          <w:lang w:val="fr-FR"/>
        </w:rPr>
        <w:t xml:space="preserve"> </w:t>
      </w:r>
      <w:r w:rsidR="00B65FE6" w:rsidRPr="00B663F1">
        <w:rPr>
          <w:rFonts w:eastAsiaTheme="minorEastAsia" w:cstheme="minorBidi"/>
          <w:u w:val="single"/>
          <w:lang w:val="fr-FR"/>
        </w:rPr>
        <w:t>en périodes intersessions</w:t>
      </w:r>
      <w:r w:rsidR="00B65FE6" w:rsidRPr="00B663F1">
        <w:rPr>
          <w:rFonts w:eastAsiaTheme="minorEastAsia" w:cstheme="minorBidi"/>
          <w:lang w:val="fr-FR"/>
        </w:rPr>
        <w:t xml:space="preserve"> </w:t>
      </w:r>
      <w:r w:rsidR="0038035D" w:rsidRPr="00B663F1">
        <w:rPr>
          <w:rFonts w:eastAsiaTheme="minorEastAsia" w:cstheme="minorBidi"/>
          <w:lang w:val="fr-FR"/>
        </w:rPr>
        <w:t xml:space="preserve">, y compris, mais sans s’y limiter, au sein des groupes de travail et dans l’élaboration des projets de résolution en permettant aux Parties de soumettre et fournir des observations sur les projets de résolution. Le Secrétariat est </w:t>
      </w:r>
      <w:r w:rsidR="0038035D" w:rsidRPr="00B663F1">
        <w:rPr>
          <w:rFonts w:eastAsiaTheme="minorEastAsia" w:cstheme="minorBidi"/>
          <w:strike/>
          <w:lang w:val="fr-FR"/>
        </w:rPr>
        <w:t>prié</w:t>
      </w:r>
      <w:r w:rsidR="00B65FE6" w:rsidRPr="00B663F1">
        <w:rPr>
          <w:rFonts w:eastAsiaTheme="minorEastAsia" w:cstheme="minorBidi"/>
          <w:u w:val="single"/>
          <w:lang w:val="fr-FR"/>
        </w:rPr>
        <w:t>chargé</w:t>
      </w:r>
      <w:r w:rsidR="0038035D" w:rsidRPr="00B663F1">
        <w:rPr>
          <w:rFonts w:eastAsiaTheme="minorEastAsia" w:cstheme="minorBidi"/>
          <w:lang w:val="fr-FR"/>
        </w:rPr>
        <w:t xml:space="preserve"> de rendre compte à la </w:t>
      </w:r>
      <w:r w:rsidR="0038035D" w:rsidRPr="00B663F1">
        <w:rPr>
          <w:rFonts w:eastAsiaTheme="minorEastAsia" w:cstheme="minorBidi"/>
          <w:strike/>
          <w:lang w:val="fr-FR"/>
        </w:rPr>
        <w:t>SC63</w:t>
      </w:r>
      <w:r w:rsidR="0013166E" w:rsidRPr="00B663F1">
        <w:rPr>
          <w:rFonts w:eastAsiaTheme="minorEastAsia" w:cstheme="minorBidi"/>
          <w:u w:val="single"/>
          <w:lang w:val="fr-FR"/>
        </w:rPr>
        <w:t>62</w:t>
      </w:r>
      <w:r w:rsidR="0013166E" w:rsidRPr="00B663F1">
        <w:rPr>
          <w:rFonts w:eastAsiaTheme="minorEastAsia" w:cstheme="minorBidi"/>
          <w:u w:val="single"/>
          <w:vertAlign w:val="superscript"/>
          <w:lang w:val="fr-FR"/>
        </w:rPr>
        <w:t>e</w:t>
      </w:r>
      <w:r w:rsidR="0013166E" w:rsidRPr="00B663F1">
        <w:rPr>
          <w:rFonts w:eastAsiaTheme="minorEastAsia" w:cstheme="minorBidi"/>
          <w:u w:val="single"/>
          <w:lang w:val="fr-FR"/>
        </w:rPr>
        <w:t xml:space="preserve"> Réunion du Comité permanent</w:t>
      </w:r>
      <w:r w:rsidR="0038035D" w:rsidRPr="00B663F1">
        <w:rPr>
          <w:rFonts w:eastAsiaTheme="minorEastAsia" w:cstheme="minorBidi"/>
          <w:lang w:val="fr-FR"/>
        </w:rPr>
        <w:t xml:space="preserve"> de ses </w:t>
      </w:r>
      <w:r w:rsidR="0038035D" w:rsidRPr="00B663F1">
        <w:rPr>
          <w:rFonts w:eastAsiaTheme="minorEastAsia" w:cstheme="minorBidi"/>
          <w:strike/>
          <w:lang w:val="fr-FR"/>
        </w:rPr>
        <w:t>conclusions</w:t>
      </w:r>
      <w:r w:rsidR="0013166E" w:rsidRPr="00B663F1">
        <w:rPr>
          <w:rFonts w:eastAsiaTheme="minorEastAsia" w:cstheme="minorBidi"/>
          <w:u w:val="single"/>
          <w:lang w:val="fr-FR"/>
        </w:rPr>
        <w:t>propositions</w:t>
      </w:r>
      <w:r w:rsidR="0038035D" w:rsidRPr="00B663F1">
        <w:rPr>
          <w:rFonts w:eastAsiaTheme="minorEastAsia" w:cstheme="minorBidi"/>
          <w:lang w:val="fr-FR"/>
        </w:rPr>
        <w:t xml:space="preserve"> sur ces technologies, en incluant les coûts </w:t>
      </w:r>
      <w:r w:rsidR="00F7531E" w:rsidRPr="00B663F1">
        <w:rPr>
          <w:rFonts w:eastAsiaTheme="minorEastAsia" w:cstheme="minorBidi"/>
          <w:u w:val="single"/>
          <w:lang w:val="fr-FR"/>
        </w:rPr>
        <w:t>et avantages</w:t>
      </w:r>
      <w:r w:rsidR="00F7531E" w:rsidRPr="00B663F1">
        <w:rPr>
          <w:rFonts w:eastAsiaTheme="minorEastAsia" w:cstheme="minorBidi"/>
          <w:lang w:val="fr-FR"/>
        </w:rPr>
        <w:t xml:space="preserve"> </w:t>
      </w:r>
      <w:r w:rsidR="0038035D" w:rsidRPr="00B663F1">
        <w:rPr>
          <w:rFonts w:eastAsiaTheme="minorEastAsia" w:cstheme="minorBidi"/>
          <w:lang w:val="fr-FR"/>
        </w:rPr>
        <w:t>associés à ces systèmes, afin que les Parties puissent estimer si elles ont intérêt à investir les ressources de la Convention dans</w:t>
      </w:r>
      <w:r w:rsidR="00F7531E" w:rsidRPr="00B663F1">
        <w:rPr>
          <w:rFonts w:eastAsiaTheme="minorEastAsia" w:cstheme="minorBidi"/>
          <w:lang w:val="fr-FR"/>
        </w:rPr>
        <w:t xml:space="preserve"> </w:t>
      </w:r>
      <w:r w:rsidR="00F7531E" w:rsidRPr="00B663F1">
        <w:rPr>
          <w:rFonts w:eastAsiaTheme="minorEastAsia" w:cstheme="minorBidi"/>
          <w:u w:val="single"/>
          <w:lang w:val="fr-FR"/>
        </w:rPr>
        <w:t>l’application de</w:t>
      </w:r>
      <w:r w:rsidR="0038035D" w:rsidRPr="00B663F1">
        <w:rPr>
          <w:rFonts w:eastAsiaTheme="minorEastAsia" w:cstheme="minorBidi"/>
          <w:lang w:val="fr-FR"/>
        </w:rPr>
        <w:t xml:space="preserve"> ces technologies en vue d’améliorer l’efficience et l’efficacité de la Convention, et, dans l'affirmative, recommande que cette question soit traitée en priorité dans les délibérations du </w:t>
      </w:r>
      <w:r w:rsidR="00F7531E" w:rsidRPr="00B663F1">
        <w:rPr>
          <w:rFonts w:eastAsiaTheme="minorEastAsia" w:cstheme="minorBidi"/>
          <w:lang w:val="fr-FR"/>
        </w:rPr>
        <w:t>S</w:t>
      </w:r>
      <w:r w:rsidR="0038035D" w:rsidRPr="00B663F1">
        <w:rPr>
          <w:rFonts w:eastAsiaTheme="minorEastAsia" w:cstheme="minorBidi"/>
          <w:lang w:val="fr-FR"/>
        </w:rPr>
        <w:t>ous-groupe sur les finances</w:t>
      </w:r>
      <w:r w:rsidR="00F7531E" w:rsidRPr="00B663F1">
        <w:rPr>
          <w:rFonts w:eastAsiaTheme="minorEastAsia" w:cstheme="minorBidi"/>
          <w:lang w:val="fr-FR"/>
        </w:rPr>
        <w:t>.</w:t>
      </w:r>
    </w:p>
    <w:p w14:paraId="0325EB89" w14:textId="77777777" w:rsidR="0038035D" w:rsidRPr="00BE2E9F" w:rsidRDefault="0038035D" w:rsidP="00B663F1">
      <w:pPr>
        <w:pStyle w:val="ListParagraph"/>
        <w:spacing w:after="0" w:line="240" w:lineRule="auto"/>
        <w:ind w:left="426" w:hanging="426"/>
        <w:rPr>
          <w:lang w:val="fr-FR"/>
        </w:rPr>
      </w:pPr>
    </w:p>
    <w:p w14:paraId="60C99A8B" w14:textId="334904BB" w:rsidR="0038035D" w:rsidRPr="00B663F1" w:rsidRDefault="00B663F1" w:rsidP="00B663F1">
      <w:pPr>
        <w:spacing w:after="0" w:line="240" w:lineRule="auto"/>
        <w:ind w:left="426" w:right="16" w:hanging="426"/>
        <w:rPr>
          <w:lang w:val="fr-FR"/>
        </w:rPr>
      </w:pPr>
      <w:r w:rsidRPr="00B663F1">
        <w:rPr>
          <w:u w:val="single"/>
          <w:lang w:val="fr-FR"/>
        </w:rPr>
        <w:t>13</w:t>
      </w:r>
      <w:r w:rsidRPr="00B663F1">
        <w:rPr>
          <w:strike/>
          <w:lang w:val="fr-FR"/>
        </w:rPr>
        <w:t>12</w:t>
      </w:r>
      <w:r>
        <w:rPr>
          <w:lang w:val="fr-FR"/>
        </w:rPr>
        <w:t>.</w:t>
      </w:r>
      <w:r>
        <w:rPr>
          <w:lang w:val="fr-FR"/>
        </w:rPr>
        <w:tab/>
      </w:r>
      <w:r w:rsidR="0038035D" w:rsidRPr="00B663F1">
        <w:rPr>
          <w:lang w:val="fr-FR"/>
        </w:rPr>
        <w:t xml:space="preserve">DÉCIDE que les lignes directrices énoncées à l'annexe 1 s’appliqueront à tous les futurs sous-groupes et groupes de travail non permanents - en veillant à ce que </w:t>
      </w:r>
      <w:r w:rsidR="0038035D" w:rsidRPr="00B663F1">
        <w:rPr>
          <w:rFonts w:eastAsia="Times New Roman" w:cstheme="minorBidi"/>
          <w:lang w:val="fr-FR"/>
        </w:rPr>
        <w:t>:</w:t>
      </w:r>
    </w:p>
    <w:p w14:paraId="313AB40B" w14:textId="77777777" w:rsidR="0038035D" w:rsidRPr="00BE2E9F" w:rsidRDefault="0038035D" w:rsidP="0038035D">
      <w:pPr>
        <w:pStyle w:val="ListParagraph"/>
        <w:numPr>
          <w:ilvl w:val="0"/>
          <w:numId w:val="5"/>
        </w:numPr>
        <w:spacing w:after="0" w:line="240" w:lineRule="auto"/>
        <w:rPr>
          <w:rFonts w:eastAsiaTheme="minorEastAsia" w:cstheme="minorBidi"/>
          <w:lang w:val="fr-FR"/>
        </w:rPr>
      </w:pPr>
      <w:r w:rsidRPr="00BE2E9F">
        <w:rPr>
          <w:rFonts w:eastAsia="Times New Roman" w:cstheme="minorBidi"/>
          <w:lang w:val="fr-FR"/>
        </w:rPr>
        <w:t>Tous les nouveaux sous-groupes et groupes de travail non permanents soient dotés d’un calendrier bien défini ;</w:t>
      </w:r>
    </w:p>
    <w:p w14:paraId="3419E9E8" w14:textId="77777777" w:rsidR="0038035D" w:rsidRPr="00BE2E9F" w:rsidRDefault="0038035D" w:rsidP="0038035D">
      <w:pPr>
        <w:pStyle w:val="ListParagraph"/>
        <w:numPr>
          <w:ilvl w:val="0"/>
          <w:numId w:val="5"/>
        </w:numPr>
        <w:spacing w:after="0" w:line="240" w:lineRule="auto"/>
        <w:rPr>
          <w:rFonts w:eastAsiaTheme="minorEastAsia" w:cstheme="minorBidi"/>
          <w:lang w:val="fr-FR"/>
        </w:rPr>
      </w:pPr>
      <w:r w:rsidRPr="00BE2E9F">
        <w:rPr>
          <w:rFonts w:eastAsia="Times New Roman" w:cstheme="minorBidi"/>
          <w:lang w:val="fr-FR"/>
        </w:rPr>
        <w:t>Tous les groupes créés par une Conférence des Parties, sauf accord contraire des Parties ou disposition contraire figurant dans le mandat du groupe lorsqu’il est créé, soient automatiquement supprimés par la prochaine Conférence des Parties ; et,</w:t>
      </w:r>
    </w:p>
    <w:p w14:paraId="612F2FF0" w14:textId="77777777" w:rsidR="0038035D" w:rsidRPr="00BE2E9F" w:rsidRDefault="0038035D" w:rsidP="0038035D">
      <w:pPr>
        <w:pStyle w:val="ListParagraph"/>
        <w:numPr>
          <w:ilvl w:val="0"/>
          <w:numId w:val="5"/>
        </w:numPr>
        <w:spacing w:after="0" w:line="240" w:lineRule="auto"/>
        <w:rPr>
          <w:rFonts w:eastAsiaTheme="minorEastAsia" w:cstheme="minorBidi"/>
          <w:lang w:val="fr-FR"/>
        </w:rPr>
      </w:pPr>
      <w:r>
        <w:rPr>
          <w:rFonts w:eastAsia="Times New Roman" w:cstheme="minorBidi"/>
          <w:lang w:val="fr-FR"/>
        </w:rPr>
        <w:t>Des termes de références soient clairement précisés</w:t>
      </w:r>
      <w:r w:rsidRPr="00BE2E9F">
        <w:rPr>
          <w:rFonts w:eastAsia="Times New Roman" w:cstheme="minorBidi"/>
          <w:lang w:val="fr-FR"/>
        </w:rPr>
        <w:t xml:space="preserve"> par tout nouveau groupe </w:t>
      </w:r>
      <w:r>
        <w:rPr>
          <w:rFonts w:eastAsia="Times New Roman" w:cstheme="minorBidi"/>
          <w:lang w:val="fr-FR"/>
        </w:rPr>
        <w:t xml:space="preserve">ayant été </w:t>
      </w:r>
      <w:r w:rsidRPr="00BE2E9F">
        <w:rPr>
          <w:rFonts w:eastAsia="Times New Roman" w:cstheme="minorBidi"/>
          <w:lang w:val="fr-FR"/>
        </w:rPr>
        <w:t>créé</w:t>
      </w:r>
      <w:r w:rsidRPr="00BE2E9F">
        <w:rPr>
          <w:rFonts w:cs="Calibri"/>
          <w:lang w:val="fr-FR"/>
        </w:rPr>
        <w:t>.</w:t>
      </w:r>
    </w:p>
    <w:p w14:paraId="6A4EEF0A" w14:textId="77777777" w:rsidR="0038035D" w:rsidRPr="00BE2E9F" w:rsidRDefault="0038035D" w:rsidP="0038035D">
      <w:pPr>
        <w:pStyle w:val="ListParagraph"/>
        <w:spacing w:after="0" w:line="240" w:lineRule="auto"/>
        <w:ind w:left="1080"/>
        <w:rPr>
          <w:rFonts w:eastAsiaTheme="minorEastAsia" w:cstheme="minorBidi"/>
          <w:lang w:val="fr-FR"/>
        </w:rPr>
      </w:pPr>
    </w:p>
    <w:p w14:paraId="71353F34" w14:textId="41CA0309" w:rsidR="0038035D" w:rsidRPr="00B663F1" w:rsidRDefault="00B663F1" w:rsidP="00B663F1">
      <w:pPr>
        <w:spacing w:after="0" w:line="240" w:lineRule="auto"/>
        <w:ind w:left="426" w:hanging="426"/>
        <w:rPr>
          <w:rFonts w:eastAsiaTheme="minorEastAsia" w:cstheme="minorBidi"/>
          <w:lang w:val="fr-FR"/>
        </w:rPr>
      </w:pPr>
      <w:r w:rsidRPr="00B663F1">
        <w:rPr>
          <w:rFonts w:eastAsia="Times New Roman" w:cstheme="minorBidi"/>
          <w:u w:val="single"/>
          <w:lang w:val="fr-FR"/>
        </w:rPr>
        <w:t>14</w:t>
      </w:r>
      <w:r w:rsidRPr="00B663F1">
        <w:rPr>
          <w:rFonts w:eastAsia="Times New Roman" w:cstheme="minorBidi"/>
          <w:strike/>
          <w:lang w:val="fr-FR"/>
        </w:rPr>
        <w:t>13</w:t>
      </w:r>
      <w:r>
        <w:rPr>
          <w:rFonts w:eastAsia="Times New Roman" w:cstheme="minorBidi"/>
          <w:lang w:val="fr-FR"/>
        </w:rPr>
        <w:t>.</w:t>
      </w:r>
      <w:r>
        <w:rPr>
          <w:rFonts w:eastAsia="Times New Roman" w:cstheme="minorBidi"/>
          <w:lang w:val="fr-FR"/>
        </w:rPr>
        <w:tab/>
      </w:r>
      <w:r w:rsidR="0038035D" w:rsidRPr="00B663F1">
        <w:rPr>
          <w:rFonts w:eastAsia="Times New Roman" w:cstheme="minorBidi"/>
          <w:lang w:val="fr-FR"/>
        </w:rPr>
        <w:t>INVITE les Parties contractantes à examiner les manques d’efficacité au sein des organes subsidiaires de la Convention, manques liés aux programmes de travail en raison des calendriers définis, y compris la nomination des membres des organes subsidiaires (y compris le GEST), et ENCOURAGE les Parties contractantes, d'ici à la COP15 sinon plus tôt, à proposer des solutions visant à permettre un démarrage efficace des travaux immédiatement après les sessions de la COP</w:t>
      </w:r>
      <w:r w:rsidR="00BE4305" w:rsidRPr="00B663F1">
        <w:rPr>
          <w:rFonts w:eastAsia="Times New Roman" w:cstheme="minorBidi"/>
          <w:lang w:val="fr-FR"/>
        </w:rPr>
        <w:t>.</w:t>
      </w:r>
    </w:p>
    <w:p w14:paraId="22C68F4D" w14:textId="77777777" w:rsidR="0038035D" w:rsidRPr="00BE2E9F" w:rsidRDefault="0038035D" w:rsidP="00B663F1">
      <w:pPr>
        <w:pStyle w:val="ListParagraph"/>
        <w:spacing w:after="0" w:line="240" w:lineRule="auto"/>
        <w:ind w:left="426" w:hanging="426"/>
        <w:rPr>
          <w:rFonts w:eastAsiaTheme="minorEastAsia" w:cstheme="minorBidi"/>
          <w:lang w:val="fr-FR"/>
        </w:rPr>
      </w:pPr>
    </w:p>
    <w:p w14:paraId="3674358B" w14:textId="0522A08F" w:rsidR="0038035D" w:rsidRPr="00B663F1" w:rsidRDefault="00B663F1" w:rsidP="00B663F1">
      <w:pPr>
        <w:spacing w:after="0" w:line="240" w:lineRule="auto"/>
        <w:ind w:left="426" w:hanging="426"/>
        <w:rPr>
          <w:rFonts w:cs="Calibri"/>
          <w:lang w:val="fr-FR"/>
        </w:rPr>
      </w:pPr>
      <w:r w:rsidRPr="00B663F1">
        <w:rPr>
          <w:rFonts w:cs="Calibri"/>
          <w:u w:val="single"/>
          <w:lang w:val="fr-FR"/>
        </w:rPr>
        <w:t>15</w:t>
      </w:r>
      <w:r w:rsidRPr="00B663F1">
        <w:rPr>
          <w:rFonts w:cs="Calibri"/>
          <w:strike/>
          <w:lang w:val="fr-FR"/>
        </w:rPr>
        <w:t>14</w:t>
      </w:r>
      <w:r>
        <w:rPr>
          <w:rFonts w:cs="Calibri"/>
          <w:lang w:val="fr-FR"/>
        </w:rPr>
        <w:t>.</w:t>
      </w:r>
      <w:r>
        <w:rPr>
          <w:rFonts w:cs="Calibri"/>
          <w:lang w:val="fr-FR"/>
        </w:rPr>
        <w:tab/>
      </w:r>
      <w:r w:rsidR="0038035D" w:rsidRPr="00B663F1">
        <w:rPr>
          <w:rFonts w:cs="Calibri"/>
          <w:lang w:val="fr-FR"/>
        </w:rPr>
        <w:t xml:space="preserve">CHARGE le Secrétariat, en consultation avec les Parties contractantes intéressées, y compris, le cas échéant, les Parties contractantes du Groupe de travail sur la gestion, </w:t>
      </w:r>
      <w:r w:rsidR="009E1000" w:rsidRPr="00B663F1">
        <w:rPr>
          <w:rFonts w:cs="Calibri"/>
          <w:u w:val="single"/>
          <w:lang w:val="fr-FR"/>
        </w:rPr>
        <w:t>d’évaluer les difficultés touchant</w:t>
      </w:r>
      <w:r w:rsidR="0038035D" w:rsidRPr="00B663F1">
        <w:rPr>
          <w:rFonts w:cs="Calibri"/>
          <w:strike/>
          <w:lang w:val="fr-FR"/>
        </w:rPr>
        <w:t>d’examiner</w:t>
      </w:r>
      <w:r w:rsidR="00CF1897">
        <w:rPr>
          <w:rFonts w:cs="Calibri"/>
          <w:lang w:val="fr-FR"/>
        </w:rPr>
        <w:t xml:space="preserve"> </w:t>
      </w:r>
      <w:r w:rsidR="0038035D" w:rsidRPr="00B663F1">
        <w:rPr>
          <w:rFonts w:cs="Calibri"/>
          <w:lang w:val="fr-FR"/>
        </w:rPr>
        <w:t xml:space="preserve">les pratiques de la Convention au cours de la période de la pandémie mondiale et de proposer tous </w:t>
      </w:r>
      <w:r w:rsidR="009E1000" w:rsidRPr="00B663F1">
        <w:rPr>
          <w:rFonts w:cs="Calibri"/>
          <w:u w:val="single"/>
          <w:lang w:val="fr-FR"/>
        </w:rPr>
        <w:t>les</w:t>
      </w:r>
      <w:r w:rsidR="009E1000" w:rsidRPr="00B663F1">
        <w:rPr>
          <w:rFonts w:cs="Calibri"/>
          <w:lang w:val="fr-FR"/>
        </w:rPr>
        <w:t xml:space="preserve"> </w:t>
      </w:r>
      <w:r w:rsidR="0038035D" w:rsidRPr="00B663F1">
        <w:rPr>
          <w:rFonts w:cs="Calibri"/>
          <w:lang w:val="fr-FR"/>
        </w:rPr>
        <w:t>moyens possibles d’améliorer les procédures de prises de décisions</w:t>
      </w:r>
      <w:r w:rsidR="009E1000" w:rsidRPr="00B663F1">
        <w:rPr>
          <w:rFonts w:cs="Calibri"/>
          <w:lang w:val="fr-FR"/>
        </w:rPr>
        <w:t xml:space="preserve"> </w:t>
      </w:r>
      <w:r w:rsidR="009E1000" w:rsidRPr="00B663F1">
        <w:rPr>
          <w:rFonts w:cs="Calibri"/>
          <w:u w:val="single"/>
          <w:lang w:val="fr-FR"/>
        </w:rPr>
        <w:t>et de maintien de</w:t>
      </w:r>
      <w:r w:rsidR="0038035D" w:rsidRPr="00B663F1">
        <w:rPr>
          <w:rFonts w:cs="Calibri"/>
          <w:u w:val="single"/>
          <w:lang w:val="fr-FR"/>
        </w:rPr>
        <w:t xml:space="preserve"> </w:t>
      </w:r>
      <w:r w:rsidR="009E1000" w:rsidRPr="00B663F1">
        <w:rPr>
          <w:rFonts w:cs="Calibri"/>
          <w:u w:val="single"/>
          <w:lang w:val="fr-FR"/>
        </w:rPr>
        <w:t>la participation pleine et entière de toutes les Parties contractantes</w:t>
      </w:r>
      <w:r w:rsidR="00CF1897">
        <w:rPr>
          <w:rFonts w:cs="Calibri"/>
          <w:lang w:val="fr-FR"/>
        </w:rPr>
        <w:t xml:space="preserve"> </w:t>
      </w:r>
      <w:r w:rsidR="0038035D" w:rsidRPr="00B663F1">
        <w:rPr>
          <w:rFonts w:cs="Calibri"/>
          <w:lang w:val="fr-FR"/>
        </w:rPr>
        <w:t xml:space="preserve">afin de permettre un fonctionnement efficace de la Convention dans des circonstances exceptionnelles, y compris par </w:t>
      </w:r>
      <w:r w:rsidR="0038035D" w:rsidRPr="00B663F1">
        <w:rPr>
          <w:rFonts w:cs="Calibri"/>
          <w:lang w:val="fr-FR"/>
        </w:rPr>
        <w:lastRenderedPageBreak/>
        <w:t xml:space="preserve">l’amendement du Règlement intérieur et en tenant compte, le cas échéant, des meilleures pratiques d’autres organes internationaux. CHARGE le Secrétariat de soumettre l’étude et les propositions pour examen par les Parties à la COP15, </w:t>
      </w:r>
      <w:r w:rsidR="00BE4305" w:rsidRPr="00B663F1">
        <w:rPr>
          <w:rFonts w:cs="Calibri"/>
          <w:lang w:val="fr-FR"/>
        </w:rPr>
        <w:t>au plus tard.</w:t>
      </w:r>
    </w:p>
    <w:p w14:paraId="2336F4A8" w14:textId="77777777" w:rsidR="0038035D" w:rsidRPr="00BE2E9F" w:rsidRDefault="0038035D" w:rsidP="00B663F1">
      <w:pPr>
        <w:pStyle w:val="ListParagraph"/>
        <w:spacing w:after="0" w:line="240" w:lineRule="auto"/>
        <w:ind w:left="426" w:hanging="426"/>
        <w:rPr>
          <w:rFonts w:eastAsiaTheme="minorEastAsia" w:cstheme="minorBidi"/>
          <w:lang w:val="fr-FR"/>
        </w:rPr>
      </w:pPr>
    </w:p>
    <w:p w14:paraId="0E549EBC" w14:textId="7529A7A4" w:rsidR="0038035D" w:rsidRPr="00B663F1" w:rsidRDefault="00B663F1" w:rsidP="00B663F1">
      <w:pPr>
        <w:spacing w:after="0" w:line="240" w:lineRule="auto"/>
        <w:ind w:left="426" w:hanging="426"/>
        <w:rPr>
          <w:rFonts w:cs="Calibri"/>
          <w:lang w:val="fr-FR"/>
        </w:rPr>
      </w:pPr>
      <w:r w:rsidRPr="00B663F1">
        <w:rPr>
          <w:rFonts w:eastAsiaTheme="minorEastAsia" w:cstheme="minorBidi"/>
          <w:u w:val="single"/>
          <w:lang w:val="fr-FR"/>
        </w:rPr>
        <w:t>16</w:t>
      </w:r>
      <w:r w:rsidRPr="00B663F1">
        <w:rPr>
          <w:rFonts w:eastAsiaTheme="minorEastAsia" w:cstheme="minorBidi"/>
          <w:strike/>
          <w:lang w:val="fr-FR"/>
        </w:rPr>
        <w:t>15</w:t>
      </w:r>
      <w:r>
        <w:rPr>
          <w:rFonts w:eastAsiaTheme="minorEastAsia" w:cstheme="minorBidi"/>
          <w:lang w:val="fr-FR"/>
        </w:rPr>
        <w:t>.</w:t>
      </w:r>
      <w:r>
        <w:rPr>
          <w:rFonts w:eastAsiaTheme="minorEastAsia" w:cstheme="minorBidi"/>
          <w:lang w:val="fr-FR"/>
        </w:rPr>
        <w:tab/>
      </w:r>
      <w:r w:rsidR="0038035D" w:rsidRPr="00B663F1">
        <w:rPr>
          <w:rFonts w:eastAsiaTheme="minorEastAsia" w:cstheme="minorBidi"/>
          <w:lang w:val="fr-FR"/>
        </w:rPr>
        <w:t>DÉCIDE, sous réserve des ressources disponibles, d’allouer au Secrétariat la somme de XXXCHF sur les fonds excédentaires pour lui permettre de s’acquitter du mandat énoncé dans la présente résolution.</w:t>
      </w:r>
    </w:p>
    <w:p w14:paraId="5F5A53A2" w14:textId="77777777" w:rsidR="0038035D" w:rsidRPr="00DB408C" w:rsidRDefault="0038035D" w:rsidP="0038035D">
      <w:pPr>
        <w:pStyle w:val="ListParagraph"/>
        <w:spacing w:after="0" w:line="240" w:lineRule="auto"/>
        <w:rPr>
          <w:rFonts w:cs="Calibri"/>
          <w:b/>
          <w:bCs/>
          <w:color w:val="000000" w:themeColor="text1"/>
          <w:lang w:val="fr-FR"/>
        </w:rPr>
      </w:pPr>
    </w:p>
    <w:p w14:paraId="274756AE" w14:textId="77777777" w:rsidR="0038035D" w:rsidRPr="00DB408C" w:rsidRDefault="0038035D" w:rsidP="0038035D">
      <w:pPr>
        <w:pStyle w:val="ListParagraph"/>
        <w:numPr>
          <w:ilvl w:val="0"/>
          <w:numId w:val="8"/>
        </w:numPr>
        <w:spacing w:after="0" w:line="240" w:lineRule="auto"/>
        <w:ind w:left="360"/>
        <w:rPr>
          <w:rFonts w:cs="Calibri"/>
          <w:lang w:val="fr-FR"/>
        </w:rPr>
      </w:pPr>
      <w:r w:rsidRPr="00DB408C">
        <w:rPr>
          <w:rFonts w:cs="Calibri"/>
          <w:b/>
          <w:bCs/>
          <w:color w:val="000000" w:themeColor="text1"/>
          <w:lang w:val="fr-FR"/>
        </w:rPr>
        <w:br w:type="page"/>
      </w:r>
    </w:p>
    <w:p w14:paraId="76D5091B" w14:textId="75505AAF" w:rsidR="0038035D" w:rsidRPr="00BE2E9F" w:rsidRDefault="0038035D" w:rsidP="0038035D">
      <w:pPr>
        <w:spacing w:after="0" w:line="240" w:lineRule="auto"/>
        <w:rPr>
          <w:rFonts w:cs="Calibri"/>
          <w:b/>
          <w:bCs/>
          <w:color w:val="000000" w:themeColor="text1"/>
          <w:lang w:val="fr-FR"/>
        </w:rPr>
      </w:pPr>
      <w:r w:rsidRPr="00BE2E9F">
        <w:rPr>
          <w:rFonts w:cs="Calibri"/>
          <w:b/>
          <w:bCs/>
          <w:color w:val="000000" w:themeColor="text1"/>
          <w:lang w:val="fr-FR"/>
        </w:rPr>
        <w:lastRenderedPageBreak/>
        <w:t>Annexe 1</w:t>
      </w:r>
      <w:r w:rsidR="00140F6D">
        <w:rPr>
          <w:rFonts w:cs="Calibri"/>
          <w:b/>
          <w:bCs/>
          <w:color w:val="000000" w:themeColor="text1"/>
          <w:lang w:val="fr-FR"/>
        </w:rPr>
        <w:t xml:space="preserve"> </w:t>
      </w:r>
      <w:r w:rsidRPr="00BE2E9F">
        <w:rPr>
          <w:rFonts w:cs="Calibri"/>
          <w:b/>
          <w:bCs/>
          <w:color w:val="000000" w:themeColor="text1"/>
          <w:lang w:val="fr-FR"/>
        </w:rPr>
        <w:t>: Lignes directrices pour les sous-groupes et groupes de travail non-permanents</w:t>
      </w:r>
      <w:r w:rsidRPr="00BE2E9F">
        <w:rPr>
          <w:rStyle w:val="FootnoteReference"/>
          <w:rFonts w:cs="Calibri"/>
          <w:b/>
          <w:bCs/>
          <w:color w:val="000000" w:themeColor="text1"/>
          <w:lang w:val="fr-FR"/>
        </w:rPr>
        <w:footnoteReference w:id="3"/>
      </w:r>
    </w:p>
    <w:p w14:paraId="65CB3DFA" w14:textId="77777777" w:rsidR="0038035D" w:rsidRPr="00BE2E9F" w:rsidRDefault="0038035D" w:rsidP="0038035D">
      <w:pPr>
        <w:spacing w:after="0" w:line="240" w:lineRule="auto"/>
        <w:rPr>
          <w:rFonts w:cs="Calibri"/>
          <w:b/>
          <w:bCs/>
          <w:color w:val="000000" w:themeColor="text1"/>
          <w:lang w:val="fr-FR"/>
        </w:rPr>
      </w:pPr>
    </w:p>
    <w:p w14:paraId="411592B0" w14:textId="77777777" w:rsidR="0038035D" w:rsidRDefault="0038035D" w:rsidP="0038035D">
      <w:pPr>
        <w:spacing w:after="0" w:line="240" w:lineRule="auto"/>
        <w:rPr>
          <w:rFonts w:cs="Calibri"/>
          <w:b/>
          <w:bCs/>
          <w:color w:val="000000" w:themeColor="text1"/>
          <w:lang w:val="fr-FR"/>
        </w:rPr>
      </w:pPr>
      <w:r w:rsidRPr="00BE2E9F">
        <w:rPr>
          <w:rFonts w:cs="Calibri"/>
          <w:b/>
          <w:bCs/>
          <w:color w:val="000000" w:themeColor="text1"/>
          <w:lang w:val="fr-FR"/>
        </w:rPr>
        <w:t>Constitution</w:t>
      </w:r>
    </w:p>
    <w:p w14:paraId="73A92EDE" w14:textId="77777777" w:rsidR="008D70CD" w:rsidRPr="00BE2E9F" w:rsidRDefault="008D70CD" w:rsidP="0038035D">
      <w:pPr>
        <w:spacing w:after="0" w:line="240" w:lineRule="auto"/>
        <w:rPr>
          <w:rFonts w:cs="Calibri"/>
          <w:color w:val="000000" w:themeColor="text1"/>
          <w:lang w:val="fr-FR"/>
        </w:rPr>
      </w:pPr>
    </w:p>
    <w:p w14:paraId="3C77FF0C" w14:textId="77777777" w:rsidR="0038035D" w:rsidRDefault="0038035D" w:rsidP="0038035D">
      <w:pPr>
        <w:spacing w:after="0" w:line="240" w:lineRule="auto"/>
        <w:rPr>
          <w:rStyle w:val="markedcontent"/>
          <w:rFonts w:cstheme="minorHAnsi"/>
          <w:lang w:val="fr-FR"/>
        </w:rPr>
      </w:pPr>
      <w:r w:rsidRPr="00BE2E9F">
        <w:rPr>
          <w:rStyle w:val="markedcontent"/>
          <w:rFonts w:cstheme="minorHAnsi"/>
          <w:lang w:val="fr-FR"/>
        </w:rPr>
        <w:t xml:space="preserve">L’Article 25 du Règlement intérieur dispose qu’outre le Comité permanent de la </w:t>
      </w:r>
      <w:r>
        <w:rPr>
          <w:rStyle w:val="markedcontent"/>
          <w:rFonts w:cstheme="minorHAnsi"/>
          <w:lang w:val="fr-FR"/>
        </w:rPr>
        <w:t>Convention</w:t>
      </w:r>
      <w:r w:rsidRPr="00BE2E9F">
        <w:rPr>
          <w:rStyle w:val="markedcontent"/>
          <w:rFonts w:cstheme="minorHAnsi"/>
          <w:lang w:val="fr-FR"/>
        </w:rPr>
        <w:t>, le Groupe d’évalua</w:t>
      </w:r>
      <w:r>
        <w:rPr>
          <w:rStyle w:val="markedcontent"/>
          <w:rFonts w:cstheme="minorHAnsi"/>
          <w:lang w:val="fr-FR"/>
        </w:rPr>
        <w:t xml:space="preserve">tion scientifique et technique </w:t>
      </w:r>
      <w:r w:rsidRPr="00BE2E9F">
        <w:rPr>
          <w:rStyle w:val="markedcontent"/>
          <w:rFonts w:cstheme="minorHAnsi"/>
          <w:lang w:val="fr-FR"/>
        </w:rPr>
        <w:t>et le Bureau de la Conférence, la Conférence des Parties (COP) peut constituer d’autres comités et groupes de travail, si elle juge que cela est utile à l’application de la Convention.</w:t>
      </w:r>
    </w:p>
    <w:p w14:paraId="628047B3" w14:textId="77777777" w:rsidR="008D70CD" w:rsidRPr="00BE2E9F" w:rsidRDefault="008D70CD" w:rsidP="0038035D">
      <w:pPr>
        <w:spacing w:after="0" w:line="240" w:lineRule="auto"/>
        <w:rPr>
          <w:rStyle w:val="markedcontent"/>
          <w:rFonts w:cstheme="minorHAnsi"/>
          <w:lang w:val="fr-FR"/>
        </w:rPr>
      </w:pPr>
    </w:p>
    <w:p w14:paraId="6E4B7DC8" w14:textId="77777777" w:rsidR="0038035D" w:rsidRDefault="0038035D" w:rsidP="0038035D">
      <w:pPr>
        <w:spacing w:after="0" w:line="240" w:lineRule="auto"/>
        <w:rPr>
          <w:rStyle w:val="markedcontent"/>
          <w:rFonts w:cstheme="minorHAnsi"/>
          <w:lang w:val="fr-FR"/>
        </w:rPr>
      </w:pPr>
      <w:r w:rsidRPr="00BE2E9F">
        <w:rPr>
          <w:rStyle w:val="markedcontent"/>
          <w:rFonts w:cstheme="minorHAnsi"/>
          <w:lang w:val="fr-FR"/>
        </w:rPr>
        <w:t>Lorsque des groupes de travail sont constitués à une COP par une résolution, celui-ci doit recevoir sur les points suivants des instructions claires qui sont précisées dans la résolution :</w:t>
      </w:r>
    </w:p>
    <w:p w14:paraId="6125671A" w14:textId="77777777" w:rsidR="008D70CD" w:rsidRPr="00BE2E9F" w:rsidRDefault="008D70CD" w:rsidP="0038035D">
      <w:pPr>
        <w:spacing w:after="0" w:line="240" w:lineRule="auto"/>
        <w:rPr>
          <w:rFonts w:cstheme="minorHAnsi"/>
          <w:color w:val="000000" w:themeColor="text1"/>
          <w:lang w:val="fr-FR"/>
        </w:rPr>
      </w:pPr>
    </w:p>
    <w:p w14:paraId="72F13D9D" w14:textId="77777777" w:rsidR="0038035D" w:rsidRPr="00BE2E9F" w:rsidRDefault="0038035D" w:rsidP="0038035D">
      <w:pPr>
        <w:pStyle w:val="ListParagraph"/>
        <w:numPr>
          <w:ilvl w:val="0"/>
          <w:numId w:val="4"/>
        </w:numPr>
        <w:spacing w:after="0" w:line="240" w:lineRule="auto"/>
        <w:rPr>
          <w:rFonts w:eastAsiaTheme="minorEastAsia" w:cstheme="minorBidi"/>
          <w:color w:val="000000" w:themeColor="text1"/>
          <w:lang w:val="fr-FR"/>
        </w:rPr>
      </w:pPr>
      <w:r w:rsidRPr="00BE2E9F">
        <w:rPr>
          <w:rFonts w:cs="Calibri"/>
          <w:color w:val="000000" w:themeColor="text1"/>
          <w:u w:val="single"/>
          <w:lang w:val="fr-FR"/>
        </w:rPr>
        <w:t>Composition et représentation régionale :</w:t>
      </w:r>
    </w:p>
    <w:p w14:paraId="2BD5A2D4" w14:textId="77777777" w:rsidR="0038035D" w:rsidRDefault="0038035D" w:rsidP="0038035D">
      <w:pPr>
        <w:spacing w:after="0" w:line="240" w:lineRule="auto"/>
        <w:ind w:left="720"/>
        <w:rPr>
          <w:rFonts w:cs="Calibri"/>
          <w:color w:val="000000" w:themeColor="text1"/>
          <w:lang w:val="fr-FR"/>
        </w:rPr>
      </w:pPr>
      <w:r w:rsidRPr="00BE2E9F">
        <w:rPr>
          <w:rFonts w:cs="Calibri"/>
          <w:color w:val="000000" w:themeColor="text1"/>
          <w:lang w:val="fr-FR"/>
        </w:rPr>
        <w:t>Le groupe de travail est composé de représentants du Comité permanent intéressés et d’autres Parties contractantes intéressé</w:t>
      </w:r>
      <w:r>
        <w:rPr>
          <w:rFonts w:cs="Calibri"/>
          <w:color w:val="000000" w:themeColor="text1"/>
          <w:lang w:val="fr-FR"/>
        </w:rPr>
        <w:t>e</w:t>
      </w:r>
      <w:r w:rsidRPr="00BE2E9F">
        <w:rPr>
          <w:rFonts w:cs="Calibri"/>
          <w:color w:val="000000" w:themeColor="text1"/>
          <w:lang w:val="fr-FR"/>
        </w:rPr>
        <w:t>s</w:t>
      </w:r>
      <w:r>
        <w:rPr>
          <w:rFonts w:cs="Calibri"/>
          <w:color w:val="000000" w:themeColor="text1"/>
          <w:lang w:val="fr-FR"/>
        </w:rPr>
        <w:t>,</w:t>
      </w:r>
      <w:r w:rsidRPr="00BE2E9F">
        <w:rPr>
          <w:rFonts w:cs="Calibri"/>
          <w:color w:val="000000" w:themeColor="text1"/>
          <w:lang w:val="fr-FR"/>
        </w:rPr>
        <w:t xml:space="preserve"> </w:t>
      </w:r>
      <w:r>
        <w:rPr>
          <w:rFonts w:cs="Calibri"/>
          <w:color w:val="000000" w:themeColor="text1"/>
          <w:lang w:val="fr-FR"/>
        </w:rPr>
        <w:t>étant entendu</w:t>
      </w:r>
      <w:r w:rsidRPr="00BE2E9F">
        <w:rPr>
          <w:rFonts w:cs="Calibri"/>
          <w:color w:val="000000" w:themeColor="text1"/>
          <w:lang w:val="fr-FR"/>
        </w:rPr>
        <w:t xml:space="preserve"> qu’il est souhaitable d’obtenir une participation régionale équitable, et au moins un représentant régional de chaque région, tout en s’assurant que le groupe est maintenu à une taille raisonnable et en s’efforçant d’être ouvert à tous. Le ca</w:t>
      </w:r>
      <w:r>
        <w:rPr>
          <w:rFonts w:cs="Calibri"/>
          <w:color w:val="000000" w:themeColor="text1"/>
          <w:lang w:val="fr-FR"/>
        </w:rPr>
        <w:t>s échéant, les P</w:t>
      </w:r>
      <w:r w:rsidRPr="00BE2E9F">
        <w:rPr>
          <w:rFonts w:cs="Calibri"/>
          <w:color w:val="000000" w:themeColor="text1"/>
          <w:lang w:val="fr-FR"/>
        </w:rPr>
        <w:t>arties contractantes peuvent inviter ou accepter des observateurs ou des OIP concernés à participer aux groupes de travail.</w:t>
      </w:r>
    </w:p>
    <w:p w14:paraId="3DD45CFB" w14:textId="77777777" w:rsidR="008D70CD" w:rsidRPr="00BE2E9F" w:rsidRDefault="008D70CD" w:rsidP="0038035D">
      <w:pPr>
        <w:spacing w:after="0" w:line="240" w:lineRule="auto"/>
        <w:ind w:left="720"/>
        <w:rPr>
          <w:rFonts w:cs="Calibri"/>
          <w:color w:val="000000" w:themeColor="text1"/>
          <w:lang w:val="fr-FR"/>
        </w:rPr>
      </w:pPr>
    </w:p>
    <w:p w14:paraId="16FFEB58" w14:textId="77777777" w:rsidR="0038035D" w:rsidRPr="00BE2E9F" w:rsidRDefault="0038035D" w:rsidP="0038035D">
      <w:pPr>
        <w:pStyle w:val="ListParagraph"/>
        <w:numPr>
          <w:ilvl w:val="0"/>
          <w:numId w:val="4"/>
        </w:numPr>
        <w:spacing w:after="0" w:line="240" w:lineRule="auto"/>
        <w:rPr>
          <w:rFonts w:eastAsiaTheme="minorEastAsia" w:cstheme="minorBidi"/>
          <w:color w:val="000000" w:themeColor="text1"/>
          <w:lang w:val="fr-FR"/>
        </w:rPr>
      </w:pPr>
      <w:r w:rsidRPr="00BE2E9F">
        <w:rPr>
          <w:rFonts w:cs="Calibri"/>
          <w:color w:val="000000" w:themeColor="text1"/>
          <w:u w:val="single"/>
          <w:lang w:val="fr-FR"/>
        </w:rPr>
        <w:t>Structure :</w:t>
      </w:r>
    </w:p>
    <w:p w14:paraId="72F4407E" w14:textId="77777777" w:rsidR="0038035D" w:rsidRDefault="0038035D" w:rsidP="0038035D">
      <w:pPr>
        <w:spacing w:after="0" w:line="240" w:lineRule="auto"/>
        <w:ind w:left="720"/>
        <w:rPr>
          <w:rFonts w:cs="Calibri"/>
          <w:color w:val="000000" w:themeColor="text1"/>
          <w:lang w:val="fr-FR"/>
        </w:rPr>
      </w:pPr>
      <w:r w:rsidRPr="00BE2E9F">
        <w:rPr>
          <w:rFonts w:cs="Calibri"/>
          <w:color w:val="000000" w:themeColor="text1"/>
          <w:lang w:val="fr-FR"/>
        </w:rPr>
        <w:t>Le groupe de travail nomme deux de ses membres président et président adjoint/vice président, ce dernier faisant office de rapporteur.</w:t>
      </w:r>
    </w:p>
    <w:p w14:paraId="1F5B2473" w14:textId="77777777" w:rsidR="008D70CD" w:rsidRPr="00BE2E9F" w:rsidRDefault="008D70CD" w:rsidP="0038035D">
      <w:pPr>
        <w:spacing w:after="0" w:line="240" w:lineRule="auto"/>
        <w:ind w:left="720"/>
        <w:rPr>
          <w:rFonts w:cs="Calibri"/>
          <w:color w:val="000000" w:themeColor="text1"/>
          <w:lang w:val="fr-FR"/>
        </w:rPr>
      </w:pPr>
    </w:p>
    <w:p w14:paraId="0692213A" w14:textId="77777777" w:rsidR="0038035D" w:rsidRPr="00BE2E9F" w:rsidRDefault="0038035D" w:rsidP="0038035D">
      <w:pPr>
        <w:pStyle w:val="ListParagraph"/>
        <w:numPr>
          <w:ilvl w:val="0"/>
          <w:numId w:val="4"/>
        </w:numPr>
        <w:spacing w:after="0" w:line="240" w:lineRule="auto"/>
        <w:rPr>
          <w:rFonts w:eastAsiaTheme="minorEastAsia" w:cstheme="minorBidi"/>
          <w:color w:val="000000" w:themeColor="text1"/>
          <w:lang w:val="fr-FR"/>
        </w:rPr>
      </w:pPr>
      <w:r w:rsidRPr="00BE2E9F">
        <w:rPr>
          <w:rFonts w:cs="Calibri"/>
          <w:color w:val="000000" w:themeColor="text1"/>
          <w:u w:val="single"/>
          <w:lang w:val="fr-FR"/>
        </w:rPr>
        <w:t>Mandat :</w:t>
      </w:r>
    </w:p>
    <w:p w14:paraId="2F11728E" w14:textId="77777777" w:rsidR="0038035D" w:rsidRDefault="0038035D" w:rsidP="0038035D">
      <w:pPr>
        <w:spacing w:after="0" w:line="240" w:lineRule="auto"/>
        <w:ind w:left="720"/>
        <w:rPr>
          <w:rFonts w:cs="Calibri"/>
          <w:color w:val="000000" w:themeColor="text1"/>
          <w:lang w:val="fr-FR"/>
        </w:rPr>
      </w:pPr>
      <w:r w:rsidRPr="00BE2E9F">
        <w:rPr>
          <w:rFonts w:cs="Calibri"/>
          <w:color w:val="000000" w:themeColor="text1"/>
          <w:lang w:val="fr-FR"/>
        </w:rPr>
        <w:t xml:space="preserve">La résolution portant création du groupe de travail doit définir clairement le mandat du groupe, y compris les résultats attendus et ce que le groupe doit produire, notamment les rapports, directives ou propositions de projets de résolution </w:t>
      </w:r>
      <w:r>
        <w:rPr>
          <w:rFonts w:cs="Calibri"/>
          <w:color w:val="000000" w:themeColor="text1"/>
          <w:lang w:val="fr-FR"/>
        </w:rPr>
        <w:t xml:space="preserve">à soumettre </w:t>
      </w:r>
      <w:r w:rsidRPr="00BE2E9F">
        <w:rPr>
          <w:rFonts w:cs="Calibri"/>
          <w:color w:val="000000" w:themeColor="text1"/>
          <w:lang w:val="fr-FR"/>
        </w:rPr>
        <w:t>au Comité permanent.</w:t>
      </w:r>
    </w:p>
    <w:p w14:paraId="4B648C2D" w14:textId="77777777" w:rsidR="008D70CD" w:rsidRPr="00BE2E9F" w:rsidRDefault="008D70CD" w:rsidP="0038035D">
      <w:pPr>
        <w:spacing w:after="0" w:line="240" w:lineRule="auto"/>
        <w:ind w:left="720"/>
        <w:rPr>
          <w:rFonts w:cs="Calibri"/>
          <w:b/>
          <w:bCs/>
          <w:color w:val="000000" w:themeColor="text1"/>
          <w:lang w:val="fr-FR"/>
        </w:rPr>
      </w:pPr>
    </w:p>
    <w:p w14:paraId="6B6264F9" w14:textId="77777777" w:rsidR="0038035D" w:rsidRPr="00BE2E9F" w:rsidRDefault="0038035D" w:rsidP="0038035D">
      <w:pPr>
        <w:pStyle w:val="ListParagraph"/>
        <w:numPr>
          <w:ilvl w:val="0"/>
          <w:numId w:val="4"/>
        </w:numPr>
        <w:spacing w:after="0" w:line="240" w:lineRule="auto"/>
        <w:rPr>
          <w:rFonts w:eastAsiaTheme="minorEastAsia" w:cstheme="minorBidi"/>
          <w:color w:val="000000" w:themeColor="text1"/>
          <w:lang w:val="fr-FR"/>
        </w:rPr>
      </w:pPr>
      <w:r w:rsidRPr="00BE2E9F">
        <w:rPr>
          <w:rFonts w:cs="Calibri"/>
          <w:color w:val="000000" w:themeColor="text1"/>
          <w:u w:val="single"/>
          <w:lang w:val="fr-FR"/>
        </w:rPr>
        <w:t>Termes de Références :</w:t>
      </w:r>
    </w:p>
    <w:p w14:paraId="38C8A15D" w14:textId="77777777" w:rsidR="0038035D" w:rsidRDefault="0038035D" w:rsidP="0038035D">
      <w:pPr>
        <w:spacing w:after="0" w:line="240" w:lineRule="auto"/>
        <w:ind w:left="720"/>
        <w:rPr>
          <w:rFonts w:cs="Calibri"/>
          <w:color w:val="000000" w:themeColor="text1"/>
          <w:lang w:val="fr-FR"/>
        </w:rPr>
      </w:pPr>
      <w:r w:rsidRPr="00BE2E9F">
        <w:rPr>
          <w:rFonts w:cs="Calibri"/>
          <w:color w:val="000000" w:themeColor="text1"/>
          <w:lang w:val="fr-FR"/>
        </w:rPr>
        <w:t>Le groupe de travail doit définir ses termes de références à présenter à un prochain Comité permanent.</w:t>
      </w:r>
    </w:p>
    <w:p w14:paraId="03E33ED6" w14:textId="77777777" w:rsidR="008D70CD" w:rsidRPr="00BE2E9F" w:rsidRDefault="008D70CD" w:rsidP="0038035D">
      <w:pPr>
        <w:spacing w:after="0" w:line="240" w:lineRule="auto"/>
        <w:ind w:left="720"/>
        <w:rPr>
          <w:rFonts w:cs="Calibri"/>
          <w:color w:val="000000" w:themeColor="text1"/>
          <w:lang w:val="fr-FR"/>
        </w:rPr>
      </w:pPr>
    </w:p>
    <w:p w14:paraId="3FEE473F" w14:textId="77777777" w:rsidR="0038035D" w:rsidRPr="00BE2E9F" w:rsidRDefault="0038035D" w:rsidP="0038035D">
      <w:pPr>
        <w:pStyle w:val="ListParagraph"/>
        <w:numPr>
          <w:ilvl w:val="0"/>
          <w:numId w:val="4"/>
        </w:numPr>
        <w:spacing w:after="0" w:line="240" w:lineRule="auto"/>
        <w:rPr>
          <w:rFonts w:eastAsiaTheme="minorEastAsia" w:cstheme="minorBidi"/>
          <w:color w:val="000000" w:themeColor="text1"/>
          <w:lang w:val="fr-FR"/>
        </w:rPr>
      </w:pPr>
      <w:r w:rsidRPr="00BE2E9F">
        <w:rPr>
          <w:rFonts w:cs="Calibri"/>
          <w:color w:val="000000" w:themeColor="text1"/>
          <w:u w:val="single"/>
          <w:lang w:val="fr-FR"/>
        </w:rPr>
        <w:t>Calendrier :</w:t>
      </w:r>
    </w:p>
    <w:p w14:paraId="33301BDF" w14:textId="77777777" w:rsidR="0038035D" w:rsidRPr="00BE2E9F" w:rsidRDefault="0038035D" w:rsidP="0038035D">
      <w:pPr>
        <w:spacing w:after="0" w:line="240" w:lineRule="auto"/>
        <w:ind w:left="720"/>
        <w:rPr>
          <w:rFonts w:cs="Calibri"/>
          <w:color w:val="000000" w:themeColor="text1"/>
          <w:lang w:val="fr-FR"/>
        </w:rPr>
      </w:pPr>
      <w:r w:rsidRPr="00BE2E9F">
        <w:rPr>
          <w:rFonts w:cs="Calibri"/>
          <w:color w:val="000000" w:themeColor="text1"/>
          <w:lang w:val="fr-FR"/>
        </w:rPr>
        <w:t>La résolution doit fixer un calendrier</w:t>
      </w:r>
      <w:r w:rsidRPr="00BE2E9F">
        <w:rPr>
          <w:rStyle w:val="FootnoteReference"/>
          <w:rFonts w:cs="Calibri"/>
          <w:color w:val="000000" w:themeColor="text1"/>
          <w:lang w:val="fr-FR"/>
        </w:rPr>
        <w:footnoteReference w:id="4"/>
      </w:r>
      <w:r w:rsidRPr="00BE2E9F">
        <w:rPr>
          <w:rFonts w:cs="Calibri"/>
          <w:color w:val="000000" w:themeColor="text1"/>
          <w:lang w:val="fr-FR"/>
        </w:rPr>
        <w:t xml:space="preserve"> au groupe de travail, y compris : </w:t>
      </w:r>
    </w:p>
    <w:p w14:paraId="57AA07A3" w14:textId="77777777" w:rsidR="0038035D" w:rsidRPr="00BE2E9F" w:rsidRDefault="0038035D" w:rsidP="0038035D">
      <w:pPr>
        <w:pStyle w:val="ListParagraph"/>
        <w:numPr>
          <w:ilvl w:val="1"/>
          <w:numId w:val="4"/>
        </w:numPr>
        <w:spacing w:after="0" w:line="240" w:lineRule="auto"/>
        <w:rPr>
          <w:rFonts w:eastAsiaTheme="minorEastAsia" w:cstheme="minorBidi"/>
          <w:color w:val="000000" w:themeColor="text1"/>
          <w:lang w:val="fr-FR"/>
        </w:rPr>
      </w:pPr>
      <w:r w:rsidRPr="00BE2E9F">
        <w:rPr>
          <w:rFonts w:cs="Calibri"/>
          <w:color w:val="000000" w:themeColor="text1"/>
          <w:lang w:val="fr-FR"/>
        </w:rPr>
        <w:t>Un échéancier pour faire le point sur ses travaux devant un organe approprié de la Convention ;</w:t>
      </w:r>
    </w:p>
    <w:p w14:paraId="30F3D8F3" w14:textId="77777777" w:rsidR="0038035D" w:rsidRPr="00BE2E9F" w:rsidRDefault="0038035D" w:rsidP="0038035D">
      <w:pPr>
        <w:pStyle w:val="ListParagraph"/>
        <w:numPr>
          <w:ilvl w:val="1"/>
          <w:numId w:val="4"/>
        </w:numPr>
        <w:spacing w:after="0" w:line="240" w:lineRule="auto"/>
        <w:rPr>
          <w:rFonts w:eastAsiaTheme="minorEastAsia" w:cstheme="minorBidi"/>
          <w:color w:val="000000" w:themeColor="text1"/>
          <w:lang w:val="fr-FR"/>
        </w:rPr>
      </w:pPr>
      <w:r w:rsidRPr="00BE2E9F">
        <w:rPr>
          <w:rFonts w:eastAsiaTheme="minorEastAsia" w:cstheme="minorBidi"/>
          <w:color w:val="000000" w:themeColor="text1"/>
          <w:lang w:val="fr-FR"/>
        </w:rPr>
        <w:t xml:space="preserve">Un délai préconvenu pour que le groupe de travail achève son mandat, rende compte de ses résultats et produise les réalisations requises ; et </w:t>
      </w:r>
    </w:p>
    <w:p w14:paraId="15D6A8DD" w14:textId="77777777" w:rsidR="0038035D" w:rsidRPr="008D70CD" w:rsidRDefault="0038035D" w:rsidP="0038035D">
      <w:pPr>
        <w:pStyle w:val="ListParagraph"/>
        <w:numPr>
          <w:ilvl w:val="1"/>
          <w:numId w:val="4"/>
        </w:numPr>
        <w:spacing w:after="0" w:line="240" w:lineRule="auto"/>
        <w:rPr>
          <w:rFonts w:eastAsiaTheme="minorEastAsia" w:cstheme="minorBidi"/>
          <w:color w:val="000000" w:themeColor="text1"/>
          <w:lang w:val="fr-FR"/>
        </w:rPr>
      </w:pPr>
      <w:r w:rsidRPr="00BE2E9F">
        <w:rPr>
          <w:rFonts w:eastAsiaTheme="minorEastAsia" w:cstheme="minorBidi"/>
          <w:color w:val="000000" w:themeColor="text1"/>
          <w:lang w:val="fr-FR"/>
        </w:rPr>
        <w:t xml:space="preserve"> </w:t>
      </w:r>
      <w:r w:rsidRPr="00BE2E9F">
        <w:rPr>
          <w:rFonts w:cs="Calibri"/>
          <w:color w:val="000000" w:themeColor="text1"/>
          <w:lang w:val="fr-FR"/>
        </w:rPr>
        <w:t>Le groupe sera automatiquement supprimé par la prochaine COP, à moins que les Parties n’en conviennent autrement ou que le mandat du groupe ne le prévoie au moment de sa création.</w:t>
      </w:r>
    </w:p>
    <w:p w14:paraId="6718DDCE" w14:textId="77777777" w:rsidR="008D70CD" w:rsidRPr="008D70CD" w:rsidRDefault="008D70CD" w:rsidP="008D70CD">
      <w:pPr>
        <w:spacing w:after="0" w:line="240" w:lineRule="auto"/>
        <w:ind w:left="1080"/>
        <w:rPr>
          <w:rFonts w:eastAsiaTheme="minorEastAsia" w:cstheme="minorBidi"/>
          <w:color w:val="000000" w:themeColor="text1"/>
          <w:lang w:val="fr-FR"/>
        </w:rPr>
      </w:pPr>
    </w:p>
    <w:p w14:paraId="40021887" w14:textId="77777777" w:rsidR="0038035D" w:rsidRPr="00BE2E9F" w:rsidRDefault="0038035D" w:rsidP="0038035D">
      <w:pPr>
        <w:pStyle w:val="ListParagraph"/>
        <w:keepNext/>
        <w:numPr>
          <w:ilvl w:val="0"/>
          <w:numId w:val="4"/>
        </w:numPr>
        <w:spacing w:after="0" w:line="240" w:lineRule="auto"/>
        <w:ind w:left="714" w:hanging="357"/>
        <w:rPr>
          <w:rFonts w:eastAsiaTheme="minorEastAsia" w:cstheme="minorBidi"/>
          <w:color w:val="000000" w:themeColor="text1"/>
          <w:lang w:val="fr-FR"/>
        </w:rPr>
      </w:pPr>
      <w:r w:rsidRPr="00BE2E9F">
        <w:rPr>
          <w:rFonts w:cs="Calibri"/>
          <w:color w:val="000000" w:themeColor="text1"/>
          <w:u w:val="single"/>
          <w:lang w:val="fr-FR"/>
        </w:rPr>
        <w:t>Financement :</w:t>
      </w:r>
    </w:p>
    <w:p w14:paraId="2B73D414" w14:textId="77777777" w:rsidR="0038035D" w:rsidRPr="00BE2E9F" w:rsidRDefault="0038035D" w:rsidP="0038035D">
      <w:pPr>
        <w:spacing w:after="0" w:line="240" w:lineRule="auto"/>
        <w:rPr>
          <w:rFonts w:cs="Calibri"/>
          <w:color w:val="000000" w:themeColor="text1"/>
          <w:lang w:val="fr-FR"/>
        </w:rPr>
      </w:pPr>
      <w:r>
        <w:rPr>
          <w:rFonts w:cs="Calibri"/>
          <w:color w:val="000000" w:themeColor="text1"/>
          <w:lang w:val="fr-FR"/>
        </w:rPr>
        <w:t>La c</w:t>
      </w:r>
      <w:r w:rsidRPr="00BE2E9F">
        <w:rPr>
          <w:rFonts w:cs="Calibri"/>
          <w:color w:val="000000" w:themeColor="text1"/>
          <w:lang w:val="fr-FR"/>
        </w:rPr>
        <w:t xml:space="preserve">larté </w:t>
      </w:r>
      <w:r>
        <w:rPr>
          <w:rFonts w:cs="Calibri"/>
          <w:color w:val="000000" w:themeColor="text1"/>
          <w:lang w:val="fr-FR"/>
        </w:rPr>
        <w:t>sur</w:t>
      </w:r>
      <w:r w:rsidRPr="00BE2E9F">
        <w:rPr>
          <w:rFonts w:cs="Calibri"/>
          <w:color w:val="000000" w:themeColor="text1"/>
          <w:lang w:val="fr-FR"/>
        </w:rPr>
        <w:t xml:space="preserve"> tout financement alloué </w:t>
      </w:r>
      <w:r>
        <w:rPr>
          <w:rFonts w:cs="Calibri"/>
          <w:color w:val="000000" w:themeColor="text1"/>
          <w:lang w:val="fr-FR"/>
        </w:rPr>
        <w:t>pour</w:t>
      </w:r>
      <w:r w:rsidRPr="00BE2E9F">
        <w:rPr>
          <w:rFonts w:cs="Calibri"/>
          <w:color w:val="000000" w:themeColor="text1"/>
          <w:lang w:val="fr-FR"/>
        </w:rPr>
        <w:t xml:space="preserve"> faciliter l’accomplissement du mandat du groupe de travail.</w:t>
      </w:r>
    </w:p>
    <w:p w14:paraId="159BBF5C" w14:textId="77777777" w:rsidR="0038035D" w:rsidRPr="00BE2E9F" w:rsidRDefault="0038035D" w:rsidP="0038035D">
      <w:pPr>
        <w:spacing w:after="0" w:line="240" w:lineRule="auto"/>
        <w:rPr>
          <w:rFonts w:cs="Calibri"/>
          <w:color w:val="000000" w:themeColor="text1"/>
          <w:lang w:val="fr-FR"/>
        </w:rPr>
      </w:pPr>
    </w:p>
    <w:p w14:paraId="1308F9D3" w14:textId="50E87B6D" w:rsidR="0038035D" w:rsidRDefault="00BE4305" w:rsidP="0038035D">
      <w:pPr>
        <w:spacing w:after="0" w:line="240" w:lineRule="auto"/>
        <w:rPr>
          <w:rFonts w:cs="Calibri"/>
          <w:b/>
          <w:bCs/>
          <w:color w:val="000000" w:themeColor="text1"/>
          <w:lang w:val="fr-FR"/>
        </w:rPr>
      </w:pPr>
      <w:r>
        <w:rPr>
          <w:rFonts w:cs="Calibri"/>
          <w:b/>
          <w:bCs/>
          <w:color w:val="000000" w:themeColor="text1"/>
          <w:lang w:val="fr-FR"/>
        </w:rPr>
        <w:t>Cahier des charges</w:t>
      </w:r>
    </w:p>
    <w:p w14:paraId="5A64DF7A" w14:textId="77777777" w:rsidR="008D70CD" w:rsidRPr="00BE2E9F" w:rsidRDefault="008D70CD" w:rsidP="0038035D">
      <w:pPr>
        <w:spacing w:after="0" w:line="240" w:lineRule="auto"/>
        <w:rPr>
          <w:rFonts w:cs="Calibri"/>
          <w:color w:val="000000" w:themeColor="text1"/>
          <w:lang w:val="fr-FR"/>
        </w:rPr>
      </w:pPr>
    </w:p>
    <w:p w14:paraId="6ADE44A0" w14:textId="588290E8" w:rsidR="0038035D" w:rsidRDefault="0038035D" w:rsidP="0038035D">
      <w:pPr>
        <w:spacing w:after="0" w:line="240" w:lineRule="auto"/>
        <w:rPr>
          <w:rFonts w:cs="Calibri"/>
          <w:color w:val="000000" w:themeColor="text1"/>
          <w:lang w:val="fr-FR"/>
        </w:rPr>
      </w:pPr>
      <w:r w:rsidRPr="00BE2E9F">
        <w:rPr>
          <w:rFonts w:cs="Calibri"/>
          <w:color w:val="000000" w:themeColor="text1"/>
          <w:lang w:val="fr-FR"/>
        </w:rPr>
        <w:t xml:space="preserve">Tout groupe de travail constitué doit disposer </w:t>
      </w:r>
      <w:r w:rsidR="00BE4305">
        <w:rPr>
          <w:rFonts w:cs="Calibri"/>
          <w:color w:val="000000" w:themeColor="text1"/>
          <w:lang w:val="fr-FR"/>
        </w:rPr>
        <w:t>d’un cahier des charges c</w:t>
      </w:r>
      <w:r w:rsidRPr="00BE2E9F">
        <w:rPr>
          <w:rFonts w:cs="Calibri"/>
          <w:color w:val="000000" w:themeColor="text1"/>
          <w:lang w:val="fr-FR"/>
        </w:rPr>
        <w:t xml:space="preserve">onvenu par le groupe et présentés au Comité permanent. Lors de la rédaction </w:t>
      </w:r>
      <w:r w:rsidR="00BE4305">
        <w:rPr>
          <w:rFonts w:cs="Calibri"/>
          <w:color w:val="000000" w:themeColor="text1"/>
          <w:lang w:val="fr-FR"/>
        </w:rPr>
        <w:t>du cahier des charges</w:t>
      </w:r>
      <w:r w:rsidRPr="00BE2E9F">
        <w:rPr>
          <w:rFonts w:cs="Calibri"/>
          <w:color w:val="000000" w:themeColor="text1"/>
          <w:lang w:val="fr-FR"/>
        </w:rPr>
        <w:t>, certains points doivent être pris en considération :</w:t>
      </w:r>
    </w:p>
    <w:p w14:paraId="6BFBB13F" w14:textId="77777777" w:rsidR="008D70CD" w:rsidRPr="00BE2E9F" w:rsidRDefault="008D70CD" w:rsidP="0038035D">
      <w:pPr>
        <w:spacing w:after="0" w:line="240" w:lineRule="auto"/>
        <w:rPr>
          <w:rFonts w:cs="Calibri"/>
          <w:color w:val="000000" w:themeColor="text1"/>
          <w:lang w:val="fr-FR"/>
        </w:rPr>
      </w:pPr>
    </w:p>
    <w:p w14:paraId="31CBB94B" w14:textId="77777777" w:rsidR="0038035D" w:rsidRPr="00BE2E9F" w:rsidRDefault="0038035D" w:rsidP="0038035D">
      <w:pPr>
        <w:pStyle w:val="ListParagraph"/>
        <w:numPr>
          <w:ilvl w:val="0"/>
          <w:numId w:val="3"/>
        </w:numPr>
        <w:spacing w:after="0" w:line="240" w:lineRule="auto"/>
        <w:rPr>
          <w:rFonts w:eastAsiaTheme="minorEastAsia" w:cstheme="minorBidi"/>
          <w:color w:val="000000" w:themeColor="text1"/>
          <w:lang w:val="fr-FR"/>
        </w:rPr>
      </w:pPr>
      <w:r w:rsidRPr="00BE2E9F">
        <w:rPr>
          <w:rFonts w:cs="Calibri"/>
          <w:color w:val="000000" w:themeColor="text1"/>
          <w:lang w:val="fr-FR"/>
        </w:rPr>
        <w:t>Réitérer le mandat et le champ d’activité du groupe, tels qu’ils ont été convenus à la COP, afin de parvenir à une entente commune et convenue au sein du groupe</w:t>
      </w:r>
    </w:p>
    <w:p w14:paraId="6F905260" w14:textId="77777777" w:rsidR="0038035D" w:rsidRPr="00BE2E9F" w:rsidRDefault="0038035D" w:rsidP="0038035D">
      <w:pPr>
        <w:pStyle w:val="ListParagraph"/>
        <w:numPr>
          <w:ilvl w:val="0"/>
          <w:numId w:val="3"/>
        </w:numPr>
        <w:spacing w:after="0" w:line="240" w:lineRule="auto"/>
        <w:rPr>
          <w:rFonts w:eastAsiaTheme="minorEastAsia" w:cstheme="minorBidi"/>
          <w:color w:val="000000" w:themeColor="text1"/>
          <w:lang w:val="fr-FR"/>
        </w:rPr>
      </w:pPr>
      <w:r w:rsidRPr="00BE2E9F">
        <w:rPr>
          <w:rFonts w:cs="Calibri"/>
          <w:color w:val="000000" w:themeColor="text1"/>
          <w:lang w:val="fr-FR"/>
        </w:rPr>
        <w:t>Les décisions seront prises par consensus.</w:t>
      </w:r>
    </w:p>
    <w:p w14:paraId="0EB52ECE" w14:textId="37EC81A7" w:rsidR="0038035D" w:rsidRPr="00BE2E9F" w:rsidRDefault="0038035D" w:rsidP="0038035D">
      <w:pPr>
        <w:pStyle w:val="ListParagraph"/>
        <w:numPr>
          <w:ilvl w:val="0"/>
          <w:numId w:val="3"/>
        </w:numPr>
        <w:spacing w:after="0" w:line="240" w:lineRule="auto"/>
        <w:rPr>
          <w:rFonts w:eastAsiaTheme="minorEastAsia" w:cstheme="minorBidi"/>
          <w:color w:val="000000" w:themeColor="text1"/>
          <w:lang w:val="fr-FR"/>
        </w:rPr>
      </w:pPr>
      <w:r w:rsidRPr="00BE2E9F">
        <w:rPr>
          <w:rFonts w:cs="Calibri"/>
          <w:color w:val="000000" w:themeColor="text1"/>
          <w:lang w:val="fr-FR"/>
        </w:rPr>
        <w:t>Les rôles de président et de vice</w:t>
      </w:r>
      <w:r w:rsidR="00BE4305">
        <w:rPr>
          <w:rFonts w:cs="Calibri"/>
          <w:color w:val="000000" w:themeColor="text1"/>
          <w:lang w:val="fr-FR"/>
        </w:rPr>
        <w:t>-</w:t>
      </w:r>
      <w:r w:rsidRPr="00BE2E9F">
        <w:rPr>
          <w:rFonts w:cs="Calibri"/>
          <w:color w:val="000000" w:themeColor="text1"/>
          <w:lang w:val="fr-FR"/>
        </w:rPr>
        <w:t xml:space="preserve">président. </w:t>
      </w:r>
      <w:r>
        <w:rPr>
          <w:rFonts w:cs="Calibri"/>
          <w:color w:val="000000" w:themeColor="text1"/>
          <w:lang w:val="fr-FR"/>
        </w:rPr>
        <w:t>Ce peut être</w:t>
      </w:r>
      <w:r w:rsidRPr="00BE2E9F">
        <w:rPr>
          <w:rFonts w:cs="Calibri"/>
          <w:color w:val="000000" w:themeColor="text1"/>
          <w:lang w:val="fr-FR"/>
        </w:rPr>
        <w:t> :</w:t>
      </w:r>
    </w:p>
    <w:p w14:paraId="57D1471D" w14:textId="77777777" w:rsidR="0038035D" w:rsidRPr="00BE2E9F" w:rsidRDefault="0038035D" w:rsidP="0038035D">
      <w:pPr>
        <w:pStyle w:val="ListParagraph"/>
        <w:numPr>
          <w:ilvl w:val="1"/>
          <w:numId w:val="3"/>
        </w:numPr>
        <w:spacing w:after="0" w:line="240" w:lineRule="auto"/>
        <w:rPr>
          <w:rFonts w:eastAsiaTheme="minorEastAsia" w:cstheme="minorBidi"/>
          <w:color w:val="000000" w:themeColor="text1"/>
          <w:lang w:val="fr-FR"/>
        </w:rPr>
      </w:pPr>
      <w:r w:rsidRPr="00BE2E9F">
        <w:rPr>
          <w:rFonts w:cs="Calibri"/>
          <w:color w:val="000000" w:themeColor="text1"/>
          <w:lang w:val="fr-FR"/>
        </w:rPr>
        <w:t>Comment ils sont désignés (</w:t>
      </w:r>
      <w:r>
        <w:rPr>
          <w:rFonts w:cs="Calibri"/>
          <w:color w:val="000000" w:themeColor="text1"/>
          <w:lang w:val="fr-FR"/>
        </w:rPr>
        <w:t>par ex., p</w:t>
      </w:r>
      <w:r w:rsidRPr="00BE2E9F">
        <w:rPr>
          <w:rFonts w:cs="Calibri"/>
          <w:color w:val="000000" w:themeColor="text1"/>
          <w:lang w:val="fr-FR"/>
        </w:rPr>
        <w:t>ar conse</w:t>
      </w:r>
      <w:r>
        <w:rPr>
          <w:rFonts w:cs="Calibri"/>
          <w:color w:val="000000" w:themeColor="text1"/>
          <w:lang w:val="fr-FR"/>
        </w:rPr>
        <w:t>nsus du groupe après nomination</w:t>
      </w:r>
      <w:r w:rsidRPr="00BE2E9F">
        <w:rPr>
          <w:rFonts w:cs="Calibri"/>
          <w:color w:val="000000" w:themeColor="text1"/>
          <w:lang w:val="fr-FR"/>
        </w:rPr>
        <w:t xml:space="preserve"> des membres)</w:t>
      </w:r>
      <w:r>
        <w:rPr>
          <w:rFonts w:cs="Calibri"/>
          <w:color w:val="000000" w:themeColor="text1"/>
          <w:lang w:val="fr-FR"/>
        </w:rPr>
        <w:t>,</w:t>
      </w:r>
    </w:p>
    <w:p w14:paraId="12A1F8CF" w14:textId="77777777" w:rsidR="0038035D" w:rsidRPr="00BE2E9F" w:rsidRDefault="0038035D" w:rsidP="0038035D">
      <w:pPr>
        <w:pStyle w:val="ListParagraph"/>
        <w:numPr>
          <w:ilvl w:val="1"/>
          <w:numId w:val="3"/>
        </w:numPr>
        <w:spacing w:after="0" w:line="240" w:lineRule="auto"/>
        <w:rPr>
          <w:rFonts w:eastAsiaTheme="minorEastAsia" w:cstheme="minorBidi"/>
          <w:color w:val="000000" w:themeColor="text1"/>
          <w:lang w:val="fr-FR"/>
        </w:rPr>
      </w:pPr>
      <w:r w:rsidRPr="00BE2E9F">
        <w:rPr>
          <w:rFonts w:cs="Calibri"/>
          <w:color w:val="000000" w:themeColor="text1"/>
          <w:lang w:val="fr-FR"/>
        </w:rPr>
        <w:t>Leur rôle et celui des groupes plus larges dans la coordination et la réalisation des tâches</w:t>
      </w:r>
      <w:r>
        <w:rPr>
          <w:rFonts w:cs="Calibri"/>
          <w:color w:val="000000" w:themeColor="text1"/>
          <w:lang w:val="fr-FR"/>
        </w:rPr>
        <w:t>,</w:t>
      </w:r>
      <w:r w:rsidRPr="00BE2E9F">
        <w:rPr>
          <w:rFonts w:cs="Calibri"/>
          <w:color w:val="000000" w:themeColor="text1"/>
          <w:lang w:val="fr-FR"/>
        </w:rPr>
        <w:t xml:space="preserve"> et </w:t>
      </w:r>
      <w:r>
        <w:rPr>
          <w:rFonts w:cs="Calibri"/>
          <w:color w:val="000000" w:themeColor="text1"/>
          <w:lang w:val="fr-FR"/>
        </w:rPr>
        <w:t xml:space="preserve">aux </w:t>
      </w:r>
      <w:r w:rsidRPr="00BE2E9F">
        <w:rPr>
          <w:rFonts w:cs="Calibri"/>
          <w:color w:val="000000" w:themeColor="text1"/>
          <w:lang w:val="fr-FR"/>
        </w:rPr>
        <w:t>réunions, ainsi que le</w:t>
      </w:r>
      <w:r>
        <w:rPr>
          <w:rFonts w:cs="Calibri"/>
          <w:color w:val="000000" w:themeColor="text1"/>
          <w:lang w:val="fr-FR"/>
        </w:rPr>
        <w:t>s</w:t>
      </w:r>
      <w:r w:rsidRPr="00BE2E9F">
        <w:rPr>
          <w:rFonts w:cs="Calibri"/>
          <w:color w:val="000000" w:themeColor="text1"/>
          <w:lang w:val="fr-FR"/>
        </w:rPr>
        <w:t xml:space="preserve"> compte</w:t>
      </w:r>
      <w:r>
        <w:rPr>
          <w:rFonts w:cs="Calibri"/>
          <w:color w:val="000000" w:themeColor="text1"/>
          <w:lang w:val="fr-FR"/>
        </w:rPr>
        <w:t>s</w:t>
      </w:r>
      <w:r w:rsidRPr="00BE2E9F">
        <w:rPr>
          <w:rFonts w:cs="Calibri"/>
          <w:color w:val="000000" w:themeColor="text1"/>
          <w:lang w:val="fr-FR"/>
        </w:rPr>
        <w:t xml:space="preserve"> rendu</w:t>
      </w:r>
      <w:r>
        <w:rPr>
          <w:rFonts w:cs="Calibri"/>
          <w:color w:val="000000" w:themeColor="text1"/>
          <w:lang w:val="fr-FR"/>
        </w:rPr>
        <w:t>s</w:t>
      </w:r>
      <w:r w:rsidRPr="00BE2E9F">
        <w:rPr>
          <w:rFonts w:cs="Calibri"/>
          <w:color w:val="000000" w:themeColor="text1"/>
          <w:lang w:val="fr-FR"/>
        </w:rPr>
        <w:t xml:space="preserve"> des travaux du groupe,</w:t>
      </w:r>
    </w:p>
    <w:p w14:paraId="6AD2C56F" w14:textId="77777777" w:rsidR="0038035D" w:rsidRPr="00BE2E9F" w:rsidRDefault="0038035D" w:rsidP="0038035D">
      <w:pPr>
        <w:pStyle w:val="ListParagraph"/>
        <w:numPr>
          <w:ilvl w:val="1"/>
          <w:numId w:val="3"/>
        </w:numPr>
        <w:spacing w:after="0" w:line="240" w:lineRule="auto"/>
        <w:rPr>
          <w:rFonts w:eastAsiaTheme="minorEastAsia" w:cstheme="minorBidi"/>
          <w:color w:val="000000" w:themeColor="text1"/>
          <w:lang w:val="fr-FR"/>
        </w:rPr>
      </w:pPr>
      <w:r w:rsidRPr="00BE2E9F">
        <w:rPr>
          <w:rFonts w:cs="Calibri"/>
          <w:color w:val="000000" w:themeColor="text1"/>
          <w:lang w:val="fr-FR"/>
        </w:rPr>
        <w:t xml:space="preserve">Comment le président/vice-président peut faciliter le processus de </w:t>
      </w:r>
      <w:r>
        <w:rPr>
          <w:rFonts w:cs="Calibri"/>
          <w:color w:val="000000" w:themeColor="text1"/>
          <w:lang w:val="fr-FR"/>
        </w:rPr>
        <w:t xml:space="preserve">prise de </w:t>
      </w:r>
      <w:r w:rsidRPr="00BE2E9F">
        <w:rPr>
          <w:rFonts w:cs="Calibri"/>
          <w:color w:val="000000" w:themeColor="text1"/>
          <w:lang w:val="fr-FR"/>
        </w:rPr>
        <w:t>décision</w:t>
      </w:r>
      <w:r>
        <w:rPr>
          <w:rFonts w:cs="Calibri"/>
          <w:color w:val="000000" w:themeColor="text1"/>
          <w:lang w:val="fr-FR"/>
        </w:rPr>
        <w:t>s</w:t>
      </w:r>
      <w:r w:rsidRPr="00BE2E9F">
        <w:rPr>
          <w:rFonts w:cs="Calibri"/>
          <w:color w:val="000000" w:themeColor="text1"/>
          <w:lang w:val="fr-FR"/>
        </w:rPr>
        <w:t xml:space="preserve"> au sein du groupe. </w:t>
      </w:r>
    </w:p>
    <w:p w14:paraId="32ED21EB" w14:textId="77777777" w:rsidR="0038035D" w:rsidRPr="00BE2E9F" w:rsidRDefault="0038035D" w:rsidP="0038035D">
      <w:pPr>
        <w:pStyle w:val="ListParagraph"/>
        <w:numPr>
          <w:ilvl w:val="0"/>
          <w:numId w:val="3"/>
        </w:numPr>
        <w:spacing w:after="0" w:line="240" w:lineRule="auto"/>
        <w:rPr>
          <w:rFonts w:eastAsiaTheme="minorEastAsia" w:cstheme="minorBidi"/>
          <w:color w:val="000000" w:themeColor="text1"/>
          <w:lang w:val="fr-FR"/>
        </w:rPr>
      </w:pPr>
      <w:r w:rsidRPr="00BE2E9F">
        <w:rPr>
          <w:rFonts w:cs="Calibri"/>
          <w:color w:val="000000" w:themeColor="text1"/>
          <w:lang w:val="fr-FR"/>
        </w:rPr>
        <w:t>Comment le groupe fonctionnera pour mener à bien ses travaux, par exemple par des réunions, des échanges électroniques écrits, etc.</w:t>
      </w:r>
    </w:p>
    <w:p w14:paraId="4E3B121B" w14:textId="77777777" w:rsidR="0038035D" w:rsidRPr="00BE2E9F" w:rsidRDefault="0038035D" w:rsidP="0038035D">
      <w:pPr>
        <w:pStyle w:val="ListParagraph"/>
        <w:numPr>
          <w:ilvl w:val="0"/>
          <w:numId w:val="3"/>
        </w:numPr>
        <w:spacing w:after="0" w:line="240" w:lineRule="auto"/>
        <w:rPr>
          <w:rFonts w:eastAsiaTheme="minorEastAsia" w:cstheme="minorBidi"/>
          <w:color w:val="000000" w:themeColor="text1"/>
          <w:lang w:val="fr-FR"/>
        </w:rPr>
      </w:pPr>
      <w:r w:rsidRPr="00BE2E9F">
        <w:rPr>
          <w:rFonts w:cs="Calibri"/>
          <w:color w:val="000000" w:themeColor="text1"/>
          <w:lang w:val="fr-FR"/>
        </w:rPr>
        <w:t>Comment le groupe pourra fonctionner en vue de faciliter la particip</w:t>
      </w:r>
      <w:r>
        <w:rPr>
          <w:rFonts w:cs="Calibri"/>
          <w:color w:val="000000" w:themeColor="text1"/>
          <w:lang w:val="fr-FR"/>
        </w:rPr>
        <w:t>ation pleine et active de tous s</w:t>
      </w:r>
      <w:r w:rsidRPr="00BE2E9F">
        <w:rPr>
          <w:rFonts w:cs="Calibri"/>
          <w:color w:val="000000" w:themeColor="text1"/>
          <w:lang w:val="fr-FR"/>
        </w:rPr>
        <w:t xml:space="preserve">es membres et </w:t>
      </w:r>
      <w:r>
        <w:rPr>
          <w:rFonts w:cs="Calibri"/>
          <w:color w:val="000000" w:themeColor="text1"/>
          <w:lang w:val="fr-FR"/>
        </w:rPr>
        <w:t xml:space="preserve">de toutes les </w:t>
      </w:r>
      <w:r w:rsidRPr="00BE2E9F">
        <w:rPr>
          <w:rFonts w:cs="Calibri"/>
          <w:color w:val="000000" w:themeColor="text1"/>
          <w:lang w:val="fr-FR"/>
        </w:rPr>
        <w:t>régions représenté</w:t>
      </w:r>
      <w:r>
        <w:rPr>
          <w:rFonts w:cs="Calibri"/>
          <w:color w:val="000000" w:themeColor="text1"/>
          <w:lang w:val="fr-FR"/>
        </w:rPr>
        <w:t>e</w:t>
      </w:r>
      <w:r w:rsidRPr="00BE2E9F">
        <w:rPr>
          <w:rFonts w:cs="Calibri"/>
          <w:color w:val="000000" w:themeColor="text1"/>
          <w:lang w:val="fr-FR"/>
        </w:rPr>
        <w:t>s au sein du groupe.</w:t>
      </w:r>
    </w:p>
    <w:p w14:paraId="4B327890" w14:textId="77777777" w:rsidR="0038035D" w:rsidRPr="00BE2E9F" w:rsidRDefault="0038035D" w:rsidP="0038035D">
      <w:pPr>
        <w:pStyle w:val="ListParagraph"/>
        <w:numPr>
          <w:ilvl w:val="0"/>
          <w:numId w:val="3"/>
        </w:numPr>
        <w:spacing w:after="0" w:line="240" w:lineRule="auto"/>
        <w:rPr>
          <w:rFonts w:eastAsiaTheme="minorEastAsia" w:cstheme="minorBidi"/>
          <w:color w:val="000000" w:themeColor="text1"/>
          <w:lang w:val="fr-FR"/>
        </w:rPr>
      </w:pPr>
      <w:r>
        <w:rPr>
          <w:rFonts w:cs="Calibri"/>
          <w:color w:val="000000" w:themeColor="text1"/>
          <w:lang w:val="fr-FR"/>
        </w:rPr>
        <w:t>Comment s’</w:t>
      </w:r>
      <w:r w:rsidRPr="00BE2E9F">
        <w:rPr>
          <w:rFonts w:cs="Calibri"/>
          <w:color w:val="000000" w:themeColor="text1"/>
          <w:lang w:val="fr-FR"/>
        </w:rPr>
        <w:t xml:space="preserve">assurer que le groupe dispose toujours d’un point de contact </w:t>
      </w:r>
      <w:r>
        <w:rPr>
          <w:rFonts w:cs="Calibri"/>
          <w:color w:val="000000" w:themeColor="text1"/>
          <w:lang w:val="fr-FR"/>
        </w:rPr>
        <w:t>précis</w:t>
      </w:r>
      <w:r w:rsidRPr="00BE2E9F">
        <w:rPr>
          <w:rFonts w:cs="Calibri"/>
          <w:color w:val="000000" w:themeColor="text1"/>
          <w:lang w:val="fr-FR"/>
        </w:rPr>
        <w:t xml:space="preserve"> pour les membres du groupe, y compris si ces points de contact changent au fil du temps.</w:t>
      </w:r>
    </w:p>
    <w:p w14:paraId="6A481596" w14:textId="77777777" w:rsidR="0038035D" w:rsidRPr="00BE2E9F" w:rsidRDefault="0038035D" w:rsidP="0038035D">
      <w:pPr>
        <w:pStyle w:val="ListParagraph"/>
        <w:numPr>
          <w:ilvl w:val="0"/>
          <w:numId w:val="3"/>
        </w:numPr>
        <w:spacing w:after="0" w:line="240" w:lineRule="auto"/>
        <w:rPr>
          <w:rFonts w:eastAsiaTheme="minorEastAsia" w:cstheme="minorBidi"/>
          <w:color w:val="000000" w:themeColor="text1"/>
          <w:lang w:val="fr-FR"/>
        </w:rPr>
      </w:pPr>
      <w:r w:rsidRPr="00BE2E9F">
        <w:rPr>
          <w:rFonts w:cs="Calibri"/>
          <w:color w:val="000000" w:themeColor="text1"/>
          <w:lang w:val="fr-FR"/>
        </w:rPr>
        <w:t>Comment le groupe tiendra un registre de ses travaux et/ou de ses réunions.</w:t>
      </w:r>
    </w:p>
    <w:p w14:paraId="6A70FD32" w14:textId="77777777" w:rsidR="0038035D" w:rsidRPr="00BE2E9F" w:rsidRDefault="0038035D" w:rsidP="0038035D">
      <w:pPr>
        <w:pStyle w:val="ListParagraph"/>
        <w:numPr>
          <w:ilvl w:val="0"/>
          <w:numId w:val="3"/>
        </w:numPr>
        <w:spacing w:after="0" w:line="240" w:lineRule="auto"/>
        <w:rPr>
          <w:color w:val="000000" w:themeColor="text1"/>
          <w:lang w:val="fr-FR"/>
        </w:rPr>
      </w:pPr>
      <w:r w:rsidRPr="00BE2E9F">
        <w:rPr>
          <w:rFonts w:cs="Calibri"/>
          <w:color w:val="000000" w:themeColor="text1"/>
          <w:lang w:val="fr-FR"/>
        </w:rPr>
        <w:t>Comment les groupes de travail rendront compte à un organe de la Convention.</w:t>
      </w:r>
    </w:p>
    <w:p w14:paraId="0BAE61FA" w14:textId="77777777" w:rsidR="0038035D" w:rsidRPr="00BE2E9F" w:rsidRDefault="0038035D" w:rsidP="0038035D">
      <w:pPr>
        <w:pStyle w:val="ListParagraph"/>
        <w:numPr>
          <w:ilvl w:val="0"/>
          <w:numId w:val="3"/>
        </w:numPr>
        <w:spacing w:after="0" w:line="240" w:lineRule="auto"/>
        <w:rPr>
          <w:rFonts w:eastAsiaTheme="minorEastAsia" w:cstheme="minorBidi"/>
          <w:color w:val="000000" w:themeColor="text1"/>
          <w:lang w:val="fr-FR"/>
        </w:rPr>
      </w:pPr>
      <w:r w:rsidRPr="00BE2E9F">
        <w:rPr>
          <w:rFonts w:cs="Calibri"/>
          <w:color w:val="000000" w:themeColor="text1"/>
          <w:lang w:val="fr-FR"/>
        </w:rPr>
        <w:t>Si et comment l</w:t>
      </w:r>
      <w:r>
        <w:rPr>
          <w:rFonts w:cs="Calibri"/>
          <w:color w:val="000000" w:themeColor="text1"/>
          <w:lang w:val="fr-FR"/>
        </w:rPr>
        <w:t>e groupe doit travailler avec d’</w:t>
      </w:r>
      <w:r w:rsidRPr="00BE2E9F">
        <w:rPr>
          <w:rFonts w:cs="Calibri"/>
          <w:color w:val="000000" w:themeColor="text1"/>
          <w:lang w:val="fr-FR"/>
        </w:rPr>
        <w:t>autres organes de la Convention, y compris le Secrétariat et d’autres groupes de travail ou parties externes concernés.</w:t>
      </w:r>
    </w:p>
    <w:p w14:paraId="3BF15C22" w14:textId="77777777" w:rsidR="0038035D" w:rsidRPr="00BE2E9F" w:rsidRDefault="0038035D" w:rsidP="0038035D">
      <w:pPr>
        <w:pStyle w:val="ListParagraph"/>
        <w:numPr>
          <w:ilvl w:val="0"/>
          <w:numId w:val="3"/>
        </w:numPr>
        <w:spacing w:after="0" w:line="240" w:lineRule="auto"/>
        <w:rPr>
          <w:rFonts w:eastAsiaTheme="minorEastAsia" w:cstheme="minorBidi"/>
          <w:color w:val="000000" w:themeColor="text1"/>
          <w:lang w:val="fr-FR"/>
        </w:rPr>
      </w:pPr>
      <w:r w:rsidRPr="00BE2E9F">
        <w:rPr>
          <w:rFonts w:cs="Calibri"/>
          <w:color w:val="000000" w:themeColor="text1"/>
          <w:lang w:val="fr-FR"/>
        </w:rPr>
        <w:t xml:space="preserve">Fixer un calendrier </w:t>
      </w:r>
      <w:r>
        <w:rPr>
          <w:rFonts w:cs="Calibri"/>
          <w:color w:val="000000" w:themeColor="text1"/>
          <w:lang w:val="fr-FR"/>
        </w:rPr>
        <w:t xml:space="preserve">de travail </w:t>
      </w:r>
      <w:r w:rsidRPr="00BE2E9F">
        <w:rPr>
          <w:rFonts w:cs="Calibri"/>
          <w:color w:val="000000" w:themeColor="text1"/>
          <w:lang w:val="fr-FR"/>
        </w:rPr>
        <w:t>pour que le groupe respecte les délais fixés par la COP.</w:t>
      </w:r>
    </w:p>
    <w:p w14:paraId="3568538D" w14:textId="77777777" w:rsidR="0038035D" w:rsidRPr="00BE2E9F" w:rsidRDefault="0038035D" w:rsidP="0038035D">
      <w:pPr>
        <w:spacing w:after="0" w:line="240" w:lineRule="auto"/>
        <w:rPr>
          <w:rFonts w:cs="Calibri"/>
          <w:color w:val="000000" w:themeColor="text1"/>
          <w:lang w:val="fr-FR"/>
        </w:rPr>
      </w:pPr>
    </w:p>
    <w:p w14:paraId="7E5A21D5" w14:textId="77777777" w:rsidR="0038035D" w:rsidRDefault="0038035D" w:rsidP="0038035D">
      <w:pPr>
        <w:spacing w:after="0" w:line="240" w:lineRule="auto"/>
        <w:rPr>
          <w:rFonts w:cs="Calibri"/>
          <w:b/>
          <w:bCs/>
          <w:color w:val="000000" w:themeColor="text1"/>
          <w:lang w:val="fr-FR"/>
        </w:rPr>
      </w:pPr>
      <w:r w:rsidRPr="00BE2E9F">
        <w:rPr>
          <w:rFonts w:cs="Calibri"/>
          <w:b/>
          <w:bCs/>
          <w:color w:val="000000" w:themeColor="text1"/>
          <w:lang w:val="fr-FR"/>
        </w:rPr>
        <w:t>Suppression</w:t>
      </w:r>
    </w:p>
    <w:p w14:paraId="62D0F1DF" w14:textId="77777777" w:rsidR="008D70CD" w:rsidRPr="00BE2E9F" w:rsidRDefault="008D70CD" w:rsidP="0038035D">
      <w:pPr>
        <w:spacing w:after="0" w:line="240" w:lineRule="auto"/>
        <w:rPr>
          <w:rFonts w:cs="Calibri"/>
          <w:color w:val="000000" w:themeColor="text1"/>
          <w:lang w:val="fr-FR"/>
        </w:rPr>
      </w:pPr>
    </w:p>
    <w:p w14:paraId="04DBDDD8" w14:textId="77777777" w:rsidR="0038035D" w:rsidRPr="00BE2E9F" w:rsidRDefault="0038035D" w:rsidP="0038035D">
      <w:pPr>
        <w:spacing w:after="0" w:line="240" w:lineRule="auto"/>
        <w:rPr>
          <w:rFonts w:cs="Calibri"/>
          <w:color w:val="000000" w:themeColor="text1"/>
          <w:lang w:val="fr-FR"/>
        </w:rPr>
      </w:pPr>
      <w:r w:rsidRPr="00BE2E9F">
        <w:rPr>
          <w:rStyle w:val="normaltextrun"/>
          <w:rFonts w:cs="Calibri"/>
          <w:color w:val="000000" w:themeColor="text1"/>
          <w:lang w:val="fr-FR"/>
        </w:rPr>
        <w:t xml:space="preserve">Tous les groupes de travail </w:t>
      </w:r>
      <w:r>
        <w:rPr>
          <w:rStyle w:val="normaltextrun"/>
          <w:rFonts w:cs="Calibri"/>
          <w:color w:val="000000" w:themeColor="text1"/>
          <w:lang w:val="fr-FR"/>
        </w:rPr>
        <w:t>constitués</w:t>
      </w:r>
      <w:r w:rsidRPr="00BE2E9F">
        <w:rPr>
          <w:rStyle w:val="normaltextrun"/>
          <w:rFonts w:cs="Calibri"/>
          <w:color w:val="000000" w:themeColor="text1"/>
          <w:lang w:val="fr-FR"/>
        </w:rPr>
        <w:t xml:space="preserve"> par une COP doivent être automatiquement supprimés par la </w:t>
      </w:r>
      <w:r>
        <w:rPr>
          <w:rStyle w:val="normaltextrun"/>
          <w:rFonts w:cs="Calibri"/>
          <w:color w:val="000000" w:themeColor="text1"/>
          <w:lang w:val="fr-FR"/>
        </w:rPr>
        <w:t>COP</w:t>
      </w:r>
      <w:r w:rsidRPr="00BE2E9F">
        <w:rPr>
          <w:rStyle w:val="normaltextrun"/>
          <w:rFonts w:cs="Calibri"/>
          <w:color w:val="000000" w:themeColor="text1"/>
          <w:lang w:val="fr-FR"/>
        </w:rPr>
        <w:t xml:space="preserve"> suivante, sauf accord contraire des Parties ou disposition spéciale inscrite dans le mandat du groupe lorsqu’il est créé.</w:t>
      </w:r>
    </w:p>
    <w:p w14:paraId="01DA552E" w14:textId="77777777" w:rsidR="0038035D" w:rsidRPr="00BE2E9F" w:rsidRDefault="0038035D" w:rsidP="0038035D">
      <w:pPr>
        <w:rPr>
          <w:rFonts w:cs="Arial"/>
          <w:i/>
          <w:iCs/>
          <w:lang w:val="fr-FR"/>
        </w:rPr>
      </w:pPr>
    </w:p>
    <w:p w14:paraId="3002718C" w14:textId="77777777" w:rsidR="0038035D" w:rsidRPr="00CA75F9" w:rsidRDefault="0038035D" w:rsidP="00BA2459">
      <w:pPr>
        <w:spacing w:after="0" w:line="240" w:lineRule="auto"/>
        <w:rPr>
          <w:lang w:val="fr-FR"/>
        </w:rPr>
      </w:pPr>
    </w:p>
    <w:sectPr w:rsidR="0038035D" w:rsidRPr="00CA75F9" w:rsidSect="00605195">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870877" w14:textId="77777777" w:rsidR="00F119AE" w:rsidRDefault="00F119AE">
      <w:pPr>
        <w:spacing w:after="0" w:line="240" w:lineRule="auto"/>
      </w:pPr>
      <w:r>
        <w:separator/>
      </w:r>
    </w:p>
  </w:endnote>
  <w:endnote w:type="continuationSeparator" w:id="0">
    <w:p w14:paraId="784FC5DC" w14:textId="77777777" w:rsidR="00F119AE" w:rsidRDefault="00F11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747D7" w14:textId="3B9ECADC" w:rsidR="00605195" w:rsidRDefault="00605195" w:rsidP="00605195">
    <w:pPr>
      <w:pStyle w:val="Header"/>
      <w:rPr>
        <w:noProof/>
      </w:rPr>
    </w:pPr>
    <w:r w:rsidRPr="00E07553">
      <w:rPr>
        <w:sz w:val="20"/>
      </w:rPr>
      <w:t xml:space="preserve">SC59/2022 </w:t>
    </w:r>
    <w:r w:rsidR="0002081B">
      <w:rPr>
        <w:sz w:val="20"/>
      </w:rPr>
      <w:t>Com.3</w:t>
    </w:r>
    <w:r>
      <w:tab/>
    </w:r>
    <w:r>
      <w:tab/>
    </w:r>
    <w:sdt>
      <w:sdtPr>
        <w:id w:val="-1790969534"/>
        <w:docPartObj>
          <w:docPartGallery w:val="Page Numbers (Top of Page)"/>
          <w:docPartUnique/>
        </w:docPartObj>
      </w:sdtPr>
      <w:sdtEndPr>
        <w:rPr>
          <w:noProof/>
        </w:rPr>
      </w:sdtEndPr>
      <w:sdtContent>
        <w:r w:rsidR="008708D4" w:rsidRPr="00F344DE">
          <w:rPr>
            <w:sz w:val="20"/>
          </w:rPr>
          <w:fldChar w:fldCharType="begin"/>
        </w:r>
        <w:r w:rsidRPr="00F344DE">
          <w:rPr>
            <w:sz w:val="20"/>
          </w:rPr>
          <w:instrText xml:space="preserve"> PAGE   \* MERGEFORMAT </w:instrText>
        </w:r>
        <w:r w:rsidR="008708D4" w:rsidRPr="00F344DE">
          <w:rPr>
            <w:sz w:val="20"/>
          </w:rPr>
          <w:fldChar w:fldCharType="separate"/>
        </w:r>
        <w:r w:rsidR="00CF1897">
          <w:rPr>
            <w:noProof/>
            <w:sz w:val="20"/>
          </w:rPr>
          <w:t>3</w:t>
        </w:r>
        <w:r w:rsidR="008708D4" w:rsidRPr="00F344DE">
          <w:rPr>
            <w:noProof/>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8871D" w14:textId="77777777" w:rsidR="00F119AE" w:rsidRDefault="00F119AE">
      <w:pPr>
        <w:spacing w:after="0" w:line="240" w:lineRule="auto"/>
      </w:pPr>
      <w:r>
        <w:separator/>
      </w:r>
    </w:p>
  </w:footnote>
  <w:footnote w:type="continuationSeparator" w:id="0">
    <w:p w14:paraId="4659788F" w14:textId="77777777" w:rsidR="00F119AE" w:rsidRDefault="00F119AE">
      <w:pPr>
        <w:spacing w:after="0" w:line="240" w:lineRule="auto"/>
      </w:pPr>
      <w:r>
        <w:continuationSeparator/>
      </w:r>
    </w:p>
  </w:footnote>
  <w:footnote w:id="1">
    <w:p w14:paraId="1AFA4A8F" w14:textId="78D21C6A" w:rsidR="0038035D" w:rsidRDefault="0038035D" w:rsidP="0038035D">
      <w:pPr>
        <w:pStyle w:val="FootnoteText"/>
        <w:rPr>
          <w:rFonts w:cs="Calibri"/>
          <w:sz w:val="18"/>
          <w:lang w:val="fr-FR"/>
        </w:rPr>
      </w:pPr>
      <w:r w:rsidRPr="00DB408C">
        <w:rPr>
          <w:rStyle w:val="FootnoteReference"/>
          <w:sz w:val="18"/>
        </w:rPr>
        <w:footnoteRef/>
      </w:r>
      <w:r w:rsidRPr="00DB408C">
        <w:rPr>
          <w:sz w:val="18"/>
          <w:lang w:val="fr-FR"/>
        </w:rPr>
        <w:t xml:space="preserve"> (1)</w:t>
      </w:r>
      <w:r w:rsidR="00CF1897">
        <w:rPr>
          <w:sz w:val="18"/>
          <w:lang w:val="fr-FR"/>
        </w:rPr>
        <w:t xml:space="preserve"> </w:t>
      </w:r>
      <w:r w:rsidRPr="00DB408C">
        <w:rPr>
          <w:rFonts w:cs="Calibri"/>
          <w:i/>
          <w:sz w:val="18"/>
          <w:lang w:val="fr-FR"/>
        </w:rPr>
        <w:t>Ramsar Convention on Wetlands: Review of Governance Structures and Procedures – Findings: The Findings Report</w:t>
      </w:r>
      <w:r w:rsidRPr="00DB408C">
        <w:rPr>
          <w:i/>
          <w:sz w:val="18"/>
          <w:lang w:val="fr-FR"/>
        </w:rPr>
        <w:t xml:space="preserve"> </w:t>
      </w:r>
      <w:r w:rsidRPr="00DB408C">
        <w:rPr>
          <w:sz w:val="18"/>
          <w:lang w:val="fr-FR"/>
        </w:rPr>
        <w:t>(Convention de Ramsar sur les zones humides : Examen des structures et procédures de gouvernance - Résultats : Rapport sur les conclusions)(en anglais) </w:t>
      </w:r>
      <w:r w:rsidRPr="00DB408C">
        <w:rPr>
          <w:rFonts w:cs="Calibri"/>
          <w:sz w:val="18"/>
          <w:lang w:val="fr-FR"/>
        </w:rPr>
        <w:t xml:space="preserve">; (2) </w:t>
      </w:r>
      <w:r w:rsidRPr="00DB408C">
        <w:rPr>
          <w:rFonts w:cs="Calibri"/>
          <w:i/>
          <w:sz w:val="18"/>
          <w:lang w:val="fr-FR"/>
        </w:rPr>
        <w:t xml:space="preserve">Ramsar Convention on Wetlands: Review of Governance Structures and Procedures – A Comparison Report </w:t>
      </w:r>
      <w:r w:rsidRPr="00DB408C">
        <w:rPr>
          <w:sz w:val="18"/>
          <w:lang w:val="fr-FR"/>
        </w:rPr>
        <w:t>(Convention de Ramsar sur les zones humides : Examen des structures et procédures de gouvernance -Rapport de comparaison) (en anglais) </w:t>
      </w:r>
      <w:r w:rsidRPr="00DB408C">
        <w:rPr>
          <w:rFonts w:cs="Calibri"/>
          <w:sz w:val="18"/>
          <w:lang w:val="fr-FR"/>
        </w:rPr>
        <w:t xml:space="preserve">; (3) </w:t>
      </w:r>
      <w:r w:rsidRPr="00DB408C">
        <w:rPr>
          <w:rFonts w:cs="Calibri"/>
          <w:i/>
          <w:sz w:val="18"/>
          <w:lang w:val="fr-FR"/>
        </w:rPr>
        <w:t>Final Report – Positive Indications and Measures – Ramsar Convention Governance Review</w:t>
      </w:r>
      <w:r w:rsidRPr="00DB408C">
        <w:rPr>
          <w:rFonts w:cs="Calibri"/>
          <w:sz w:val="18"/>
          <w:lang w:val="fr-FR"/>
        </w:rPr>
        <w:t xml:space="preserve"> (Rapport final - Indications et mesures positives - Examen de la gouvernance de la Convention de Ramsar) (en anglais).</w:t>
      </w:r>
    </w:p>
    <w:p w14:paraId="0F0B1DE1" w14:textId="77777777" w:rsidR="0038035D" w:rsidRPr="00DB408C" w:rsidRDefault="0038035D" w:rsidP="0038035D">
      <w:pPr>
        <w:pStyle w:val="FootnoteText"/>
        <w:rPr>
          <w:sz w:val="18"/>
          <w:lang w:val="fr-FR"/>
        </w:rPr>
      </w:pPr>
    </w:p>
  </w:footnote>
  <w:footnote w:id="2">
    <w:p w14:paraId="3885F09E" w14:textId="77777777" w:rsidR="0038035D" w:rsidRPr="00DB408C" w:rsidRDefault="0038035D" w:rsidP="0038035D">
      <w:pPr>
        <w:pStyle w:val="FootnoteText"/>
        <w:rPr>
          <w:sz w:val="18"/>
          <w:lang w:val="fr-FR"/>
        </w:rPr>
      </w:pPr>
      <w:r w:rsidRPr="00DB408C">
        <w:rPr>
          <w:rStyle w:val="FootnoteReference"/>
          <w:sz w:val="18"/>
        </w:rPr>
        <w:footnoteRef/>
      </w:r>
      <w:r w:rsidRPr="00DB408C">
        <w:rPr>
          <w:rStyle w:val="normaltextrun"/>
          <w:rFonts w:cstheme="minorBidi"/>
          <w:sz w:val="18"/>
          <w:lang w:val="fr-FR"/>
        </w:rPr>
        <w:t xml:space="preserve">Décision </w:t>
      </w:r>
      <w:r w:rsidRPr="00DB408C">
        <w:rPr>
          <w:sz w:val="18"/>
          <w:lang w:val="fr-FR"/>
        </w:rPr>
        <w:t>SC58-19, SC58-20 et SC58-21.</w:t>
      </w:r>
    </w:p>
  </w:footnote>
  <w:footnote w:id="3">
    <w:p w14:paraId="056CB9DD" w14:textId="77777777" w:rsidR="0038035D" w:rsidRPr="00DB408C" w:rsidRDefault="0038035D" w:rsidP="0038035D">
      <w:pPr>
        <w:pStyle w:val="FootnoteText"/>
        <w:rPr>
          <w:i/>
          <w:iCs/>
          <w:sz w:val="18"/>
          <w:szCs w:val="18"/>
          <w:lang w:val="fr-FR"/>
        </w:rPr>
      </w:pPr>
      <w:r w:rsidRPr="00DB408C">
        <w:rPr>
          <w:rStyle w:val="FootnoteReference"/>
          <w:sz w:val="18"/>
          <w:szCs w:val="18"/>
        </w:rPr>
        <w:footnoteRef/>
      </w:r>
      <w:r w:rsidRPr="00DB408C">
        <w:rPr>
          <w:rFonts w:cs="Arial"/>
          <w:i/>
          <w:iCs/>
          <w:sz w:val="18"/>
          <w:szCs w:val="18"/>
          <w:lang w:val="fr-FR"/>
        </w:rPr>
        <w:t xml:space="preserve"> Les lignes directrices peuvent s’appliquer, entre autres, aux groups </w:t>
      </w:r>
      <w:r w:rsidRPr="00DB408C">
        <w:rPr>
          <w:rFonts w:cs="Arial"/>
          <w:iCs/>
          <w:sz w:val="18"/>
          <w:szCs w:val="18"/>
          <w:lang w:val="fr-FR"/>
        </w:rPr>
        <w:t xml:space="preserve">ad </w:t>
      </w:r>
      <w:r w:rsidRPr="00DB408C">
        <w:rPr>
          <w:rFonts w:cs="Arial"/>
          <w:i/>
          <w:iCs/>
          <w:sz w:val="18"/>
          <w:szCs w:val="18"/>
          <w:lang w:val="fr-FR"/>
        </w:rPr>
        <w:t xml:space="preserve">hoc créés par le Comité permanent. </w:t>
      </w:r>
    </w:p>
  </w:footnote>
  <w:footnote w:id="4">
    <w:p w14:paraId="37230C4E" w14:textId="77777777" w:rsidR="0038035D" w:rsidRPr="00DB408C" w:rsidRDefault="0038035D" w:rsidP="0038035D">
      <w:pPr>
        <w:pStyle w:val="FootnoteText"/>
        <w:rPr>
          <w:sz w:val="18"/>
          <w:szCs w:val="18"/>
          <w:lang w:val="fr-FR"/>
        </w:rPr>
      </w:pPr>
      <w:r w:rsidRPr="00DB408C">
        <w:rPr>
          <w:rStyle w:val="FootnoteReference"/>
          <w:sz w:val="18"/>
          <w:szCs w:val="18"/>
        </w:rPr>
        <w:footnoteRef/>
      </w:r>
      <w:r w:rsidRPr="00DB408C">
        <w:rPr>
          <w:i/>
          <w:iCs/>
          <w:sz w:val="18"/>
          <w:szCs w:val="18"/>
          <w:lang w:val="fr-FR"/>
        </w:rPr>
        <w:t xml:space="preserve"> Sauf en cas de circonstances exceptionnelles.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46A6D928"/>
    <w:lvl w:ilvl="0" w:tplc="630E6CDA">
      <w:start w:val="1"/>
      <w:numFmt w:val="lowerLetter"/>
      <w:lvlText w:val="%1)"/>
      <w:lvlJc w:val="left"/>
      <w:pPr>
        <w:ind w:left="720" w:hanging="360"/>
      </w:pPr>
    </w:lvl>
    <w:lvl w:ilvl="1" w:tplc="73B2E0E0">
      <w:start w:val="1"/>
      <w:numFmt w:val="lowerLetter"/>
      <w:lvlText w:val="%2."/>
      <w:lvlJc w:val="left"/>
      <w:pPr>
        <w:ind w:left="1440" w:hanging="360"/>
      </w:pPr>
    </w:lvl>
    <w:lvl w:ilvl="2" w:tplc="84C043C0">
      <w:start w:val="1"/>
      <w:numFmt w:val="lowerRoman"/>
      <w:lvlText w:val="%3."/>
      <w:lvlJc w:val="right"/>
      <w:pPr>
        <w:ind w:left="2160" w:hanging="180"/>
      </w:pPr>
    </w:lvl>
    <w:lvl w:ilvl="3" w:tplc="74CAE36C">
      <w:start w:val="1"/>
      <w:numFmt w:val="decimal"/>
      <w:lvlText w:val="%4."/>
      <w:lvlJc w:val="left"/>
      <w:pPr>
        <w:ind w:left="2880" w:hanging="360"/>
      </w:pPr>
    </w:lvl>
    <w:lvl w:ilvl="4" w:tplc="4E5225F0">
      <w:start w:val="1"/>
      <w:numFmt w:val="lowerLetter"/>
      <w:lvlText w:val="%5."/>
      <w:lvlJc w:val="left"/>
      <w:pPr>
        <w:ind w:left="3600" w:hanging="360"/>
      </w:pPr>
    </w:lvl>
    <w:lvl w:ilvl="5" w:tplc="BE28A208">
      <w:start w:val="1"/>
      <w:numFmt w:val="lowerRoman"/>
      <w:lvlText w:val="%6."/>
      <w:lvlJc w:val="right"/>
      <w:pPr>
        <w:ind w:left="4320" w:hanging="180"/>
      </w:pPr>
    </w:lvl>
    <w:lvl w:ilvl="6" w:tplc="BBFAEFCE">
      <w:start w:val="1"/>
      <w:numFmt w:val="decimal"/>
      <w:lvlText w:val="%7."/>
      <w:lvlJc w:val="left"/>
      <w:pPr>
        <w:ind w:left="5040" w:hanging="360"/>
      </w:pPr>
    </w:lvl>
    <w:lvl w:ilvl="7" w:tplc="71345BB8">
      <w:start w:val="1"/>
      <w:numFmt w:val="lowerLetter"/>
      <w:lvlText w:val="%8."/>
      <w:lvlJc w:val="left"/>
      <w:pPr>
        <w:ind w:left="5760" w:hanging="360"/>
      </w:pPr>
    </w:lvl>
    <w:lvl w:ilvl="8" w:tplc="38020310">
      <w:start w:val="1"/>
      <w:numFmt w:val="lowerRoman"/>
      <w:lvlText w:val="%9."/>
      <w:lvlJc w:val="right"/>
      <w:pPr>
        <w:ind w:left="6480" w:hanging="180"/>
      </w:pPr>
    </w:lvl>
  </w:abstractNum>
  <w:abstractNum w:abstractNumId="1" w15:restartNumberingAfterBreak="0">
    <w:nsid w:val="00000002"/>
    <w:multiLevelType w:val="hybridMultilevel"/>
    <w:tmpl w:val="D5D6F7BC"/>
    <w:lvl w:ilvl="0" w:tplc="808CF68E">
      <w:start w:val="1"/>
      <w:numFmt w:val="decimal"/>
      <w:lvlText w:val="%1."/>
      <w:lvlJc w:val="left"/>
      <w:pPr>
        <w:ind w:left="720" w:hanging="360"/>
      </w:pPr>
    </w:lvl>
    <w:lvl w:ilvl="1" w:tplc="7096B4BE">
      <w:start w:val="1"/>
      <w:numFmt w:val="lowerLetter"/>
      <w:lvlText w:val="%2."/>
      <w:lvlJc w:val="left"/>
      <w:pPr>
        <w:ind w:left="1440" w:hanging="360"/>
      </w:pPr>
    </w:lvl>
    <w:lvl w:ilvl="2" w:tplc="8DECFF12">
      <w:start w:val="1"/>
      <w:numFmt w:val="lowerRoman"/>
      <w:lvlText w:val="%3."/>
      <w:lvlJc w:val="right"/>
      <w:pPr>
        <w:ind w:left="2160" w:hanging="180"/>
      </w:pPr>
    </w:lvl>
    <w:lvl w:ilvl="3" w:tplc="F81015A4">
      <w:start w:val="1"/>
      <w:numFmt w:val="decimal"/>
      <w:lvlText w:val="%4."/>
      <w:lvlJc w:val="left"/>
      <w:pPr>
        <w:ind w:left="2880" w:hanging="360"/>
      </w:pPr>
    </w:lvl>
    <w:lvl w:ilvl="4" w:tplc="B1BE7232">
      <w:start w:val="1"/>
      <w:numFmt w:val="lowerLetter"/>
      <w:lvlText w:val="%5."/>
      <w:lvlJc w:val="left"/>
      <w:pPr>
        <w:ind w:left="3600" w:hanging="360"/>
      </w:pPr>
    </w:lvl>
    <w:lvl w:ilvl="5" w:tplc="5BE6DA1E">
      <w:start w:val="1"/>
      <w:numFmt w:val="lowerRoman"/>
      <w:lvlText w:val="%6."/>
      <w:lvlJc w:val="right"/>
      <w:pPr>
        <w:ind w:left="4320" w:hanging="180"/>
      </w:pPr>
    </w:lvl>
    <w:lvl w:ilvl="6" w:tplc="72DA7A5C">
      <w:start w:val="1"/>
      <w:numFmt w:val="decimal"/>
      <w:lvlText w:val="%7."/>
      <w:lvlJc w:val="left"/>
      <w:pPr>
        <w:ind w:left="5040" w:hanging="360"/>
      </w:pPr>
    </w:lvl>
    <w:lvl w:ilvl="7" w:tplc="78D2864C">
      <w:start w:val="1"/>
      <w:numFmt w:val="lowerLetter"/>
      <w:lvlText w:val="%8."/>
      <w:lvlJc w:val="left"/>
      <w:pPr>
        <w:ind w:left="5760" w:hanging="360"/>
      </w:pPr>
    </w:lvl>
    <w:lvl w:ilvl="8" w:tplc="716CD4BE">
      <w:start w:val="1"/>
      <w:numFmt w:val="lowerRoman"/>
      <w:lvlText w:val="%9."/>
      <w:lvlJc w:val="right"/>
      <w:pPr>
        <w:ind w:left="6480" w:hanging="180"/>
      </w:pPr>
    </w:lvl>
  </w:abstractNum>
  <w:abstractNum w:abstractNumId="2"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3736BC"/>
    <w:multiLevelType w:val="hybridMultilevel"/>
    <w:tmpl w:val="FF16AB60"/>
    <w:lvl w:ilvl="0" w:tplc="ED186EE4">
      <w:start w:val="1"/>
      <w:numFmt w:val="bullet"/>
      <w:lvlText w:val=""/>
      <w:lvlJc w:val="left"/>
      <w:pPr>
        <w:ind w:left="720" w:hanging="360"/>
      </w:pPr>
      <w:rPr>
        <w:rFonts w:ascii="Symbol" w:hAnsi="Symbol" w:hint="default"/>
      </w:rPr>
    </w:lvl>
    <w:lvl w:ilvl="1" w:tplc="92EE565A">
      <w:start w:val="1"/>
      <w:numFmt w:val="bullet"/>
      <w:lvlText w:val="o"/>
      <w:lvlJc w:val="left"/>
      <w:pPr>
        <w:ind w:left="1440" w:hanging="360"/>
      </w:pPr>
      <w:rPr>
        <w:rFonts w:ascii="Courier New" w:hAnsi="Courier New" w:hint="default"/>
      </w:rPr>
    </w:lvl>
    <w:lvl w:ilvl="2" w:tplc="1A884266">
      <w:start w:val="1"/>
      <w:numFmt w:val="bullet"/>
      <w:lvlText w:val=""/>
      <w:lvlJc w:val="left"/>
      <w:pPr>
        <w:ind w:left="2160" w:hanging="360"/>
      </w:pPr>
      <w:rPr>
        <w:rFonts w:ascii="Wingdings" w:hAnsi="Wingdings" w:hint="default"/>
      </w:rPr>
    </w:lvl>
    <w:lvl w:ilvl="3" w:tplc="B7C20738">
      <w:start w:val="1"/>
      <w:numFmt w:val="bullet"/>
      <w:lvlText w:val=""/>
      <w:lvlJc w:val="left"/>
      <w:pPr>
        <w:ind w:left="2880" w:hanging="360"/>
      </w:pPr>
      <w:rPr>
        <w:rFonts w:ascii="Symbol" w:hAnsi="Symbol" w:hint="default"/>
      </w:rPr>
    </w:lvl>
    <w:lvl w:ilvl="4" w:tplc="3414523A">
      <w:start w:val="1"/>
      <w:numFmt w:val="bullet"/>
      <w:lvlText w:val="o"/>
      <w:lvlJc w:val="left"/>
      <w:pPr>
        <w:ind w:left="3600" w:hanging="360"/>
      </w:pPr>
      <w:rPr>
        <w:rFonts w:ascii="Courier New" w:hAnsi="Courier New" w:hint="default"/>
      </w:rPr>
    </w:lvl>
    <w:lvl w:ilvl="5" w:tplc="EE1E907C">
      <w:start w:val="1"/>
      <w:numFmt w:val="bullet"/>
      <w:lvlText w:val=""/>
      <w:lvlJc w:val="left"/>
      <w:pPr>
        <w:ind w:left="4320" w:hanging="360"/>
      </w:pPr>
      <w:rPr>
        <w:rFonts w:ascii="Wingdings" w:hAnsi="Wingdings" w:hint="default"/>
      </w:rPr>
    </w:lvl>
    <w:lvl w:ilvl="6" w:tplc="5B9E4794">
      <w:start w:val="1"/>
      <w:numFmt w:val="bullet"/>
      <w:lvlText w:val=""/>
      <w:lvlJc w:val="left"/>
      <w:pPr>
        <w:ind w:left="5040" w:hanging="360"/>
      </w:pPr>
      <w:rPr>
        <w:rFonts w:ascii="Symbol" w:hAnsi="Symbol" w:hint="default"/>
      </w:rPr>
    </w:lvl>
    <w:lvl w:ilvl="7" w:tplc="44C6EEB6">
      <w:start w:val="1"/>
      <w:numFmt w:val="bullet"/>
      <w:lvlText w:val="o"/>
      <w:lvlJc w:val="left"/>
      <w:pPr>
        <w:ind w:left="5760" w:hanging="360"/>
      </w:pPr>
      <w:rPr>
        <w:rFonts w:ascii="Courier New" w:hAnsi="Courier New" w:hint="default"/>
      </w:rPr>
    </w:lvl>
    <w:lvl w:ilvl="8" w:tplc="4C84CE80">
      <w:start w:val="1"/>
      <w:numFmt w:val="bullet"/>
      <w:lvlText w:val=""/>
      <w:lvlJc w:val="left"/>
      <w:pPr>
        <w:ind w:left="6480" w:hanging="360"/>
      </w:pPr>
      <w:rPr>
        <w:rFonts w:ascii="Wingdings" w:hAnsi="Wingdings" w:hint="default"/>
      </w:rPr>
    </w:lvl>
  </w:abstractNum>
  <w:abstractNum w:abstractNumId="4" w15:restartNumberingAfterBreak="0">
    <w:nsid w:val="53843152"/>
    <w:multiLevelType w:val="hybridMultilevel"/>
    <w:tmpl w:val="833AD54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3EA0680"/>
    <w:multiLevelType w:val="hybridMultilevel"/>
    <w:tmpl w:val="22FCA538"/>
    <w:lvl w:ilvl="0" w:tplc="F08CBEA8">
      <w:start w:val="1"/>
      <w:numFmt w:val="decimal"/>
      <w:lvlText w:val="%1."/>
      <w:lvlJc w:val="left"/>
      <w:pPr>
        <w:ind w:left="720" w:hanging="360"/>
      </w:pPr>
    </w:lvl>
    <w:lvl w:ilvl="1" w:tplc="B7BE625A">
      <w:start w:val="1"/>
      <w:numFmt w:val="lowerLetter"/>
      <w:lvlText w:val="%2."/>
      <w:lvlJc w:val="left"/>
      <w:pPr>
        <w:ind w:left="1440" w:hanging="360"/>
      </w:pPr>
    </w:lvl>
    <w:lvl w:ilvl="2" w:tplc="7D5CD476">
      <w:start w:val="1"/>
      <w:numFmt w:val="lowerRoman"/>
      <w:lvlText w:val="%3."/>
      <w:lvlJc w:val="right"/>
      <w:pPr>
        <w:ind w:left="2160" w:hanging="180"/>
      </w:pPr>
    </w:lvl>
    <w:lvl w:ilvl="3" w:tplc="5434A95E">
      <w:start w:val="1"/>
      <w:numFmt w:val="decimal"/>
      <w:lvlText w:val="%4."/>
      <w:lvlJc w:val="left"/>
      <w:pPr>
        <w:ind w:left="2880" w:hanging="360"/>
      </w:pPr>
    </w:lvl>
    <w:lvl w:ilvl="4" w:tplc="26D66AE0">
      <w:start w:val="1"/>
      <w:numFmt w:val="lowerLetter"/>
      <w:lvlText w:val="%5."/>
      <w:lvlJc w:val="left"/>
      <w:pPr>
        <w:ind w:left="3600" w:hanging="360"/>
      </w:pPr>
    </w:lvl>
    <w:lvl w:ilvl="5" w:tplc="A8F2C3C4">
      <w:start w:val="1"/>
      <w:numFmt w:val="lowerRoman"/>
      <w:lvlText w:val="%6."/>
      <w:lvlJc w:val="right"/>
      <w:pPr>
        <w:ind w:left="4320" w:hanging="180"/>
      </w:pPr>
    </w:lvl>
    <w:lvl w:ilvl="6" w:tplc="F0522624">
      <w:start w:val="1"/>
      <w:numFmt w:val="decimal"/>
      <w:lvlText w:val="%7."/>
      <w:lvlJc w:val="left"/>
      <w:pPr>
        <w:ind w:left="5040" w:hanging="360"/>
      </w:pPr>
    </w:lvl>
    <w:lvl w:ilvl="7" w:tplc="BC524E88">
      <w:start w:val="1"/>
      <w:numFmt w:val="lowerLetter"/>
      <w:lvlText w:val="%8."/>
      <w:lvlJc w:val="left"/>
      <w:pPr>
        <w:ind w:left="5760" w:hanging="360"/>
      </w:pPr>
    </w:lvl>
    <w:lvl w:ilvl="8" w:tplc="44560258">
      <w:start w:val="1"/>
      <w:numFmt w:val="lowerRoman"/>
      <w:lvlText w:val="%9."/>
      <w:lvlJc w:val="right"/>
      <w:pPr>
        <w:ind w:left="6480" w:hanging="180"/>
      </w:pPr>
    </w:lvl>
  </w:abstractNum>
  <w:abstractNum w:abstractNumId="6" w15:restartNumberingAfterBreak="0">
    <w:nsid w:val="5BF22EE2"/>
    <w:multiLevelType w:val="hybridMultilevel"/>
    <w:tmpl w:val="A58A3A70"/>
    <w:lvl w:ilvl="0" w:tplc="3426FDB2">
      <w:start w:val="1"/>
      <w:numFmt w:val="bullet"/>
      <w:lvlText w:val=""/>
      <w:lvlJc w:val="left"/>
      <w:pPr>
        <w:ind w:left="720" w:hanging="360"/>
      </w:pPr>
      <w:rPr>
        <w:rFonts w:ascii="Symbol" w:hAnsi="Symbol" w:hint="default"/>
      </w:rPr>
    </w:lvl>
    <w:lvl w:ilvl="1" w:tplc="2310A014">
      <w:start w:val="1"/>
      <w:numFmt w:val="bullet"/>
      <w:lvlText w:val="o"/>
      <w:lvlJc w:val="left"/>
      <w:pPr>
        <w:ind w:left="1440" w:hanging="360"/>
      </w:pPr>
      <w:rPr>
        <w:rFonts w:ascii="Courier New" w:hAnsi="Courier New" w:hint="default"/>
      </w:rPr>
    </w:lvl>
    <w:lvl w:ilvl="2" w:tplc="97006F82">
      <w:start w:val="1"/>
      <w:numFmt w:val="bullet"/>
      <w:lvlText w:val=""/>
      <w:lvlJc w:val="left"/>
      <w:pPr>
        <w:ind w:left="2160" w:hanging="360"/>
      </w:pPr>
      <w:rPr>
        <w:rFonts w:ascii="Wingdings" w:hAnsi="Wingdings" w:hint="default"/>
      </w:rPr>
    </w:lvl>
    <w:lvl w:ilvl="3" w:tplc="3FF883EC">
      <w:start w:val="1"/>
      <w:numFmt w:val="bullet"/>
      <w:lvlText w:val=""/>
      <w:lvlJc w:val="left"/>
      <w:pPr>
        <w:ind w:left="2880" w:hanging="360"/>
      </w:pPr>
      <w:rPr>
        <w:rFonts w:ascii="Symbol" w:hAnsi="Symbol" w:hint="default"/>
      </w:rPr>
    </w:lvl>
    <w:lvl w:ilvl="4" w:tplc="7A1E63AE">
      <w:start w:val="1"/>
      <w:numFmt w:val="bullet"/>
      <w:lvlText w:val="o"/>
      <w:lvlJc w:val="left"/>
      <w:pPr>
        <w:ind w:left="3600" w:hanging="360"/>
      </w:pPr>
      <w:rPr>
        <w:rFonts w:ascii="Courier New" w:hAnsi="Courier New" w:hint="default"/>
      </w:rPr>
    </w:lvl>
    <w:lvl w:ilvl="5" w:tplc="8D36F226">
      <w:start w:val="1"/>
      <w:numFmt w:val="bullet"/>
      <w:lvlText w:val=""/>
      <w:lvlJc w:val="left"/>
      <w:pPr>
        <w:ind w:left="4320" w:hanging="360"/>
      </w:pPr>
      <w:rPr>
        <w:rFonts w:ascii="Wingdings" w:hAnsi="Wingdings" w:hint="default"/>
      </w:rPr>
    </w:lvl>
    <w:lvl w:ilvl="6" w:tplc="5FC465CA">
      <w:start w:val="1"/>
      <w:numFmt w:val="bullet"/>
      <w:lvlText w:val=""/>
      <w:lvlJc w:val="left"/>
      <w:pPr>
        <w:ind w:left="5040" w:hanging="360"/>
      </w:pPr>
      <w:rPr>
        <w:rFonts w:ascii="Symbol" w:hAnsi="Symbol" w:hint="default"/>
      </w:rPr>
    </w:lvl>
    <w:lvl w:ilvl="7" w:tplc="5C3002F6">
      <w:start w:val="1"/>
      <w:numFmt w:val="bullet"/>
      <w:lvlText w:val="o"/>
      <w:lvlJc w:val="left"/>
      <w:pPr>
        <w:ind w:left="5760" w:hanging="360"/>
      </w:pPr>
      <w:rPr>
        <w:rFonts w:ascii="Courier New" w:hAnsi="Courier New" w:hint="default"/>
      </w:rPr>
    </w:lvl>
    <w:lvl w:ilvl="8" w:tplc="06846880">
      <w:start w:val="1"/>
      <w:numFmt w:val="bullet"/>
      <w:lvlText w:val=""/>
      <w:lvlJc w:val="left"/>
      <w:pPr>
        <w:ind w:left="6480" w:hanging="360"/>
      </w:pPr>
      <w:rPr>
        <w:rFonts w:ascii="Wingdings" w:hAnsi="Wingdings" w:hint="default"/>
      </w:rPr>
    </w:lvl>
  </w:abstractNum>
  <w:abstractNum w:abstractNumId="7" w15:restartNumberingAfterBreak="0">
    <w:nsid w:val="6BCB0785"/>
    <w:multiLevelType w:val="hybridMultilevel"/>
    <w:tmpl w:val="0032B558"/>
    <w:lvl w:ilvl="0" w:tplc="5F1C44A2">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60B454E"/>
    <w:multiLevelType w:val="hybridMultilevel"/>
    <w:tmpl w:val="3E243780"/>
    <w:lvl w:ilvl="0" w:tplc="040C0017">
      <w:start w:val="1"/>
      <w:numFmt w:val="lowerLetter"/>
      <w:lvlText w:val="%1)"/>
      <w:lvlJc w:val="left"/>
      <w:pPr>
        <w:ind w:left="1080" w:hanging="360"/>
      </w:pPr>
    </w:lvl>
    <w:lvl w:ilvl="1" w:tplc="F94A4758">
      <w:start w:val="1"/>
      <w:numFmt w:val="lowerLetter"/>
      <w:lvlText w:val="%2."/>
      <w:lvlJc w:val="left"/>
      <w:pPr>
        <w:ind w:left="1800" w:hanging="360"/>
      </w:pPr>
    </w:lvl>
    <w:lvl w:ilvl="2" w:tplc="4F107F30">
      <w:start w:val="1"/>
      <w:numFmt w:val="lowerRoman"/>
      <w:lvlText w:val="%3."/>
      <w:lvlJc w:val="right"/>
      <w:pPr>
        <w:ind w:left="2520" w:hanging="180"/>
      </w:pPr>
    </w:lvl>
    <w:lvl w:ilvl="3" w:tplc="D1F2C390">
      <w:start w:val="1"/>
      <w:numFmt w:val="decimal"/>
      <w:lvlText w:val="%4."/>
      <w:lvlJc w:val="left"/>
      <w:pPr>
        <w:ind w:left="3240" w:hanging="360"/>
      </w:pPr>
    </w:lvl>
    <w:lvl w:ilvl="4" w:tplc="FC388A86">
      <w:start w:val="1"/>
      <w:numFmt w:val="lowerLetter"/>
      <w:lvlText w:val="%5."/>
      <w:lvlJc w:val="left"/>
      <w:pPr>
        <w:ind w:left="3960" w:hanging="360"/>
      </w:pPr>
    </w:lvl>
    <w:lvl w:ilvl="5" w:tplc="C28AC2AA">
      <w:start w:val="1"/>
      <w:numFmt w:val="lowerRoman"/>
      <w:lvlText w:val="%6."/>
      <w:lvlJc w:val="right"/>
      <w:pPr>
        <w:ind w:left="4680" w:hanging="180"/>
      </w:pPr>
    </w:lvl>
    <w:lvl w:ilvl="6" w:tplc="A4D4F2FA">
      <w:start w:val="1"/>
      <w:numFmt w:val="decimal"/>
      <w:lvlText w:val="%7."/>
      <w:lvlJc w:val="left"/>
      <w:pPr>
        <w:ind w:left="5400" w:hanging="360"/>
      </w:pPr>
    </w:lvl>
    <w:lvl w:ilvl="7" w:tplc="062C141A">
      <w:start w:val="1"/>
      <w:numFmt w:val="lowerLetter"/>
      <w:lvlText w:val="%8."/>
      <w:lvlJc w:val="left"/>
      <w:pPr>
        <w:ind w:left="6120" w:hanging="360"/>
      </w:pPr>
    </w:lvl>
    <w:lvl w:ilvl="8" w:tplc="A48E52F6">
      <w:start w:val="1"/>
      <w:numFmt w:val="lowerRoman"/>
      <w:lvlText w:val="%9."/>
      <w:lvlJc w:val="right"/>
      <w:pPr>
        <w:ind w:left="6840" w:hanging="180"/>
      </w:pPr>
    </w:lvl>
  </w:abstractNum>
  <w:num w:numId="1">
    <w:abstractNumId w:val="0"/>
  </w:num>
  <w:num w:numId="2">
    <w:abstractNumId w:val="1"/>
  </w:num>
  <w:num w:numId="3">
    <w:abstractNumId w:val="6"/>
  </w:num>
  <w:num w:numId="4">
    <w:abstractNumId w:val="3"/>
  </w:num>
  <w:num w:numId="5">
    <w:abstractNumId w:val="8"/>
  </w:num>
  <w:num w:numId="6">
    <w:abstractNumId w:val="5"/>
  </w:num>
  <w:num w:numId="7">
    <w:abstractNumId w:val="2"/>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hyphenationZone w:val="425"/>
  <w:characterSpacingControl w:val="doNotCompress"/>
  <w:hdrShapeDefaults>
    <o:shapedefaults v:ext="edit" spidmax="2050"/>
  </w:hdrShapeDefaults>
  <w:footnotePr>
    <w:footnote w:id="-1"/>
    <w:footnote w:id="0"/>
  </w:footnotePr>
  <w:endnotePr>
    <w:endnote w:id="-1"/>
    <w:endnote w:id="0"/>
  </w:endnotePr>
  <w:compat>
    <w:spaceForUL/>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C9D"/>
    <w:rsid w:val="00010A9A"/>
    <w:rsid w:val="0002081B"/>
    <w:rsid w:val="000B5E43"/>
    <w:rsid w:val="000D443F"/>
    <w:rsid w:val="00126CF0"/>
    <w:rsid w:val="0013166E"/>
    <w:rsid w:val="00140F6D"/>
    <w:rsid w:val="0014638D"/>
    <w:rsid w:val="002960CB"/>
    <w:rsid w:val="002A5A4B"/>
    <w:rsid w:val="002B292C"/>
    <w:rsid w:val="00335E73"/>
    <w:rsid w:val="00341E58"/>
    <w:rsid w:val="0038035D"/>
    <w:rsid w:val="00380D40"/>
    <w:rsid w:val="003B6FFF"/>
    <w:rsid w:val="004256C8"/>
    <w:rsid w:val="00462003"/>
    <w:rsid w:val="004D59BC"/>
    <w:rsid w:val="00502123"/>
    <w:rsid w:val="0050580D"/>
    <w:rsid w:val="005227A6"/>
    <w:rsid w:val="0055072B"/>
    <w:rsid w:val="00553006"/>
    <w:rsid w:val="005D775C"/>
    <w:rsid w:val="00605195"/>
    <w:rsid w:val="006E2A65"/>
    <w:rsid w:val="007C3E55"/>
    <w:rsid w:val="008708D4"/>
    <w:rsid w:val="00895A0F"/>
    <w:rsid w:val="008D70CD"/>
    <w:rsid w:val="009E1000"/>
    <w:rsid w:val="00A04B8A"/>
    <w:rsid w:val="00A86A1D"/>
    <w:rsid w:val="00A95AAC"/>
    <w:rsid w:val="00AB718B"/>
    <w:rsid w:val="00B31495"/>
    <w:rsid w:val="00B65FE6"/>
    <w:rsid w:val="00B663F1"/>
    <w:rsid w:val="00B9110E"/>
    <w:rsid w:val="00BA2459"/>
    <w:rsid w:val="00BE2DB5"/>
    <w:rsid w:val="00BE4305"/>
    <w:rsid w:val="00BE5484"/>
    <w:rsid w:val="00C14335"/>
    <w:rsid w:val="00CA75F9"/>
    <w:rsid w:val="00CB0E29"/>
    <w:rsid w:val="00CF1897"/>
    <w:rsid w:val="00D9680A"/>
    <w:rsid w:val="00E93C9D"/>
    <w:rsid w:val="00EA4831"/>
    <w:rsid w:val="00F119AE"/>
    <w:rsid w:val="00F25196"/>
    <w:rsid w:val="00F7531E"/>
    <w:rsid w:val="00FB22AD"/>
    <w:rsid w:val="03E927D2"/>
    <w:rsid w:val="09494E6D"/>
    <w:rsid w:val="0B280DA5"/>
    <w:rsid w:val="0C80EF2F"/>
    <w:rsid w:val="13D4DB72"/>
    <w:rsid w:val="19584789"/>
    <w:rsid w:val="1C2EA42F"/>
    <w:rsid w:val="1D8AD5EC"/>
    <w:rsid w:val="1F00E91B"/>
    <w:rsid w:val="23FA1770"/>
    <w:rsid w:val="27E1B326"/>
    <w:rsid w:val="291B6DB1"/>
    <w:rsid w:val="2B3F9859"/>
    <w:rsid w:val="30A368D7"/>
    <w:rsid w:val="30A6DA12"/>
    <w:rsid w:val="33F02271"/>
    <w:rsid w:val="3F41B30A"/>
    <w:rsid w:val="40C45B0E"/>
    <w:rsid w:val="4146C68D"/>
    <w:rsid w:val="461A37B0"/>
    <w:rsid w:val="473BDC5A"/>
    <w:rsid w:val="4BE16BC6"/>
    <w:rsid w:val="5097140F"/>
    <w:rsid w:val="548CCADF"/>
    <w:rsid w:val="5B752411"/>
    <w:rsid w:val="5BA4A9D8"/>
    <w:rsid w:val="5D7A3794"/>
    <w:rsid w:val="60C34079"/>
    <w:rsid w:val="66BFC43E"/>
    <w:rsid w:val="69F76500"/>
    <w:rsid w:val="714B5143"/>
    <w:rsid w:val="71A296B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4F574"/>
  <w15:docId w15:val="{5B403223-2E97-4618-BD98-357CD9EE0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C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CF0"/>
    <w:pPr>
      <w:ind w:left="720"/>
      <w:contextualSpacing/>
    </w:pPr>
  </w:style>
  <w:style w:type="paragraph" w:styleId="CommentText">
    <w:name w:val="annotation text"/>
    <w:basedOn w:val="Normal"/>
    <w:link w:val="CommentTextChar"/>
    <w:semiHidden/>
    <w:rsid w:val="00126CF0"/>
    <w:pPr>
      <w:spacing w:line="240" w:lineRule="auto"/>
    </w:pPr>
    <w:rPr>
      <w:sz w:val="20"/>
    </w:rPr>
  </w:style>
  <w:style w:type="character" w:customStyle="1" w:styleId="CommentTextChar">
    <w:name w:val="Comment Text Char"/>
    <w:basedOn w:val="DefaultParagraphFont"/>
    <w:link w:val="CommentText"/>
    <w:rsid w:val="00126CF0"/>
    <w:rPr>
      <w:sz w:val="20"/>
    </w:rPr>
  </w:style>
  <w:style w:type="character" w:styleId="CommentReference">
    <w:name w:val="annotation reference"/>
    <w:basedOn w:val="DefaultParagraphFont"/>
    <w:semiHidden/>
    <w:rsid w:val="00126CF0"/>
    <w:rPr>
      <w:sz w:val="16"/>
    </w:rPr>
  </w:style>
  <w:style w:type="paragraph" w:styleId="CommentSubject">
    <w:name w:val="annotation subject"/>
    <w:basedOn w:val="CommentText"/>
    <w:next w:val="CommentText"/>
    <w:link w:val="CommentSubjectChar"/>
    <w:semiHidden/>
    <w:rsid w:val="00126CF0"/>
    <w:rPr>
      <w:b/>
    </w:rPr>
  </w:style>
  <w:style w:type="character" w:customStyle="1" w:styleId="CommentSubjectChar">
    <w:name w:val="Comment Subject Char"/>
    <w:basedOn w:val="CommentTextChar"/>
    <w:link w:val="CommentSubject"/>
    <w:rsid w:val="00126CF0"/>
    <w:rPr>
      <w:b/>
      <w:sz w:val="20"/>
    </w:rPr>
  </w:style>
  <w:style w:type="paragraph" w:styleId="BalloonText">
    <w:name w:val="Balloon Text"/>
    <w:basedOn w:val="Normal"/>
    <w:link w:val="BalloonTextChar"/>
    <w:semiHidden/>
    <w:rsid w:val="00126CF0"/>
    <w:pPr>
      <w:spacing w:after="0" w:line="240" w:lineRule="auto"/>
    </w:pPr>
    <w:rPr>
      <w:rFonts w:ascii="Segoe UI" w:hAnsi="Segoe UI"/>
      <w:sz w:val="18"/>
    </w:rPr>
  </w:style>
  <w:style w:type="character" w:customStyle="1" w:styleId="BalloonTextChar">
    <w:name w:val="Balloon Text Char"/>
    <w:basedOn w:val="DefaultParagraphFont"/>
    <w:link w:val="BalloonText"/>
    <w:rsid w:val="00126CF0"/>
    <w:rPr>
      <w:rFonts w:ascii="Segoe UI" w:hAnsi="Segoe UI"/>
      <w:sz w:val="18"/>
    </w:rPr>
  </w:style>
  <w:style w:type="character" w:styleId="FootnoteReference">
    <w:name w:val="footnote reference"/>
    <w:basedOn w:val="DefaultParagraphFont"/>
    <w:uiPriority w:val="99"/>
    <w:semiHidden/>
    <w:rsid w:val="00126CF0"/>
    <w:rPr>
      <w:vertAlign w:val="superscript"/>
    </w:rPr>
  </w:style>
  <w:style w:type="character" w:styleId="EndnoteReference">
    <w:name w:val="endnote reference"/>
    <w:basedOn w:val="DefaultParagraphFont"/>
    <w:semiHidden/>
    <w:rsid w:val="00126CF0"/>
    <w:rPr>
      <w:vertAlign w:val="superscript"/>
    </w:rPr>
  </w:style>
  <w:style w:type="paragraph" w:customStyle="1" w:styleId="ColorfulList-Accent11">
    <w:name w:val="Colorful List - Accent 11"/>
    <w:basedOn w:val="Normal"/>
    <w:uiPriority w:val="34"/>
    <w:qFormat/>
    <w:rsid w:val="00BA2459"/>
    <w:pPr>
      <w:spacing w:after="0" w:line="240" w:lineRule="auto"/>
      <w:ind w:left="720" w:hanging="425"/>
      <w:contextualSpacing/>
    </w:pPr>
    <w:rPr>
      <w:rFonts w:ascii="Calibri" w:eastAsia="Calibri" w:hAnsi="Calibri"/>
      <w:szCs w:val="22"/>
      <w:lang w:eastAsia="en-US"/>
    </w:rPr>
  </w:style>
  <w:style w:type="paragraph" w:styleId="Header">
    <w:name w:val="header"/>
    <w:basedOn w:val="Normal"/>
    <w:link w:val="HeaderChar"/>
    <w:uiPriority w:val="99"/>
    <w:unhideWhenUsed/>
    <w:rsid w:val="006051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5195"/>
  </w:style>
  <w:style w:type="paragraph" w:styleId="Footer">
    <w:name w:val="footer"/>
    <w:basedOn w:val="Normal"/>
    <w:link w:val="FooterChar"/>
    <w:uiPriority w:val="99"/>
    <w:unhideWhenUsed/>
    <w:rsid w:val="006051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5195"/>
  </w:style>
  <w:style w:type="paragraph" w:styleId="FootnoteText">
    <w:name w:val="footnote text"/>
    <w:basedOn w:val="Normal"/>
    <w:link w:val="FootnoteTextChar"/>
    <w:uiPriority w:val="99"/>
    <w:semiHidden/>
    <w:unhideWhenUsed/>
    <w:rsid w:val="0050580D"/>
    <w:pPr>
      <w:spacing w:after="0" w:line="240" w:lineRule="auto"/>
    </w:pPr>
    <w:rPr>
      <w:sz w:val="20"/>
    </w:rPr>
  </w:style>
  <w:style w:type="character" w:customStyle="1" w:styleId="FootnoteTextChar">
    <w:name w:val="Footnote Text Char"/>
    <w:basedOn w:val="DefaultParagraphFont"/>
    <w:link w:val="FootnoteText"/>
    <w:uiPriority w:val="99"/>
    <w:semiHidden/>
    <w:rsid w:val="0050580D"/>
    <w:rPr>
      <w:sz w:val="20"/>
    </w:rPr>
  </w:style>
  <w:style w:type="character" w:customStyle="1" w:styleId="markedcontent">
    <w:name w:val="markedcontent"/>
    <w:basedOn w:val="DefaultParagraphFont"/>
    <w:rsid w:val="00B31495"/>
  </w:style>
  <w:style w:type="character" w:customStyle="1" w:styleId="normaltextrun">
    <w:name w:val="normaltextrun"/>
    <w:basedOn w:val="DefaultParagraphFont"/>
    <w:rsid w:val="003803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2DEB08A283177346865391AF3396C9B9" ma:contentTypeVersion="72" ma:contentTypeDescription="new Document or upload" ma:contentTypeScope="" ma:versionID="a8f62a0e537839667811a3d767f734a1">
  <xsd:schema xmlns:xsd="http://www.w3.org/2001/XMLSchema" xmlns:xs="http://www.w3.org/2001/XMLSchema" xmlns:p="http://schemas.microsoft.com/office/2006/metadata/properties" xmlns:ns2="0f50e317-d97a-4d4b-be23-be7479f90fa5" xmlns:ns3="662745e8-e224-48e8-a2e3-254862b8c2f5" xmlns:ns4="3a0d77f3-2823-45b0-9390-b0c6b365da11" targetNamespace="http://schemas.microsoft.com/office/2006/metadata/properties" ma:root="true" ma:fieldsID="338771a83c6b892b988d7ee4a060092d" ns2:_="" ns3:_="" ns4:_="">
    <xsd:import namespace="0f50e317-d97a-4d4b-be23-be7479f90fa5"/>
    <xsd:import namespace="662745e8-e224-48e8-a2e3-254862b8c2f5"/>
    <xsd:import namespace="3a0d77f3-2823-45b0-9390-b0c6b365da11"/>
    <xsd:element name="properties">
      <xsd:complexType>
        <xsd:sequence>
          <xsd:element name="documentManagement">
            <xsd:complexType>
              <xsd:all>
                <xsd:element ref="ns2:dlc_EmailSubject" minOccurs="0"/>
                <xsd:element ref="ns2:dlc_EmailTo" minOccurs="0"/>
                <xsd:element ref="ns2:dlc_EmailFrom" minOccurs="0"/>
                <xsd:element ref="ns2:dlc_EmailCC" minOccurs="0"/>
                <xsd:element ref="ns2:dlc_EmailSentUTC" minOccurs="0"/>
                <xsd:element ref="ns2:dlc_EmailReceivedUTC" minOccurs="0"/>
                <xsd:element ref="ns3:HOMigrated" minOccurs="0"/>
                <xsd:element ref="ns3:Team" minOccurs="0"/>
                <xsd:element ref="ns3:Topic" minOccurs="0"/>
                <xsd:element ref="ns3:ddeb1fd0a9ad4436a96525d34737dc44" minOccurs="0"/>
                <xsd:element ref="ns3:k85d23755b3a46b5a51451cf336b2e9b" minOccurs="0"/>
                <xsd:element ref="ns3:fe59e9859d6a491389c5b03567f5dda5" minOccurs="0"/>
                <xsd:element ref="ns3:n7493b4506bf40e28c373b1e51a33445" minOccurs="0"/>
                <xsd:element ref="ns3:TaxCatchAllLabel" minOccurs="0"/>
                <xsd:element ref="ns3:cf401361b24e474cb011be6eb76c0e76" minOccurs="0"/>
                <xsd:element ref="ns2:bcb1675984d34ae3a1ed6b6e433c98de" minOccurs="0"/>
                <xsd:element ref="ns3:lae2bfa7b6474897ab4a53f76ea236c7" minOccurs="0"/>
                <xsd:element ref="ns2:peb8f3fab875401ca34a9f28cac46400" minOccurs="0"/>
                <xsd:element ref="ns3:TaxCatchAll"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50e317-d97a-4d4b-be23-be7479f90fa5" elementFormDefault="qualified">
    <xsd:import namespace="http://schemas.microsoft.com/office/2006/documentManagement/types"/>
    <xsd:import namespace="http://schemas.microsoft.com/office/infopath/2007/PartnerControls"/>
    <xsd:element name="dlc_EmailSubject" ma:index="4" nillable="true" ma:displayName="Subject" ma:internalName="dlc_EmailSubject" ma:readOnly="false">
      <xsd:simpleType>
        <xsd:restriction base="dms:Note"/>
      </xsd:simpleType>
    </xsd:element>
    <xsd:element name="dlc_EmailTo" ma:index="5" nillable="true" ma:displayName="To" ma:internalName="dlc_EmailTo" ma:readOnly="false">
      <xsd:simpleType>
        <xsd:restriction base="dms:Note"/>
      </xsd:simpleType>
    </xsd:element>
    <xsd:element name="dlc_EmailFrom" ma:index="6" nillable="true" ma:displayName="From" ma:internalName="dlc_EmailFrom" ma:readOnly="false">
      <xsd:simpleType>
        <xsd:restriction base="dms:Text">
          <xsd:maxLength value="255"/>
        </xsd:restriction>
      </xsd:simpleType>
    </xsd:element>
    <xsd:element name="dlc_EmailCC" ma:index="7" nillable="true" ma:displayName="CC" ma:internalName="dlc_EmailCC" ma:readOnly="false">
      <xsd:simpleType>
        <xsd:restriction base="dms:Note">
          <xsd:maxLength value="255"/>
        </xsd:restriction>
      </xsd:simpleType>
    </xsd:element>
    <xsd:element name="dlc_EmailSentUTC" ma:index="8" nillable="true" ma:displayName="Date Sent" ma:format="DateTime" ma:internalName="dlc_EmailSentUTC" ma:readOnly="false">
      <xsd:simpleType>
        <xsd:restriction base="dms:DateTime"/>
      </xsd:simpleType>
    </xsd:element>
    <xsd:element name="dlc_EmailReceivedUTC" ma:index="9" nillable="true" ma:displayName="Date Received" ma:format="DateTime" ma:internalName="dlc_EmailReceivedUTC" ma:readOnly="false">
      <xsd:simpleType>
        <xsd:restriction base="dms:DateTime"/>
      </xsd:simpleType>
    </xsd:element>
    <xsd:element name="bcb1675984d34ae3a1ed6b6e433c98de" ma:index="31" nillable="true" ma:taxonomy="true" ma:internalName="bcb1675984d34ae3a1ed6b6e433c98de" ma:taxonomyFieldName="Directorate" ma:displayName="Directorate" ma:readOnly="false" ma:fieldId="{bcb16759-84d3-4ae3-a1ed-6b6e433c98de}" ma:sspId="d1117845-93f6-4da3-abaa-fcb4fa669c78" ma:termSetId="a3042207-bc74-4e42-93b3-dbb4e6115b83" ma:anchorId="00000000-0000-0000-0000-000000000000" ma:open="false" ma:isKeyword="false">
      <xsd:complexType>
        <xsd:sequence>
          <xsd:element ref="pc:Terms" minOccurs="0" maxOccurs="1"/>
        </xsd:sequence>
      </xsd:complexType>
    </xsd:element>
    <xsd:element name="peb8f3fab875401ca34a9f28cac46400" ma:index="33" nillable="true" ma:taxonomy="true" ma:internalName="peb8f3fab875401ca34a9f28cac46400" ma:taxonomyFieldName="SecurityClassification" ma:displayName="SecurityClassification" ma:readOnly="false" ma:fieldId="{9eb8f3fa-b875-401c-a34a-9f28cac46400}" ma:sspId="d1117845-93f6-4da3-abaa-fcb4fa669c78" ma:termSetId="cb8bbbf2-2a11-43af-a18e-40ed7c8e4b1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HOMigrated" ma:index="15" nillable="true" ma:displayName="Migrated" ma:default="0" ma:internalName="HOMigrated">
      <xsd:simpleType>
        <xsd:restriction base="dms:Boolean"/>
      </xsd:simpleType>
    </xsd:element>
    <xsd:element name="Team" ma:index="17" nillable="true" ma:displayName="Team" ma:default="International" ma:internalName="Team">
      <xsd:simpleType>
        <xsd:restriction base="dms:Text"/>
      </xsd:simpleType>
    </xsd:element>
    <xsd:element name="Topic" ma:index="18" nillable="true" ma:displayName="Topic" ma:default="Ramsar"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k85d23755b3a46b5a51451cf336b2e9b" ma:index="22" nillable="true" ma:taxonomy="true" ma:internalName="k85d23755b3a46b5a51451cf336b2e9b" ma:taxonomyFieldName="InformationType" ma:displayName="Information Type" ma:readOnly="fals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24" nillable="true" ma:taxonomy="true" ma:internalName="n7493b4506bf40e28c373b1e51a33445" ma:taxonomyFieldName="HOSiteType" ma:displayName="Site type" ma:readOnly="fals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TaxCatchAllLabel" ma:index="26" nillable="true" ma:displayName="Taxonomy Catch All Column1" ma:hidden="true" ma:list="{6aa36ca5-392a-411c-bda6-8ea3e20f0f8b}" ma:internalName="TaxCatchAllLabel" ma:readOnly="false" ma:showField="CatchAllDataLabel" ma:web="0f50e317-d97a-4d4b-be23-be7479f90fa5">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28"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lae2bfa7b6474897ab4a53f76ea236c7" ma:index="32"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34" nillable="true" ma:displayName="Taxonomy Catch All Column" ma:hidden="true" ma:list="{6aa36ca5-392a-411c-bda6-8ea3e20f0f8b}" ma:internalName="TaxCatchAll" ma:readOnly="false" ma:showField="CatchAllData" ma:web="0f50e317-d97a-4d4b-be23-be7479f90f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a0d77f3-2823-45b0-9390-b0c6b365da11" elementFormDefault="qualified">
    <xsd:import namespace="http://schemas.microsoft.com/office/2006/documentManagement/types"/>
    <xsd:import namespace="http://schemas.microsoft.com/office/infopath/2007/PartnerControls"/>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1117845-93f6-4da3-abaa-fcb4fa669c78" ContentTypeId="0x010100A5BF1C78D9F64B679A5EBDE1C6598EBC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lc_EmailFrom xmlns="0f50e317-d97a-4d4b-be23-be7479f90fa5" xsi:nil="true"/>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axCatchAllLabel xmlns="662745e8-e224-48e8-a2e3-254862b8c2f5" xsi:nil="true"/>
    <dlc_EmailTo xmlns="0f50e317-d97a-4d4b-be23-be7479f90fa5" xsi:nil="true"/>
    <dlc_EmailSubject xmlns="0f50e317-d97a-4d4b-be23-be7479f90fa5" xsi:nil="true"/>
    <Topic xmlns="662745e8-e224-48e8-a2e3-254862b8c2f5">Ramsar</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dlc_EmailReceivedUTC xmlns="0f50e317-d97a-4d4b-be23-be7479f90fa5" xsi:nil="true"/>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dlc_EmailCC xmlns="0f50e317-d97a-4d4b-be23-be7479f90fa5" xsi:nil="true"/>
    <bcb1675984d34ae3a1ed6b6e433c98de xmlns="0f50e317-d97a-4d4b-be23-be7479f90fa5">
      <Terms xmlns="http://schemas.microsoft.com/office/infopath/2007/PartnerControls"/>
    </bcb1675984d34ae3a1ed6b6e433c98de>
    <Team xmlns="662745e8-e224-48e8-a2e3-254862b8c2f5">International</Team>
    <dlc_EmailSentUTC xmlns="0f50e317-d97a-4d4b-be23-be7479f90fa5" xsi:nil="true"/>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peb8f3fab875401ca34a9f28cac46400 xmlns="0f50e317-d97a-4d4b-be23-be7479f90fa5">
      <Terms xmlns="http://schemas.microsoft.com/office/infopath/2007/PartnerControls"/>
    </peb8f3fab875401ca34a9f28cac46400>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9CEE2-7BF8-4F00-B997-2AABCDE71C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50e317-d97a-4d4b-be23-be7479f90fa5"/>
    <ds:schemaRef ds:uri="662745e8-e224-48e8-a2e3-254862b8c2f5"/>
    <ds:schemaRef ds:uri="3a0d77f3-2823-45b0-9390-b0c6b365da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978359-F6CF-45BC-A246-38E57F974E1F}">
  <ds:schemaRefs>
    <ds:schemaRef ds:uri="Microsoft.SharePoint.Taxonomy.ContentTypeSync"/>
  </ds:schemaRefs>
</ds:datastoreItem>
</file>

<file path=customXml/itemProps3.xml><?xml version="1.0" encoding="utf-8"?>
<ds:datastoreItem xmlns:ds="http://schemas.openxmlformats.org/officeDocument/2006/customXml" ds:itemID="{A7F7AA18-19CA-4ACD-8BC4-6BB05D06442A}">
  <ds:schemaRefs>
    <ds:schemaRef ds:uri="http://schemas.microsoft.com/sharepoint/v3/contenttype/forms"/>
  </ds:schemaRefs>
</ds:datastoreItem>
</file>

<file path=customXml/itemProps4.xml><?xml version="1.0" encoding="utf-8"?>
<ds:datastoreItem xmlns:ds="http://schemas.openxmlformats.org/officeDocument/2006/customXml" ds:itemID="{2AD111DA-45BB-4AF2-B4F3-FC7956811F6B}">
  <ds:schemaRefs>
    <ds:schemaRef ds:uri="3a0d77f3-2823-45b0-9390-b0c6b365da11"/>
    <ds:schemaRef ds:uri="662745e8-e224-48e8-a2e3-254862b8c2f5"/>
    <ds:schemaRef ds:uri="http://www.w3.org/XML/1998/namespace"/>
    <ds:schemaRef ds:uri="http://schemas.microsoft.com/office/2006/documentManagement/types"/>
    <ds:schemaRef ds:uri="http://purl.org/dc/elements/1.1/"/>
    <ds:schemaRef ds:uri="http://purl.org/dc/terms/"/>
    <ds:schemaRef ds:uri="http://schemas.microsoft.com/office/infopath/2007/PartnerControls"/>
    <ds:schemaRef ds:uri="0f50e317-d97a-4d4b-be23-be7479f90fa5"/>
    <ds:schemaRef ds:uri="http://schemas.openxmlformats.org/package/2006/metadata/core-properties"/>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6854C038-A702-4706-8284-C5044AB3F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1822</Words>
  <Characters>10392</Characters>
  <Application>Microsoft Office Word</Application>
  <DocSecurity>0</DocSecurity>
  <Lines>86</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Eldred, Megan</dc:creator>
  <cp:lastModifiedBy>Ed Jennings</cp:lastModifiedBy>
  <cp:revision>2</cp:revision>
  <cp:lastPrinted>2022-03-18T15:53:00Z</cp:lastPrinted>
  <dcterms:created xsi:type="dcterms:W3CDTF">2022-05-27T07:16:00Z</dcterms:created>
  <dcterms:modified xsi:type="dcterms:W3CDTF">2022-05-27T07:16:00Z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0x010100A5BF1C78D9F64B679A5EBDE1C6598EBC01002DEB08A283177346865391AF3396C9B9</vt:lpwstr>
  </property>
  <property fmtid="{D5CDD505-2E9C-101B-9397-08002B2CF9AE}" pid="3" name="Directorate">
    <vt:lpwstr/>
  </property>
  <property fmtid="{D5CDD505-2E9C-101B-9397-08002B2CF9AE}" pid="4" name="Distribution">
    <vt:lpwstr>9;#Internal Defra Group|0867f7b3-e76e-40ca-bb1f-5ba341a49230</vt:lpwstr>
  </property>
  <property fmtid="{D5CDD505-2E9C-101B-9397-08002B2CF9AE}" pid="5" name="HOCopyrightLevel">
    <vt:lpwstr>7;#Crown|69589897-2828-4761-976e-717fd8e631c9</vt:lpwstr>
  </property>
  <property fmtid="{D5CDD505-2E9C-101B-9397-08002B2CF9AE}" pid="6" name="HOGovernmentSecurityClassification">
    <vt:lpwstr>6;#Official|14c80daa-741b-422c-9722-f71693c9ede4</vt:lpwstr>
  </property>
  <property fmtid="{D5CDD505-2E9C-101B-9397-08002B2CF9AE}" pid="7" name="HOSiteType">
    <vt:lpwstr>10;#Team|ff0485df-0575-416f-802f-e999165821b7</vt:lpwstr>
  </property>
  <property fmtid="{D5CDD505-2E9C-101B-9397-08002B2CF9AE}" pid="8" name="InformationType">
    <vt:lpwstr/>
  </property>
  <property fmtid="{D5CDD505-2E9C-101B-9397-08002B2CF9AE}" pid="9" name="OrganisationalUnit">
    <vt:lpwstr>8;#Core Defra|026223dd-2e56-4615-868d-7c5bfd566810</vt:lpwstr>
  </property>
  <property fmtid="{D5CDD505-2E9C-101B-9397-08002B2CF9AE}" pid="10" name="SecurityClassification">
    <vt:lpwstr/>
  </property>
</Properties>
</file>