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CF919" w14:textId="77777777" w:rsidR="00F066F4" w:rsidRPr="007348E5" w:rsidRDefault="00F066F4" w:rsidP="00F066F4">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7348E5">
        <w:rPr>
          <w:bCs/>
          <w:sz w:val="24"/>
          <w:szCs w:val="24"/>
          <w:lang w:val="fr-CH"/>
        </w:rPr>
        <w:t xml:space="preserve">CONVENTION </w:t>
      </w:r>
      <w:r>
        <w:rPr>
          <w:bCs/>
          <w:sz w:val="24"/>
          <w:szCs w:val="24"/>
          <w:lang w:val="fr-CH"/>
        </w:rPr>
        <w:t>SUR LES ZONES HUMIDES</w:t>
      </w:r>
      <w:r w:rsidRPr="007348E5">
        <w:rPr>
          <w:bCs/>
          <w:sz w:val="24"/>
          <w:szCs w:val="24"/>
          <w:lang w:val="fr-CH"/>
        </w:rPr>
        <w:t xml:space="preserve"> </w:t>
      </w:r>
    </w:p>
    <w:p w14:paraId="339CFE43" w14:textId="77777777" w:rsidR="00F066F4" w:rsidRPr="007348E5" w:rsidRDefault="00F066F4" w:rsidP="00F066F4">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7348E5">
        <w:rPr>
          <w:bCs/>
          <w:sz w:val="24"/>
          <w:szCs w:val="24"/>
          <w:lang w:val="fr-CH"/>
        </w:rPr>
        <w:t>59</w:t>
      </w:r>
      <w:r w:rsidRPr="00C758AC">
        <w:rPr>
          <w:bCs/>
          <w:sz w:val="24"/>
          <w:szCs w:val="24"/>
          <w:vertAlign w:val="superscript"/>
          <w:lang w:val="fr-CH"/>
        </w:rPr>
        <w:t>e</w:t>
      </w:r>
      <w:r>
        <w:rPr>
          <w:bCs/>
          <w:sz w:val="24"/>
          <w:szCs w:val="24"/>
          <w:lang w:val="fr-CH"/>
        </w:rPr>
        <w:t xml:space="preserve"> Réunion du Comité permanent</w:t>
      </w:r>
    </w:p>
    <w:p w14:paraId="28D32370" w14:textId="77777777" w:rsidR="00F066F4" w:rsidRPr="007348E5" w:rsidRDefault="00F066F4" w:rsidP="00F066F4">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7348E5">
        <w:rPr>
          <w:bCs/>
          <w:sz w:val="24"/>
          <w:szCs w:val="24"/>
          <w:lang w:val="fr-CH"/>
        </w:rPr>
        <w:t xml:space="preserve">Gland, </w:t>
      </w:r>
      <w:r>
        <w:rPr>
          <w:bCs/>
          <w:sz w:val="24"/>
          <w:szCs w:val="24"/>
          <w:lang w:val="fr-CH"/>
        </w:rPr>
        <w:t>Suisse</w:t>
      </w:r>
      <w:r w:rsidRPr="007348E5">
        <w:rPr>
          <w:bCs/>
          <w:sz w:val="24"/>
          <w:szCs w:val="24"/>
          <w:lang w:val="fr-CH"/>
        </w:rPr>
        <w:t>, 21</w:t>
      </w:r>
      <w:r>
        <w:rPr>
          <w:bCs/>
          <w:sz w:val="24"/>
          <w:szCs w:val="24"/>
          <w:lang w:val="fr-CH"/>
        </w:rPr>
        <w:t xml:space="preserve"> au</w:t>
      </w:r>
      <w:r w:rsidRPr="007348E5">
        <w:rPr>
          <w:bCs/>
          <w:sz w:val="24"/>
          <w:szCs w:val="24"/>
          <w:lang w:val="fr-CH"/>
        </w:rPr>
        <w:t xml:space="preserve"> 25</w:t>
      </w:r>
      <w:r>
        <w:rPr>
          <w:bCs/>
          <w:sz w:val="24"/>
          <w:szCs w:val="24"/>
          <w:lang w:val="fr-CH"/>
        </w:rPr>
        <w:t> juin</w:t>
      </w:r>
      <w:r w:rsidRPr="007348E5">
        <w:rPr>
          <w:bCs/>
          <w:sz w:val="24"/>
          <w:szCs w:val="24"/>
          <w:lang w:val="fr-CH"/>
        </w:rPr>
        <w:t xml:space="preserve"> 2021</w:t>
      </w:r>
    </w:p>
    <w:p w14:paraId="47034406" w14:textId="77777777" w:rsidR="00F066F4" w:rsidRPr="00BA3B82" w:rsidRDefault="00F066F4" w:rsidP="00F066F4">
      <w:pPr>
        <w:outlineLvl w:val="0"/>
        <w:rPr>
          <w:b/>
          <w:sz w:val="28"/>
          <w:szCs w:val="28"/>
          <w:lang w:val="fr-FR"/>
        </w:rPr>
      </w:pPr>
    </w:p>
    <w:p w14:paraId="635566D4" w14:textId="77777777" w:rsidR="00F066F4" w:rsidRPr="007348E5" w:rsidRDefault="00F066F4" w:rsidP="00F066F4">
      <w:pPr>
        <w:jc w:val="right"/>
        <w:rPr>
          <w:rFonts w:cs="Arial"/>
          <w:sz w:val="28"/>
          <w:szCs w:val="28"/>
          <w:lang w:val="fr-CH"/>
        </w:rPr>
      </w:pPr>
      <w:r w:rsidRPr="007348E5">
        <w:rPr>
          <w:rFonts w:cs="Arial"/>
          <w:b/>
          <w:sz w:val="28"/>
          <w:szCs w:val="28"/>
          <w:lang w:val="fr-CH"/>
        </w:rPr>
        <w:t>SC59 Doc.2</w:t>
      </w:r>
      <w:r>
        <w:rPr>
          <w:rFonts w:cs="Arial"/>
          <w:b/>
          <w:sz w:val="28"/>
          <w:szCs w:val="28"/>
          <w:lang w:val="fr-CH"/>
        </w:rPr>
        <w:t>1</w:t>
      </w:r>
      <w:r w:rsidRPr="007348E5">
        <w:rPr>
          <w:rFonts w:cs="Arial"/>
          <w:b/>
          <w:sz w:val="28"/>
          <w:szCs w:val="28"/>
          <w:lang w:val="fr-CH"/>
        </w:rPr>
        <w:t xml:space="preserve">.1 </w:t>
      </w:r>
    </w:p>
    <w:p w14:paraId="5E56CC40" w14:textId="77777777" w:rsidR="00F066F4" w:rsidRPr="007348E5" w:rsidRDefault="00F066F4" w:rsidP="00F066F4">
      <w:pPr>
        <w:ind w:left="0" w:firstLine="0"/>
        <w:jc w:val="center"/>
        <w:rPr>
          <w:rFonts w:cs="Arial"/>
          <w:b/>
          <w:sz w:val="28"/>
          <w:szCs w:val="28"/>
          <w:lang w:val="fr-CH"/>
        </w:rPr>
      </w:pPr>
    </w:p>
    <w:p w14:paraId="42E6890B" w14:textId="77777777" w:rsidR="00F066F4" w:rsidRPr="007348E5" w:rsidRDefault="00F066F4" w:rsidP="00F066F4">
      <w:pPr>
        <w:ind w:left="0" w:firstLine="0"/>
        <w:jc w:val="center"/>
        <w:rPr>
          <w:rFonts w:cs="Arial"/>
          <w:b/>
          <w:sz w:val="28"/>
          <w:szCs w:val="28"/>
          <w:lang w:val="fr-CH"/>
        </w:rPr>
      </w:pPr>
      <w:r w:rsidRPr="007348E5">
        <w:rPr>
          <w:rFonts w:cs="Arial"/>
          <w:b/>
          <w:sz w:val="28"/>
          <w:szCs w:val="28"/>
          <w:lang w:val="fr-CH"/>
        </w:rPr>
        <w:t>R</w:t>
      </w:r>
      <w:r>
        <w:rPr>
          <w:rFonts w:cs="Arial"/>
          <w:b/>
          <w:sz w:val="28"/>
          <w:szCs w:val="28"/>
          <w:lang w:val="fr-CH"/>
        </w:rPr>
        <w:t xml:space="preserve">apport du Groupe de travail sur les Initiatives régionales Ramsar, </w:t>
      </w:r>
      <w:r w:rsidRPr="007348E5">
        <w:rPr>
          <w:rFonts w:cs="Arial"/>
          <w:b/>
          <w:sz w:val="28"/>
          <w:szCs w:val="28"/>
          <w:lang w:val="fr-CH"/>
        </w:rPr>
        <w:br/>
      </w:r>
      <w:r>
        <w:rPr>
          <w:rFonts w:cs="Arial"/>
          <w:b/>
          <w:sz w:val="28"/>
          <w:szCs w:val="28"/>
          <w:lang w:val="fr-CH"/>
        </w:rPr>
        <w:t>relatif à la mise en œuvre de la Résolution </w:t>
      </w:r>
      <w:r w:rsidRPr="007348E5">
        <w:rPr>
          <w:rFonts w:cs="Arial"/>
          <w:b/>
          <w:sz w:val="28"/>
          <w:szCs w:val="28"/>
          <w:lang w:val="fr-CH"/>
        </w:rPr>
        <w:t>XIII.9</w:t>
      </w:r>
    </w:p>
    <w:p w14:paraId="21244403" w14:textId="77777777" w:rsidR="00F066F4" w:rsidRPr="007348E5" w:rsidRDefault="00F066F4" w:rsidP="00F066F4">
      <w:pPr>
        <w:rPr>
          <w:rFonts w:ascii="Garamond" w:hAnsi="Garamond" w:cs="Arial"/>
          <w:sz w:val="28"/>
          <w:szCs w:val="28"/>
          <w:lang w:val="fr-CH"/>
        </w:rPr>
      </w:pPr>
    </w:p>
    <w:p w14:paraId="0751F8D7" w14:textId="77777777" w:rsidR="00F066F4" w:rsidRPr="007348E5" w:rsidRDefault="00F066F4" w:rsidP="00F066F4">
      <w:pPr>
        <w:autoSpaceDE w:val="0"/>
        <w:autoSpaceDN w:val="0"/>
        <w:adjustRightInd w:val="0"/>
        <w:rPr>
          <w:rFonts w:asciiTheme="minorHAnsi" w:hAnsiTheme="minorHAnsi" w:cs="Calibri-Bold"/>
          <w:b/>
          <w:bCs/>
          <w:lang w:val="fr-CH"/>
        </w:rPr>
      </w:pPr>
      <w:r w:rsidRPr="007348E5">
        <w:rPr>
          <w:noProof/>
          <w:lang w:eastAsia="en-GB"/>
        </w:rPr>
        <mc:AlternateContent>
          <mc:Choice Requires="wps">
            <w:drawing>
              <wp:inline distT="0" distB="0" distL="0" distR="0" wp14:anchorId="11D63A53" wp14:editId="7E4DFA2D">
                <wp:extent cx="5731510" cy="2122714"/>
                <wp:effectExtent l="0" t="0" r="21590"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22714"/>
                        </a:xfrm>
                        <a:prstGeom prst="rect">
                          <a:avLst/>
                        </a:prstGeom>
                        <a:solidFill>
                          <a:srgbClr val="FFFFFF"/>
                        </a:solidFill>
                        <a:ln w="9525">
                          <a:solidFill>
                            <a:srgbClr val="000000"/>
                          </a:solidFill>
                          <a:miter lim="800000"/>
                          <a:headEnd/>
                          <a:tailEnd/>
                        </a:ln>
                      </wps:spPr>
                      <wps:txbx>
                        <w:txbxContent>
                          <w:p w14:paraId="1E9469E1" w14:textId="77777777" w:rsidR="005538E4" w:rsidRPr="007348E5" w:rsidRDefault="005538E4" w:rsidP="00F066F4">
                            <w:pPr>
                              <w:rPr>
                                <w:b/>
                                <w:bCs/>
                                <w:lang w:val="fr-CH"/>
                              </w:rPr>
                            </w:pPr>
                            <w:r>
                              <w:rPr>
                                <w:b/>
                                <w:bCs/>
                                <w:lang w:val="fr-CH"/>
                              </w:rPr>
                              <w:t>Mesures requises </w:t>
                            </w:r>
                            <w:r w:rsidRPr="007348E5">
                              <w:rPr>
                                <w:b/>
                                <w:bCs/>
                                <w:lang w:val="fr-CH"/>
                              </w:rPr>
                              <w:t xml:space="preserve">: </w:t>
                            </w:r>
                          </w:p>
                          <w:p w14:paraId="3EAE917D" w14:textId="77777777" w:rsidR="005538E4" w:rsidRPr="007348E5" w:rsidRDefault="005538E4" w:rsidP="00F066F4">
                            <w:pPr>
                              <w:pStyle w:val="ColorfulList-Accent11"/>
                              <w:ind w:left="0"/>
                              <w:rPr>
                                <w:lang w:val="fr-CH"/>
                              </w:rPr>
                            </w:pPr>
                          </w:p>
                          <w:p w14:paraId="4A103D74" w14:textId="77777777" w:rsidR="005538E4" w:rsidRPr="007348E5" w:rsidRDefault="005538E4" w:rsidP="00F066F4">
                            <w:pPr>
                              <w:pStyle w:val="ColorfulList-Accent11"/>
                              <w:ind w:left="0" w:firstLine="0"/>
                              <w:rPr>
                                <w:rFonts w:cs="Calibri"/>
                                <w:lang w:val="fr-CH"/>
                              </w:rPr>
                            </w:pPr>
                            <w:r>
                              <w:rPr>
                                <w:lang w:val="fr-CH"/>
                              </w:rPr>
                              <w:t>Le Comité permanent est invité à :</w:t>
                            </w:r>
                          </w:p>
                          <w:p w14:paraId="6C126B32" w14:textId="77777777" w:rsidR="005538E4" w:rsidRPr="007348E5" w:rsidRDefault="005538E4" w:rsidP="00F066F4">
                            <w:pPr>
                              <w:pStyle w:val="ColorfulList-Accent11"/>
                              <w:ind w:left="0"/>
                              <w:rPr>
                                <w:rFonts w:cs="Calibri"/>
                                <w:lang w:val="fr-CH"/>
                              </w:rPr>
                            </w:pPr>
                          </w:p>
                          <w:p w14:paraId="19A75820" w14:textId="77777777" w:rsidR="005538E4" w:rsidRPr="007348E5" w:rsidRDefault="005538E4" w:rsidP="00F066F4">
                            <w:pPr>
                              <w:pStyle w:val="ColorfulList-Accent11"/>
                              <w:ind w:left="709" w:hanging="283"/>
                              <w:rPr>
                                <w:lang w:val="fr-CH"/>
                              </w:rPr>
                            </w:pPr>
                            <w:r w:rsidRPr="007348E5">
                              <w:rPr>
                                <w:rFonts w:cs="Calibri"/>
                                <w:lang w:val="fr-CH"/>
                              </w:rPr>
                              <w:t>i</w:t>
                            </w:r>
                            <w:r>
                              <w:rPr>
                                <w:rFonts w:cs="Calibri"/>
                                <w:lang w:val="fr-CH"/>
                              </w:rPr>
                              <w:t>)</w:t>
                            </w:r>
                            <w:r w:rsidRPr="007348E5">
                              <w:rPr>
                                <w:rFonts w:cs="Calibri"/>
                                <w:lang w:val="fr-CH"/>
                              </w:rPr>
                              <w:tab/>
                            </w:r>
                            <w:r>
                              <w:rPr>
                                <w:rFonts w:cs="Calibri"/>
                                <w:lang w:val="fr-CH"/>
                              </w:rPr>
                              <w:t xml:space="preserve">prendre note du présent rapport sur les progrès des travaux du Groupe de travail sur les Initiatives régionales Ramsar ; et </w:t>
                            </w:r>
                          </w:p>
                          <w:p w14:paraId="43EC79F3" w14:textId="77777777" w:rsidR="005538E4" w:rsidRPr="007348E5" w:rsidRDefault="005538E4" w:rsidP="00F066F4">
                            <w:pPr>
                              <w:pStyle w:val="ColorfulList-Accent11"/>
                              <w:ind w:left="709" w:hanging="283"/>
                              <w:rPr>
                                <w:lang w:val="fr-CH"/>
                              </w:rPr>
                            </w:pPr>
                          </w:p>
                          <w:p w14:paraId="620F2D33" w14:textId="77777777" w:rsidR="005538E4" w:rsidRPr="007348E5" w:rsidRDefault="005538E4" w:rsidP="00F066F4">
                            <w:pPr>
                              <w:pStyle w:val="ColorfulList-Accent11"/>
                              <w:ind w:left="709" w:hanging="283"/>
                              <w:rPr>
                                <w:lang w:val="fr-CH"/>
                              </w:rPr>
                            </w:pPr>
                            <w:r w:rsidRPr="007348E5">
                              <w:rPr>
                                <w:rFonts w:cs="Calibri"/>
                                <w:lang w:val="fr-CH"/>
                              </w:rPr>
                              <w:t>ii</w:t>
                            </w:r>
                            <w:r>
                              <w:rPr>
                                <w:rFonts w:cs="Calibri"/>
                                <w:lang w:val="fr-CH"/>
                              </w:rPr>
                              <w:t>)</w:t>
                            </w:r>
                            <w:r w:rsidRPr="007348E5">
                              <w:rPr>
                                <w:rFonts w:cs="Calibri"/>
                                <w:lang w:val="fr-CH"/>
                              </w:rPr>
                              <w:tab/>
                            </w:r>
                            <w:r>
                              <w:rPr>
                                <w:rFonts w:cs="Calibri"/>
                                <w:lang w:val="fr-CH"/>
                              </w:rPr>
                              <w:t xml:space="preserve">examiner le projet de résolution ci-joint sur les Initiatives régionales Ramsar pour examen à la COP14 et les nouvelles « Directives opérationnelles pour les Initiatives régionales Ramsar afin de soutenir l’application de la Convention » qui figurent en Annexe 1, aux fins de remplacer les Directives adoptées dans la Décision </w:t>
                            </w:r>
                            <w:r w:rsidRPr="007348E5">
                              <w:rPr>
                                <w:rFonts w:cs="Calibri"/>
                                <w:lang w:val="fr-CH"/>
                              </w:rPr>
                              <w:t>SC52</w:t>
                            </w:r>
                            <w:r>
                              <w:rPr>
                                <w:rFonts w:cs="Calibri"/>
                                <w:lang w:val="fr-CH"/>
                              </w:rPr>
                              <w:noBreakHyphen/>
                            </w:r>
                            <w:r w:rsidRPr="007348E5">
                              <w:rPr>
                                <w:rFonts w:cs="Calibri"/>
                                <w:lang w:val="fr-CH"/>
                              </w:rPr>
                              <w:t>16</w:t>
                            </w:r>
                            <w:r>
                              <w:rPr>
                                <w:rFonts w:cs="Calibri"/>
                                <w:lang w:val="fr-CH"/>
                              </w:rPr>
                              <w:t>.</w:t>
                            </w:r>
                            <w:r w:rsidRPr="007348E5">
                              <w:rPr>
                                <w:rFonts w:cs="Calibri"/>
                                <w:lang w:val="fr-CH"/>
                              </w:rPr>
                              <w:t xml:space="preserve"> </w:t>
                            </w:r>
                          </w:p>
                          <w:p w14:paraId="7B45FA21" w14:textId="77777777" w:rsidR="005538E4" w:rsidRPr="00BA3B82" w:rsidRDefault="005538E4" w:rsidP="00F066F4">
                            <w:pPr>
                              <w:pStyle w:val="ColorfulList-Accent11"/>
                              <w:rPr>
                                <w:lang w:val="fr-FR"/>
                              </w:rPr>
                            </w:pPr>
                          </w:p>
                        </w:txbxContent>
                      </wps:txbx>
                      <wps:bodyPr rot="0" vert="horz" wrap="square" lIns="91440" tIns="45720" rIns="91440" bIns="45720" anchor="t" anchorCtr="0" upright="1">
                        <a:noAutofit/>
                      </wps:bodyPr>
                    </wps:wsp>
                  </a:graphicData>
                </a:graphic>
              </wp:inline>
            </w:drawing>
          </mc:Choice>
          <mc:Fallback>
            <w:pict>
              <v:shapetype w14:anchorId="11D63A53" id="_x0000_t202" coordsize="21600,21600" o:spt="202" path="m,l,21600r21600,l21600,xe">
                <v:stroke joinstyle="miter"/>
                <v:path gradientshapeok="t" o:connecttype="rect"/>
              </v:shapetype>
              <v:shape id="Text Box 2" o:spid="_x0000_s1026" type="#_x0000_t202" style="width:451.3pt;height:16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">
                <v:textbox>
                  <w:txbxContent>
                    <w:p w14:paraId="1E9469E1" w14:textId="77777777" w:rsidR="005538E4" w:rsidRPr="007348E5" w:rsidRDefault="005538E4" w:rsidP="00F066F4">
                      <w:pPr>
                        <w:rPr>
                          <w:b/>
                          <w:bCs/>
                          <w:lang w:val="fr-CH"/>
                        </w:rPr>
                      </w:pPr>
                      <w:r>
                        <w:rPr>
                          <w:b/>
                          <w:bCs/>
                          <w:lang w:val="fr-CH"/>
                        </w:rPr>
                        <w:t>Mesures requises </w:t>
                      </w:r>
                      <w:r w:rsidRPr="007348E5">
                        <w:rPr>
                          <w:b/>
                          <w:bCs/>
                          <w:lang w:val="fr-CH"/>
                        </w:rPr>
                        <w:t xml:space="preserve">: </w:t>
                      </w:r>
                    </w:p>
                    <w:p w14:paraId="3EAE917D" w14:textId="77777777" w:rsidR="005538E4" w:rsidRPr="007348E5" w:rsidRDefault="005538E4" w:rsidP="00F066F4">
                      <w:pPr>
                        <w:pStyle w:val="ColorfulList-Accent11"/>
                        <w:ind w:left="0"/>
                        <w:rPr>
                          <w:lang w:val="fr-CH"/>
                        </w:rPr>
                      </w:pPr>
                    </w:p>
                    <w:p w14:paraId="4A103D74" w14:textId="77777777" w:rsidR="005538E4" w:rsidRPr="007348E5" w:rsidRDefault="005538E4" w:rsidP="00F066F4">
                      <w:pPr>
                        <w:pStyle w:val="ColorfulList-Accent11"/>
                        <w:ind w:left="0" w:firstLine="0"/>
                        <w:rPr>
                          <w:rFonts w:cs="Calibri"/>
                          <w:lang w:val="fr-CH"/>
                        </w:rPr>
                      </w:pPr>
                      <w:r>
                        <w:rPr>
                          <w:lang w:val="fr-CH"/>
                        </w:rPr>
                        <w:t>Le Comité permanent est invité à :</w:t>
                      </w:r>
                    </w:p>
                    <w:p w14:paraId="6C126B32" w14:textId="77777777" w:rsidR="005538E4" w:rsidRPr="007348E5" w:rsidRDefault="005538E4" w:rsidP="00F066F4">
                      <w:pPr>
                        <w:pStyle w:val="ColorfulList-Accent11"/>
                        <w:ind w:left="0"/>
                        <w:rPr>
                          <w:rFonts w:cs="Calibri"/>
                          <w:lang w:val="fr-CH"/>
                        </w:rPr>
                      </w:pPr>
                    </w:p>
                    <w:p w14:paraId="19A75820" w14:textId="77777777" w:rsidR="005538E4" w:rsidRPr="007348E5" w:rsidRDefault="005538E4" w:rsidP="00F066F4">
                      <w:pPr>
                        <w:pStyle w:val="ColorfulList-Accent11"/>
                        <w:ind w:left="709" w:hanging="283"/>
                        <w:rPr>
                          <w:lang w:val="fr-CH"/>
                        </w:rPr>
                      </w:pPr>
                      <w:r w:rsidRPr="007348E5">
                        <w:rPr>
                          <w:rFonts w:cs="Calibri"/>
                          <w:lang w:val="fr-CH"/>
                        </w:rPr>
                        <w:t>i</w:t>
                      </w:r>
                      <w:r>
                        <w:rPr>
                          <w:rFonts w:cs="Calibri"/>
                          <w:lang w:val="fr-CH"/>
                        </w:rPr>
                        <w:t>)</w:t>
                      </w:r>
                      <w:r w:rsidRPr="007348E5">
                        <w:rPr>
                          <w:rFonts w:cs="Calibri"/>
                          <w:lang w:val="fr-CH"/>
                        </w:rPr>
                        <w:tab/>
                      </w:r>
                      <w:r>
                        <w:rPr>
                          <w:rFonts w:cs="Calibri"/>
                          <w:lang w:val="fr-CH"/>
                        </w:rPr>
                        <w:t xml:space="preserve">prendre note du présent rapport sur les progrès des travaux du Groupe de travail sur les Initiatives régionales Ramsar ; et </w:t>
                      </w:r>
                    </w:p>
                    <w:p w14:paraId="43EC79F3" w14:textId="77777777" w:rsidR="005538E4" w:rsidRPr="007348E5" w:rsidRDefault="005538E4" w:rsidP="00F066F4">
                      <w:pPr>
                        <w:pStyle w:val="ColorfulList-Accent11"/>
                        <w:ind w:left="709" w:hanging="283"/>
                        <w:rPr>
                          <w:lang w:val="fr-CH"/>
                        </w:rPr>
                      </w:pPr>
                    </w:p>
                    <w:p w14:paraId="620F2D33" w14:textId="77777777" w:rsidR="005538E4" w:rsidRPr="007348E5" w:rsidRDefault="005538E4" w:rsidP="00F066F4">
                      <w:pPr>
                        <w:pStyle w:val="ColorfulList-Accent11"/>
                        <w:ind w:left="709" w:hanging="283"/>
                        <w:rPr>
                          <w:lang w:val="fr-CH"/>
                        </w:rPr>
                      </w:pPr>
                      <w:r w:rsidRPr="007348E5">
                        <w:rPr>
                          <w:rFonts w:cs="Calibri"/>
                          <w:lang w:val="fr-CH"/>
                        </w:rPr>
                        <w:t>ii</w:t>
                      </w:r>
                      <w:r>
                        <w:rPr>
                          <w:rFonts w:cs="Calibri"/>
                          <w:lang w:val="fr-CH"/>
                        </w:rPr>
                        <w:t>)</w:t>
                      </w:r>
                      <w:r w:rsidRPr="007348E5">
                        <w:rPr>
                          <w:rFonts w:cs="Calibri"/>
                          <w:lang w:val="fr-CH"/>
                        </w:rPr>
                        <w:tab/>
                      </w:r>
                      <w:r>
                        <w:rPr>
                          <w:rFonts w:cs="Calibri"/>
                          <w:lang w:val="fr-CH"/>
                        </w:rPr>
                        <w:t xml:space="preserve">examiner le projet de résolution ci-joint sur les Initiatives régionales Ramsar pour examen à la COP14 et les nouvelles « Directives opérationnelles pour les Initiatives régionales Ramsar afin de soutenir l’application de la Convention » qui figurent en Annexe 1, aux fins de remplacer les Directives adoptées dans la Décision </w:t>
                      </w:r>
                      <w:r w:rsidRPr="007348E5">
                        <w:rPr>
                          <w:rFonts w:cs="Calibri"/>
                          <w:lang w:val="fr-CH"/>
                        </w:rPr>
                        <w:t>SC52</w:t>
                      </w:r>
                      <w:r>
                        <w:rPr>
                          <w:rFonts w:cs="Calibri"/>
                          <w:lang w:val="fr-CH"/>
                        </w:rPr>
                        <w:noBreakHyphen/>
                      </w:r>
                      <w:r w:rsidRPr="007348E5">
                        <w:rPr>
                          <w:rFonts w:cs="Calibri"/>
                          <w:lang w:val="fr-CH"/>
                        </w:rPr>
                        <w:t>16</w:t>
                      </w:r>
                      <w:r>
                        <w:rPr>
                          <w:rFonts w:cs="Calibri"/>
                          <w:lang w:val="fr-CH"/>
                        </w:rPr>
                        <w:t>.</w:t>
                      </w:r>
                      <w:r w:rsidRPr="007348E5">
                        <w:rPr>
                          <w:rFonts w:cs="Calibri"/>
                          <w:lang w:val="fr-CH"/>
                        </w:rPr>
                        <w:t xml:space="preserve"> </w:t>
                      </w:r>
                    </w:p>
                    <w:p w14:paraId="7B45FA21" w14:textId="77777777" w:rsidR="005538E4" w:rsidRPr="00BA3B82" w:rsidRDefault="005538E4" w:rsidP="00F066F4">
                      <w:pPr>
                        <w:pStyle w:val="ColorfulList-Accent11"/>
                        <w:rPr>
                          <w:lang w:val="fr-FR"/>
                        </w:rPr>
                      </w:pPr>
                    </w:p>
                  </w:txbxContent>
                </v:textbox>
                <w10:anchorlock/>
              </v:shape>
            </w:pict>
          </mc:Fallback>
        </mc:AlternateContent>
      </w:r>
    </w:p>
    <w:p w14:paraId="6EC40A19" w14:textId="77777777" w:rsidR="00F066F4" w:rsidRPr="007348E5" w:rsidRDefault="00F066F4" w:rsidP="00F066F4">
      <w:pPr>
        <w:rPr>
          <w:rFonts w:asciiTheme="minorHAnsi" w:hAnsiTheme="minorHAnsi" w:cs="Calibri"/>
          <w:b/>
          <w:lang w:val="fr-CH"/>
        </w:rPr>
      </w:pPr>
    </w:p>
    <w:p w14:paraId="71C4518C" w14:textId="77777777" w:rsidR="00F066F4" w:rsidRPr="007348E5" w:rsidRDefault="00F066F4" w:rsidP="00F066F4">
      <w:pPr>
        <w:rPr>
          <w:rFonts w:asciiTheme="minorHAnsi" w:hAnsiTheme="minorHAnsi" w:cs="Calibri"/>
          <w:b/>
          <w:lang w:val="fr-CH"/>
        </w:rPr>
      </w:pPr>
    </w:p>
    <w:p w14:paraId="13795A6E" w14:textId="77777777" w:rsidR="00F066F4" w:rsidRPr="007348E5" w:rsidRDefault="00F066F4" w:rsidP="00F066F4">
      <w:pPr>
        <w:rPr>
          <w:rFonts w:asciiTheme="minorHAnsi" w:hAnsiTheme="minorHAnsi" w:cs="Calibri"/>
          <w:b/>
          <w:lang w:val="fr-CH"/>
        </w:rPr>
      </w:pPr>
      <w:r>
        <w:rPr>
          <w:rFonts w:asciiTheme="minorHAnsi" w:hAnsiTheme="minorHAnsi" w:cs="Calibri"/>
          <w:b/>
          <w:lang w:val="fr-CH"/>
        </w:rPr>
        <w:t>Contexte</w:t>
      </w:r>
    </w:p>
    <w:p w14:paraId="318ED719" w14:textId="77777777" w:rsidR="00F066F4" w:rsidRPr="007348E5" w:rsidRDefault="00F066F4" w:rsidP="00F066F4">
      <w:pPr>
        <w:rPr>
          <w:rFonts w:asciiTheme="minorHAnsi" w:hAnsiTheme="minorHAnsi" w:cs="Calibri"/>
          <w:b/>
          <w:lang w:val="fr-CH"/>
        </w:rPr>
      </w:pPr>
    </w:p>
    <w:p w14:paraId="4FDEA935" w14:textId="77777777" w:rsidR="00F066F4" w:rsidRPr="00B37000" w:rsidRDefault="00F066F4" w:rsidP="00F066F4">
      <w:pPr>
        <w:pStyle w:val="ListParagraph"/>
        <w:numPr>
          <w:ilvl w:val="0"/>
          <w:numId w:val="1"/>
        </w:numPr>
        <w:ind w:left="426" w:hanging="426"/>
        <w:rPr>
          <w:rFonts w:asciiTheme="minorHAnsi" w:hAnsiTheme="minorHAnsi" w:cs="Calibri"/>
          <w:lang w:val="fr-CH"/>
        </w:rPr>
      </w:pPr>
      <w:r w:rsidRPr="00B37000">
        <w:rPr>
          <w:rFonts w:asciiTheme="minorHAnsi" w:hAnsiTheme="minorHAnsi" w:cs="Calibri"/>
          <w:lang w:val="fr-CH"/>
        </w:rPr>
        <w:t>La Résolution XIII.9 a rétabli le Groupe de travail sur les Initiatives régionales Ramsar (à composition non limitée) au titre de l’Article 25 du Règlement intérieur et l’a chargé de rédiger de nouvelles Directives opérationnelles pour les Initiatives régionales Ramsar (IRR), demandant, en outre, au Comité permanent, à sa 56</w:t>
      </w:r>
      <w:r w:rsidRPr="00B37000">
        <w:rPr>
          <w:rFonts w:asciiTheme="minorHAnsi" w:hAnsiTheme="minorHAnsi" w:cs="Calibri"/>
          <w:vertAlign w:val="superscript"/>
          <w:lang w:val="fr-CH"/>
        </w:rPr>
        <w:t>e</w:t>
      </w:r>
      <w:r w:rsidRPr="00B37000">
        <w:rPr>
          <w:rFonts w:asciiTheme="minorHAnsi" w:hAnsiTheme="minorHAnsi" w:cs="Calibri"/>
          <w:lang w:val="fr-CH"/>
        </w:rPr>
        <w:t xml:space="preserve"> Réunion, de faciliter le fonctionnement du Groupe de travail et d’attribuer des fonds excédentaires du budget administratif à cet effet. Lors de cette réunion, le Comité permanent a décidé de différer </w:t>
      </w:r>
      <w:r>
        <w:rPr>
          <w:rFonts w:asciiTheme="minorHAnsi" w:hAnsiTheme="minorHAnsi" w:cs="Calibri"/>
          <w:lang w:val="fr-CH"/>
        </w:rPr>
        <w:t>l’établissement</w:t>
      </w:r>
      <w:r w:rsidRPr="00B37000">
        <w:rPr>
          <w:rFonts w:asciiTheme="minorHAnsi" w:hAnsiTheme="minorHAnsi" w:cs="Calibri"/>
          <w:lang w:val="fr-CH"/>
        </w:rPr>
        <w:t xml:space="preserve"> du Groupe de travail sur les Initiatives régionales Ramsar, </w:t>
      </w:r>
      <w:r>
        <w:rPr>
          <w:rFonts w:asciiTheme="minorHAnsi" w:hAnsiTheme="minorHAnsi" w:cs="Calibri"/>
          <w:lang w:val="fr-CH"/>
        </w:rPr>
        <w:t>ainsi que</w:t>
      </w:r>
      <w:r w:rsidRPr="00B37000">
        <w:rPr>
          <w:rFonts w:asciiTheme="minorHAnsi" w:hAnsiTheme="minorHAnsi" w:cs="Calibri"/>
          <w:lang w:val="fr-CH"/>
        </w:rPr>
        <w:t xml:space="preserve"> l’attribution de fonds</w:t>
      </w:r>
      <w:r>
        <w:rPr>
          <w:rFonts w:asciiTheme="minorHAnsi" w:hAnsiTheme="minorHAnsi" w:cs="Calibri"/>
          <w:lang w:val="fr-CH"/>
        </w:rPr>
        <w:t xml:space="preserve"> </w:t>
      </w:r>
      <w:r w:rsidRPr="00B37000">
        <w:rPr>
          <w:rFonts w:asciiTheme="minorHAnsi" w:hAnsiTheme="minorHAnsi" w:cs="Calibri"/>
          <w:lang w:val="fr-CH"/>
        </w:rPr>
        <w:t xml:space="preserve">jusqu’à </w:t>
      </w:r>
      <w:r>
        <w:rPr>
          <w:rFonts w:asciiTheme="minorHAnsi" w:hAnsiTheme="minorHAnsi" w:cs="Calibri"/>
          <w:lang w:val="fr-CH"/>
        </w:rPr>
        <w:t>sa</w:t>
      </w:r>
      <w:r w:rsidRPr="00B37000">
        <w:rPr>
          <w:rFonts w:asciiTheme="minorHAnsi" w:hAnsiTheme="minorHAnsi" w:cs="Calibri"/>
          <w:lang w:val="fr-CH"/>
        </w:rPr>
        <w:t xml:space="preserve"> 57</w:t>
      </w:r>
      <w:r w:rsidRPr="00B37000">
        <w:rPr>
          <w:rFonts w:asciiTheme="minorHAnsi" w:hAnsiTheme="minorHAnsi" w:cs="Calibri"/>
          <w:vertAlign w:val="superscript"/>
          <w:lang w:val="fr-CH"/>
        </w:rPr>
        <w:t>e</w:t>
      </w:r>
      <w:r w:rsidRPr="00B37000">
        <w:rPr>
          <w:rFonts w:asciiTheme="minorHAnsi" w:hAnsiTheme="minorHAnsi" w:cs="Calibri"/>
          <w:lang w:val="fr-CH"/>
        </w:rPr>
        <w:t> Réunion (Décision SC56</w:t>
      </w:r>
      <w:r w:rsidRPr="00B37000">
        <w:rPr>
          <w:rFonts w:asciiTheme="minorHAnsi" w:hAnsiTheme="minorHAnsi" w:cs="Calibri"/>
          <w:lang w:val="fr-CH"/>
        </w:rPr>
        <w:noBreakHyphen/>
        <w:t xml:space="preserve">07). </w:t>
      </w:r>
    </w:p>
    <w:p w14:paraId="2C0E28E7" w14:textId="77777777" w:rsidR="00F066F4" w:rsidRPr="007348E5" w:rsidRDefault="00F066F4" w:rsidP="00F066F4">
      <w:pPr>
        <w:pStyle w:val="ListParagraph"/>
        <w:ind w:left="426" w:hanging="426"/>
        <w:rPr>
          <w:rFonts w:cs="Calibri"/>
          <w:lang w:val="fr-CH"/>
        </w:rPr>
      </w:pPr>
    </w:p>
    <w:p w14:paraId="3643E6CF" w14:textId="77777777" w:rsidR="00F066F4" w:rsidRPr="007348E5" w:rsidRDefault="00F066F4" w:rsidP="00F066F4">
      <w:pPr>
        <w:pStyle w:val="ListParagraph"/>
        <w:numPr>
          <w:ilvl w:val="0"/>
          <w:numId w:val="1"/>
        </w:numPr>
        <w:ind w:left="426" w:hanging="426"/>
        <w:rPr>
          <w:rFonts w:cs="Calibri"/>
          <w:lang w:val="fr-CH"/>
        </w:rPr>
      </w:pPr>
      <w:r>
        <w:rPr>
          <w:rFonts w:cs="Calibri"/>
          <w:lang w:val="fr-CH"/>
        </w:rPr>
        <w:t>Dans la Décision SC57-28, le Comité permanent a reconnu le Groupe de travail sur les Initiatives régionales Ramsar comprenant les coordonnateurs de chaque IRR et les représentants régionaux siégeant au Comité permanent. Il a demandé au Groupe d’élaborer son mandat ainsi que des possibilités de programme de travail pour la mise en œuvre de la Résolution XIII.9, et de les présenter à la 58</w:t>
      </w:r>
      <w:r w:rsidRPr="00CC4DF9">
        <w:rPr>
          <w:rFonts w:cs="Calibri"/>
          <w:vertAlign w:val="superscript"/>
          <w:lang w:val="fr-CH"/>
        </w:rPr>
        <w:t>e</w:t>
      </w:r>
      <w:r>
        <w:rPr>
          <w:rFonts w:cs="Calibri"/>
          <w:lang w:val="fr-CH"/>
        </w:rPr>
        <w:t xml:space="preserve"> Réunion du Comité permanent.  </w:t>
      </w:r>
    </w:p>
    <w:p w14:paraId="65FA5236" w14:textId="77777777" w:rsidR="00F066F4" w:rsidRPr="007348E5" w:rsidRDefault="00F066F4" w:rsidP="00F066F4">
      <w:pPr>
        <w:ind w:left="0" w:firstLine="0"/>
        <w:rPr>
          <w:rFonts w:eastAsia="Yu Mincho" w:cs="Calibri"/>
          <w:b/>
          <w:lang w:val="fr-CH"/>
        </w:rPr>
      </w:pPr>
    </w:p>
    <w:p w14:paraId="4F30D89A" w14:textId="77777777" w:rsidR="00F066F4" w:rsidRPr="007348E5" w:rsidRDefault="00F066F4" w:rsidP="00F066F4">
      <w:pPr>
        <w:ind w:left="0" w:firstLine="0"/>
        <w:rPr>
          <w:rFonts w:eastAsia="Yu Mincho" w:cs="Calibri"/>
          <w:b/>
          <w:lang w:val="fr-CH"/>
        </w:rPr>
      </w:pPr>
      <w:r w:rsidRPr="007348E5">
        <w:rPr>
          <w:rFonts w:eastAsia="Yu Mincho" w:cs="Calibri"/>
          <w:b/>
          <w:lang w:val="fr-CH"/>
        </w:rPr>
        <w:t>R</w:t>
      </w:r>
      <w:r>
        <w:rPr>
          <w:rFonts w:eastAsia="Yu Mincho" w:cs="Calibri"/>
          <w:b/>
          <w:lang w:val="fr-CH"/>
        </w:rPr>
        <w:t>apport sur les progrès et tâches futures</w:t>
      </w:r>
    </w:p>
    <w:p w14:paraId="1FF276DF" w14:textId="77777777" w:rsidR="00F066F4" w:rsidRPr="007348E5" w:rsidRDefault="00F066F4" w:rsidP="00F066F4">
      <w:pPr>
        <w:ind w:left="0" w:firstLine="0"/>
        <w:rPr>
          <w:rFonts w:eastAsia="Yu Mincho" w:cs="Calibri"/>
          <w:b/>
          <w:lang w:val="fr-CH"/>
        </w:rPr>
      </w:pPr>
    </w:p>
    <w:p w14:paraId="33C70435" w14:textId="77777777" w:rsidR="00F066F4" w:rsidRPr="007348E5" w:rsidRDefault="00F066F4" w:rsidP="00F066F4">
      <w:pPr>
        <w:pStyle w:val="ListParagraph"/>
        <w:numPr>
          <w:ilvl w:val="0"/>
          <w:numId w:val="1"/>
        </w:numPr>
        <w:ind w:left="426" w:hanging="426"/>
        <w:rPr>
          <w:rFonts w:asciiTheme="minorHAnsi" w:hAnsiTheme="minorHAnsi" w:cs="Calibri"/>
          <w:lang w:val="fr-CH"/>
        </w:rPr>
      </w:pPr>
      <w:r>
        <w:rPr>
          <w:rFonts w:asciiTheme="minorHAnsi" w:hAnsiTheme="minorHAnsi" w:cs="Calibri"/>
          <w:lang w:val="fr-CH"/>
        </w:rPr>
        <w:t>Au cours de la 57</w:t>
      </w:r>
      <w:r w:rsidRPr="003F3F5F">
        <w:rPr>
          <w:rFonts w:asciiTheme="minorHAnsi" w:hAnsiTheme="minorHAnsi" w:cs="Calibri"/>
          <w:vertAlign w:val="superscript"/>
          <w:lang w:val="fr-CH"/>
        </w:rPr>
        <w:t>e</w:t>
      </w:r>
      <w:r>
        <w:rPr>
          <w:rFonts w:asciiTheme="minorHAnsi" w:hAnsiTheme="minorHAnsi" w:cs="Calibri"/>
          <w:lang w:val="fr-CH"/>
        </w:rPr>
        <w:t xml:space="preserve"> Réunion du Comité permanent, les membres actuels du Groupe de travail sur les Initiatives régionales Ramsar se sont réunis et ont discuté de la préparation de Directives opérationnelles entre autres questions, notamment l’identification de caractéristiques spécifiques de chaque IRR, l’attribution de fonds, la mobilisation de ressources, l’administration et la mise en œuvre de projets individuels menés par chaque IRR, et l’expérience positive des IRR. </w:t>
      </w:r>
    </w:p>
    <w:p w14:paraId="74F92BC2" w14:textId="77777777" w:rsidR="00F066F4" w:rsidRPr="007348E5" w:rsidRDefault="00F066F4" w:rsidP="00F066F4">
      <w:pPr>
        <w:ind w:left="0" w:firstLine="0"/>
        <w:rPr>
          <w:rFonts w:asciiTheme="minorHAnsi" w:hAnsiTheme="minorHAnsi" w:cs="Calibri"/>
          <w:lang w:val="fr-CH"/>
        </w:rPr>
      </w:pPr>
    </w:p>
    <w:p w14:paraId="1610AEC2" w14:textId="77777777" w:rsidR="00F066F4" w:rsidRPr="007348E5" w:rsidRDefault="00F066F4" w:rsidP="00F066F4">
      <w:pPr>
        <w:pStyle w:val="ListParagraph"/>
        <w:numPr>
          <w:ilvl w:val="0"/>
          <w:numId w:val="1"/>
        </w:numPr>
        <w:ind w:left="426" w:hanging="426"/>
        <w:rPr>
          <w:rFonts w:asciiTheme="minorHAnsi" w:hAnsiTheme="minorHAnsi" w:cs="Calibri"/>
          <w:lang w:val="fr-CH"/>
        </w:rPr>
      </w:pPr>
      <w:r>
        <w:rPr>
          <w:rFonts w:asciiTheme="minorHAnsi" w:hAnsiTheme="minorHAnsi" w:cs="Calibri"/>
          <w:lang w:val="fr-CH"/>
        </w:rPr>
        <w:lastRenderedPageBreak/>
        <w:t>Le Groupe de travail a fourni une nouvelle mise à jour sur ses progrès à la 57</w:t>
      </w:r>
      <w:r w:rsidRPr="00783F74">
        <w:rPr>
          <w:rFonts w:asciiTheme="minorHAnsi" w:hAnsiTheme="minorHAnsi" w:cs="Calibri"/>
          <w:vertAlign w:val="superscript"/>
          <w:lang w:val="fr-CH"/>
        </w:rPr>
        <w:t>e</w:t>
      </w:r>
      <w:r>
        <w:rPr>
          <w:rFonts w:asciiTheme="minorHAnsi" w:hAnsiTheme="minorHAnsi" w:cs="Calibri"/>
          <w:lang w:val="fr-CH"/>
        </w:rPr>
        <w:t xml:space="preserve"> Réunion du Comité permanent, dans le document </w:t>
      </w:r>
      <w:r w:rsidRPr="007348E5">
        <w:rPr>
          <w:rFonts w:asciiTheme="minorHAnsi" w:hAnsiTheme="minorHAnsi" w:cs="Calibri"/>
          <w:lang w:val="fr-CH"/>
        </w:rPr>
        <w:t xml:space="preserve">SC57 Doc.25, </w:t>
      </w:r>
      <w:r>
        <w:rPr>
          <w:rFonts w:asciiTheme="minorHAnsi" w:hAnsiTheme="minorHAnsi" w:cs="Calibri"/>
          <w:lang w:val="fr-CH"/>
        </w:rPr>
        <w:t>décrivant notamment :</w:t>
      </w:r>
    </w:p>
    <w:p w14:paraId="190D16EE" w14:textId="77777777" w:rsidR="00F066F4" w:rsidRPr="007348E5" w:rsidRDefault="00F066F4" w:rsidP="00F066F4">
      <w:pPr>
        <w:rPr>
          <w:rFonts w:eastAsia="Yu Mincho" w:cs="Calibri"/>
          <w:lang w:val="fr-CH"/>
        </w:rPr>
      </w:pPr>
    </w:p>
    <w:p w14:paraId="263562C2" w14:textId="77777777" w:rsidR="00F066F4" w:rsidRPr="007348E5" w:rsidRDefault="00F066F4" w:rsidP="00F066F4">
      <w:pPr>
        <w:pStyle w:val="ListParagraph"/>
        <w:numPr>
          <w:ilvl w:val="0"/>
          <w:numId w:val="2"/>
        </w:numPr>
        <w:ind w:left="851" w:hanging="425"/>
        <w:rPr>
          <w:rFonts w:cs="Calibri"/>
          <w:lang w:val="fr-CH"/>
        </w:rPr>
      </w:pPr>
      <w:r>
        <w:rPr>
          <w:rFonts w:cs="Calibri"/>
          <w:lang w:val="fr-CH"/>
        </w:rPr>
        <w:t>la réunion du Groupe sur la mise en œuvre de la Résolution </w:t>
      </w:r>
      <w:r w:rsidRPr="007348E5">
        <w:rPr>
          <w:rFonts w:cs="Calibri"/>
          <w:lang w:val="fr-CH"/>
        </w:rPr>
        <w:t>XIII.9</w:t>
      </w:r>
      <w:r>
        <w:rPr>
          <w:rFonts w:cs="Calibri"/>
          <w:lang w:val="fr-CH"/>
        </w:rPr>
        <w:t>,</w:t>
      </w:r>
      <w:r w:rsidRPr="007348E5">
        <w:rPr>
          <w:rFonts w:cs="Calibri"/>
          <w:lang w:val="fr-CH"/>
        </w:rPr>
        <w:t xml:space="preserve"> </w:t>
      </w:r>
      <w:r>
        <w:rPr>
          <w:rFonts w:cs="Calibri"/>
          <w:i/>
          <w:lang w:val="fr-CH"/>
        </w:rPr>
        <w:t>Initiatives régionales R</w:t>
      </w:r>
      <w:r w:rsidRPr="007348E5">
        <w:rPr>
          <w:rFonts w:cs="Calibri"/>
          <w:i/>
          <w:lang w:val="fr-CH"/>
        </w:rPr>
        <w:t>amsar</w:t>
      </w:r>
      <w:r w:rsidRPr="007348E5">
        <w:rPr>
          <w:rFonts w:cs="Calibri"/>
          <w:lang w:val="fr-CH"/>
        </w:rPr>
        <w:t xml:space="preserve">, </w:t>
      </w:r>
      <w:r>
        <w:rPr>
          <w:rFonts w:cs="Calibri"/>
          <w:lang w:val="fr-CH"/>
        </w:rPr>
        <w:t>avec neuf autres Parties contractantes ;</w:t>
      </w:r>
    </w:p>
    <w:p w14:paraId="691A6C17" w14:textId="77777777" w:rsidR="00F066F4" w:rsidRPr="007348E5" w:rsidRDefault="00F066F4" w:rsidP="00F066F4">
      <w:pPr>
        <w:ind w:left="851"/>
        <w:rPr>
          <w:rFonts w:cs="Calibri"/>
          <w:lang w:val="fr-CH"/>
        </w:rPr>
      </w:pPr>
    </w:p>
    <w:p w14:paraId="35B1905D" w14:textId="77777777" w:rsidR="00F066F4" w:rsidRPr="007348E5" w:rsidRDefault="00F066F4" w:rsidP="00F066F4">
      <w:pPr>
        <w:pStyle w:val="ListParagraph"/>
        <w:numPr>
          <w:ilvl w:val="0"/>
          <w:numId w:val="2"/>
        </w:numPr>
        <w:ind w:left="851" w:hanging="425"/>
        <w:rPr>
          <w:rFonts w:cs="Calibri"/>
          <w:lang w:val="fr-CH"/>
        </w:rPr>
      </w:pPr>
      <w:r>
        <w:rPr>
          <w:rFonts w:cs="Calibri"/>
          <w:lang w:val="fr-CH"/>
        </w:rPr>
        <w:t>la</w:t>
      </w:r>
      <w:r w:rsidRPr="007348E5">
        <w:rPr>
          <w:rFonts w:cs="Calibri"/>
          <w:lang w:val="fr-CH"/>
        </w:rPr>
        <w:t xml:space="preserve"> composition </w:t>
      </w:r>
      <w:r>
        <w:rPr>
          <w:rFonts w:cs="Calibri"/>
          <w:lang w:val="fr-CH"/>
        </w:rPr>
        <w:t>du Groupe de travail sur les Initiatives régionales Ramsar, à savoir les coordonnateurs de chacune des IRR et les représentants régionaux au Comité permanent ;</w:t>
      </w:r>
    </w:p>
    <w:p w14:paraId="77FC09BC" w14:textId="77777777" w:rsidR="00F066F4" w:rsidRPr="007348E5" w:rsidRDefault="00F066F4" w:rsidP="00F066F4">
      <w:pPr>
        <w:pStyle w:val="ListParagraph"/>
        <w:ind w:left="851"/>
        <w:rPr>
          <w:rFonts w:cs="Calibri"/>
          <w:lang w:val="fr-CH"/>
        </w:rPr>
      </w:pPr>
    </w:p>
    <w:p w14:paraId="1B0E7C37" w14:textId="77777777" w:rsidR="00F066F4" w:rsidRPr="00851AE5" w:rsidRDefault="00F066F4" w:rsidP="00F066F4">
      <w:pPr>
        <w:pStyle w:val="ListParagraph"/>
        <w:numPr>
          <w:ilvl w:val="0"/>
          <w:numId w:val="2"/>
        </w:numPr>
        <w:ind w:left="851" w:hanging="425"/>
        <w:rPr>
          <w:rFonts w:cs="Calibri"/>
          <w:lang w:val="fr-CH"/>
        </w:rPr>
      </w:pPr>
      <w:r w:rsidRPr="00851AE5">
        <w:rPr>
          <w:rFonts w:cs="Calibri"/>
          <w:lang w:val="fr-CH"/>
        </w:rPr>
        <w:t>l’objectif de parvenir à des Directives opérationnelles proactives et non restrictives pour les Initiatives régionales avec, pour but suprême, de protéger les zones humides à l’échelon régional, en examinant, encourageant et facilitant un partenariat stratégique entre les Initiatives, le Secrétariat de la Convention, les Organisations internationales partenaires et d’autres acteurs, à la fois pour rechercher des ressources financières et contribuer à leur administration.</w:t>
      </w:r>
    </w:p>
    <w:p w14:paraId="15C01AD5" w14:textId="77777777" w:rsidR="00F066F4" w:rsidRPr="007348E5" w:rsidRDefault="00F066F4" w:rsidP="00F066F4">
      <w:pPr>
        <w:pStyle w:val="ListParagraph"/>
        <w:rPr>
          <w:rFonts w:cs="Calibri"/>
          <w:lang w:val="fr-CH"/>
        </w:rPr>
      </w:pPr>
    </w:p>
    <w:p w14:paraId="05D2107C" w14:textId="77777777" w:rsidR="00F066F4" w:rsidRPr="007348E5" w:rsidRDefault="00F066F4" w:rsidP="00F066F4">
      <w:pPr>
        <w:rPr>
          <w:rFonts w:eastAsia="Yu Mincho" w:cs="Calibri"/>
          <w:b/>
          <w:lang w:val="fr-CH"/>
        </w:rPr>
      </w:pPr>
      <w:r>
        <w:rPr>
          <w:rFonts w:eastAsia="Yu Mincho" w:cs="Calibri"/>
          <w:b/>
          <w:lang w:val="fr-CH"/>
        </w:rPr>
        <w:t>Élaboration du mandat du Groupe de travail</w:t>
      </w:r>
    </w:p>
    <w:p w14:paraId="66CF13E0" w14:textId="77777777" w:rsidR="00F066F4" w:rsidRPr="007348E5" w:rsidRDefault="00F066F4" w:rsidP="00F066F4">
      <w:pPr>
        <w:rPr>
          <w:rFonts w:eastAsia="Yu Mincho" w:cs="Calibri"/>
          <w:lang w:val="fr-CH"/>
        </w:rPr>
      </w:pPr>
    </w:p>
    <w:p w14:paraId="313A665F" w14:textId="77777777" w:rsidR="00F066F4" w:rsidRPr="007348E5" w:rsidRDefault="00F066F4" w:rsidP="00F066F4">
      <w:pPr>
        <w:pStyle w:val="ListParagraph"/>
        <w:numPr>
          <w:ilvl w:val="0"/>
          <w:numId w:val="1"/>
        </w:numPr>
        <w:ind w:left="426" w:hanging="426"/>
        <w:rPr>
          <w:rFonts w:eastAsia="Yu Mincho" w:cs="Calibri"/>
          <w:lang w:val="fr-CH"/>
        </w:rPr>
      </w:pPr>
      <w:r>
        <w:rPr>
          <w:rFonts w:eastAsia="Yu Mincho" w:cs="Calibri"/>
          <w:lang w:val="fr-CH"/>
        </w:rPr>
        <w:t>Le 29 juillet 2020, le Groupe s’est réuni virtuellement pour finaliser son mandat, comme demandé dans la Décision SC57</w:t>
      </w:r>
      <w:r>
        <w:rPr>
          <w:rFonts w:eastAsia="Yu Mincho" w:cs="Calibri"/>
          <w:lang w:val="fr-CH"/>
        </w:rPr>
        <w:noBreakHyphen/>
      </w:r>
      <w:r w:rsidRPr="007348E5">
        <w:rPr>
          <w:rFonts w:eastAsia="Yu Mincho" w:cs="Calibri"/>
          <w:lang w:val="fr-CH"/>
        </w:rPr>
        <w:t>28. Dur</w:t>
      </w:r>
      <w:r>
        <w:rPr>
          <w:rFonts w:eastAsia="Yu Mincho" w:cs="Calibri"/>
          <w:lang w:val="fr-CH"/>
        </w:rPr>
        <w:t>ant la réunion, les membres du Groupe ont apporté de nombreuses suggestions éditoriales pour améliorer le contenu du document. Le Groupe a discuté de la préparation des documents pour le Comité permanent tenant compte de l’avis de la Conseillère juridique (analyse juridique des Résolutions existantes). Le mandat a ensuite été approuvé et traduit dans les trois langues officielles de la Convention.</w:t>
      </w:r>
    </w:p>
    <w:p w14:paraId="287616DE" w14:textId="77777777" w:rsidR="00F066F4" w:rsidRPr="007348E5" w:rsidRDefault="00F066F4" w:rsidP="00F066F4">
      <w:pPr>
        <w:ind w:left="426" w:hanging="426"/>
        <w:rPr>
          <w:rFonts w:eastAsia="Yu Mincho" w:cs="Calibri"/>
          <w:lang w:val="fr-CH"/>
        </w:rPr>
      </w:pPr>
    </w:p>
    <w:p w14:paraId="5557F9A5" w14:textId="77777777" w:rsidR="00F066F4" w:rsidRPr="007348E5" w:rsidRDefault="00F066F4" w:rsidP="00F066F4">
      <w:pPr>
        <w:pStyle w:val="ListParagraph"/>
        <w:numPr>
          <w:ilvl w:val="0"/>
          <w:numId w:val="1"/>
        </w:numPr>
        <w:ind w:left="426" w:hanging="426"/>
        <w:rPr>
          <w:rFonts w:eastAsia="Yu Mincho" w:cs="Calibri"/>
          <w:lang w:val="fr-CH"/>
        </w:rPr>
      </w:pPr>
      <w:r>
        <w:rPr>
          <w:rFonts w:eastAsia="Yu Mincho" w:cs="Calibri"/>
          <w:lang w:val="fr-CH"/>
        </w:rPr>
        <w:t xml:space="preserve">Le Groupe a travaillé par courriel et, le 3 septembre 2020, a finalisé son plan de travail qui est joint en annexe 2 au présent document. </w:t>
      </w:r>
    </w:p>
    <w:p w14:paraId="2B111538" w14:textId="77777777" w:rsidR="00F066F4" w:rsidRPr="007348E5" w:rsidRDefault="00F066F4" w:rsidP="00F066F4">
      <w:pPr>
        <w:ind w:left="0" w:firstLine="0"/>
        <w:rPr>
          <w:rFonts w:cs="Calibri"/>
          <w:b/>
          <w:lang w:val="fr-CH"/>
        </w:rPr>
      </w:pPr>
    </w:p>
    <w:p w14:paraId="4967DCDC" w14:textId="77777777" w:rsidR="00F066F4" w:rsidRPr="007348E5" w:rsidRDefault="00F066F4" w:rsidP="00F066F4">
      <w:pPr>
        <w:ind w:left="0" w:firstLine="0"/>
        <w:rPr>
          <w:rFonts w:cs="Calibri"/>
          <w:b/>
          <w:lang w:val="fr-CH"/>
        </w:rPr>
      </w:pPr>
      <w:r>
        <w:rPr>
          <w:rFonts w:cs="Calibri"/>
          <w:b/>
          <w:lang w:val="fr-CH"/>
        </w:rPr>
        <w:t xml:space="preserve">Préparation d’un projet de nouvelles Directives opérationnelles pour les </w:t>
      </w:r>
      <w:bookmarkStart w:id="0" w:name="_Hlk75075909"/>
      <w:r>
        <w:rPr>
          <w:rFonts w:cs="Calibri"/>
          <w:b/>
          <w:lang w:val="fr-CH"/>
        </w:rPr>
        <w:t xml:space="preserve">Initiatives régionales </w:t>
      </w:r>
      <w:bookmarkEnd w:id="0"/>
      <w:r>
        <w:rPr>
          <w:rFonts w:cs="Calibri"/>
          <w:b/>
          <w:lang w:val="fr-CH"/>
        </w:rPr>
        <w:t xml:space="preserve">Ramsar et d’un projet de résolution pour examen par le Comité permanent </w:t>
      </w:r>
    </w:p>
    <w:p w14:paraId="3090C3C2" w14:textId="77777777" w:rsidR="00F066F4" w:rsidRPr="007348E5" w:rsidRDefault="00F066F4" w:rsidP="00F066F4">
      <w:pPr>
        <w:ind w:left="0" w:firstLine="0"/>
        <w:rPr>
          <w:rFonts w:cs="Calibri"/>
          <w:lang w:val="fr-CH"/>
        </w:rPr>
      </w:pPr>
    </w:p>
    <w:p w14:paraId="3CB2A92B" w14:textId="77777777" w:rsidR="00F066F4" w:rsidRPr="007348E5" w:rsidRDefault="00F066F4" w:rsidP="00F066F4">
      <w:pPr>
        <w:pStyle w:val="ListParagraph"/>
        <w:numPr>
          <w:ilvl w:val="0"/>
          <w:numId w:val="1"/>
        </w:numPr>
        <w:ind w:left="426" w:hanging="426"/>
        <w:rPr>
          <w:rFonts w:cs="Calibri"/>
          <w:lang w:val="fr-CH"/>
        </w:rPr>
      </w:pPr>
      <w:r>
        <w:rPr>
          <w:rFonts w:cs="Calibri"/>
          <w:lang w:val="fr-CH"/>
        </w:rPr>
        <w:t>Entre septembre et octobre 2020, les membres du Groupe de travail ont œuvré de manière interactive avec le Secrétariat par l’intermédiaire de courriels pour préparer le mandat du consultant/de la consultante du Groupe de travail sur le projet de Directives opérationnelles demandé dans la Résolution </w:t>
      </w:r>
      <w:r w:rsidRPr="007348E5">
        <w:rPr>
          <w:rFonts w:cs="Calibri"/>
          <w:lang w:val="fr-CH"/>
        </w:rPr>
        <w:t>XIII.9.</w:t>
      </w:r>
    </w:p>
    <w:p w14:paraId="2D10993C" w14:textId="77777777" w:rsidR="00F066F4" w:rsidRPr="007348E5" w:rsidRDefault="00F066F4" w:rsidP="00F066F4">
      <w:pPr>
        <w:pStyle w:val="ListParagraph"/>
        <w:ind w:left="426" w:hanging="426"/>
        <w:rPr>
          <w:rFonts w:cs="Calibri"/>
          <w:lang w:val="fr-CH"/>
        </w:rPr>
      </w:pPr>
      <w:r w:rsidRPr="007348E5">
        <w:rPr>
          <w:rFonts w:cs="Calibri"/>
          <w:lang w:val="fr-CH"/>
        </w:rPr>
        <w:t xml:space="preserve"> </w:t>
      </w:r>
    </w:p>
    <w:p w14:paraId="70D358A1" w14:textId="77777777" w:rsidR="00F066F4" w:rsidRPr="007348E5" w:rsidRDefault="00F066F4" w:rsidP="00F066F4">
      <w:pPr>
        <w:pStyle w:val="ListParagraph"/>
        <w:numPr>
          <w:ilvl w:val="0"/>
          <w:numId w:val="1"/>
        </w:numPr>
        <w:ind w:left="426" w:hanging="426"/>
        <w:rPr>
          <w:rFonts w:cs="Calibri"/>
          <w:lang w:val="fr-CH"/>
        </w:rPr>
      </w:pPr>
      <w:r>
        <w:rPr>
          <w:rFonts w:cs="Calibri"/>
          <w:lang w:val="fr-CH"/>
        </w:rPr>
        <w:t xml:space="preserve">Le Secrétariat a lancé un appel à candidatures pour recruter un consultant/une consultante pertinent(e) aux fins d’élaborer le projet de Directives opérationnelles. Au total, neuf candidatures ont été reçues. Le Secrétariat a examiné les soumissions et analysé les propositions en tenant compte de neuf critères de sélection. Le résultat de cette analyse a abouti à la sélection de </w:t>
      </w:r>
      <w:r w:rsidRPr="007348E5">
        <w:rPr>
          <w:rFonts w:cs="Calibri"/>
          <w:lang w:val="fr-CH"/>
        </w:rPr>
        <w:t>Margarita Astralaga</w:t>
      </w:r>
      <w:r>
        <w:rPr>
          <w:rFonts w:cs="Calibri"/>
          <w:lang w:val="fr-CH"/>
        </w:rPr>
        <w:t>,</w:t>
      </w:r>
      <w:r w:rsidRPr="007348E5">
        <w:rPr>
          <w:rFonts w:cs="Calibri"/>
          <w:lang w:val="fr-CH"/>
        </w:rPr>
        <w:t xml:space="preserve"> </w:t>
      </w:r>
      <w:r>
        <w:rPr>
          <w:rFonts w:cs="Calibri"/>
          <w:lang w:val="fr-CH"/>
        </w:rPr>
        <w:t>de Colombie, comme la candidate la plus en mesure de mener à bien cette mission.</w:t>
      </w:r>
    </w:p>
    <w:p w14:paraId="76FBFD6A" w14:textId="77777777" w:rsidR="00F066F4" w:rsidRPr="007348E5" w:rsidRDefault="00F066F4" w:rsidP="00F066F4">
      <w:pPr>
        <w:pStyle w:val="ListParagraph"/>
        <w:ind w:left="426" w:hanging="426"/>
        <w:rPr>
          <w:rFonts w:cs="Calibri"/>
          <w:lang w:val="fr-CH"/>
        </w:rPr>
      </w:pPr>
    </w:p>
    <w:p w14:paraId="3C35BF1F" w14:textId="77777777" w:rsidR="00F066F4" w:rsidRPr="007348E5" w:rsidRDefault="00F066F4" w:rsidP="00F066F4">
      <w:pPr>
        <w:pStyle w:val="ListParagraph"/>
        <w:numPr>
          <w:ilvl w:val="0"/>
          <w:numId w:val="1"/>
        </w:numPr>
        <w:ind w:left="426" w:hanging="426"/>
        <w:rPr>
          <w:rFonts w:cs="Calibri"/>
          <w:lang w:val="fr-CH"/>
        </w:rPr>
      </w:pPr>
      <w:r>
        <w:rPr>
          <w:rFonts w:cs="Calibri"/>
          <w:lang w:val="fr-CH"/>
        </w:rPr>
        <w:t>Le 29 janvier 2</w:t>
      </w:r>
      <w:r w:rsidRPr="007348E5">
        <w:rPr>
          <w:rFonts w:cs="Calibri"/>
          <w:lang w:val="fr-CH"/>
        </w:rPr>
        <w:t xml:space="preserve">020, </w:t>
      </w:r>
      <w:r>
        <w:rPr>
          <w:rFonts w:cs="Calibri"/>
          <w:lang w:val="fr-CH"/>
        </w:rPr>
        <w:t>à la demande du Président du Groupe de travail, le Secrétariat a présenté la consultante au Groupe, pour contribuer à l’élaboration du nouveau projet de Directives.</w:t>
      </w:r>
      <w:r w:rsidRPr="007348E5">
        <w:rPr>
          <w:rFonts w:cs="Calibri"/>
          <w:lang w:val="fr-CH"/>
        </w:rPr>
        <w:t xml:space="preserve"> </w:t>
      </w:r>
    </w:p>
    <w:p w14:paraId="74F1EC96" w14:textId="77777777" w:rsidR="00F066F4" w:rsidRPr="007348E5" w:rsidRDefault="00F066F4" w:rsidP="00F066F4">
      <w:pPr>
        <w:ind w:left="426" w:hanging="426"/>
        <w:rPr>
          <w:rFonts w:cs="Calibri"/>
          <w:lang w:val="fr-CH"/>
        </w:rPr>
      </w:pPr>
    </w:p>
    <w:p w14:paraId="000E3F04" w14:textId="77777777" w:rsidR="00F066F4" w:rsidRPr="007348E5" w:rsidRDefault="00F066F4" w:rsidP="00F066F4">
      <w:pPr>
        <w:pStyle w:val="ListParagraph"/>
        <w:numPr>
          <w:ilvl w:val="0"/>
          <w:numId w:val="1"/>
        </w:numPr>
        <w:ind w:left="426" w:hanging="426"/>
        <w:rPr>
          <w:rFonts w:cs="Calibri"/>
          <w:lang w:val="fr-CH"/>
        </w:rPr>
      </w:pPr>
      <w:r>
        <w:rPr>
          <w:rFonts w:cs="Calibri"/>
          <w:lang w:val="fr-CH"/>
        </w:rPr>
        <w:t>Le 1</w:t>
      </w:r>
      <w:r w:rsidRPr="002D3202">
        <w:rPr>
          <w:rFonts w:cs="Calibri"/>
          <w:vertAlign w:val="superscript"/>
          <w:lang w:val="fr-CH"/>
        </w:rPr>
        <w:t>er</w:t>
      </w:r>
      <w:r>
        <w:rPr>
          <w:rFonts w:cs="Calibri"/>
          <w:lang w:val="fr-CH"/>
        </w:rPr>
        <w:t xml:space="preserve"> février, la consultante a commencé à travailler à l’évaluation des IRR et du nouveau projet de Directives. Le 11 février, le Secrétariat a envoyé une enquête sous forme de questionnaire (au nom de la consultante) dans les trois langues, à 19 IRR. Le Secrétariat a envoyé un rappel à toutes les IRR pour leur demander de répondre à cette enquête puis a conduit un suivi de manière bilatérale avec les IRR de chaque région. Le Président du Groupe de travail a encouragé </w:t>
      </w:r>
      <w:r>
        <w:rPr>
          <w:rFonts w:cs="Calibri"/>
          <w:lang w:val="fr-CH"/>
        </w:rPr>
        <w:lastRenderedPageBreak/>
        <w:t>les coordonnateurs des IRR à répondre au questionnaire. Au 28 février, 15 réponses avaient été reçues.</w:t>
      </w:r>
    </w:p>
    <w:p w14:paraId="3D942E22" w14:textId="77777777" w:rsidR="00F066F4" w:rsidRPr="007348E5" w:rsidRDefault="00F066F4" w:rsidP="00F066F4">
      <w:pPr>
        <w:ind w:left="426" w:hanging="426"/>
        <w:rPr>
          <w:rFonts w:cs="Calibri"/>
          <w:lang w:val="fr-CH"/>
        </w:rPr>
      </w:pPr>
    </w:p>
    <w:p w14:paraId="78BA923C" w14:textId="77777777" w:rsidR="00F066F4" w:rsidRDefault="00F066F4" w:rsidP="00F066F4">
      <w:pPr>
        <w:pStyle w:val="ListParagraph"/>
        <w:numPr>
          <w:ilvl w:val="0"/>
          <w:numId w:val="1"/>
        </w:numPr>
        <w:ind w:left="426" w:hanging="426"/>
        <w:rPr>
          <w:rFonts w:cs="Calibri"/>
          <w:lang w:val="fr-CH"/>
        </w:rPr>
      </w:pPr>
      <w:r>
        <w:rPr>
          <w:rFonts w:cs="Calibri"/>
          <w:lang w:val="fr-CH"/>
        </w:rPr>
        <w:t>Le 8 et le 24 mars 2021, respectivement, la consultante a soumis,</w:t>
      </w:r>
      <w:r w:rsidRPr="00494F04">
        <w:rPr>
          <w:rFonts w:cs="Calibri"/>
          <w:lang w:val="fr-CH"/>
        </w:rPr>
        <w:t xml:space="preserve"> </w:t>
      </w:r>
      <w:r>
        <w:rPr>
          <w:rFonts w:cs="Calibri"/>
          <w:lang w:val="fr-CH"/>
        </w:rPr>
        <w:t>au Secrétariat, les premiers projets d’évaluation des IRR et de nouvelles Directives opérationnelles. Le Président du Groupe de travail a communiqué le document aux membres du Groupe pour commentaire. Plusieurs IRR et Parties contractantes ont commenté les documents qui figuraient dans un tableau des commentaires pour faciliter le suivi exercé par le Groupe de travail. La consultante a aussi intégré les commentaires dans une version mise à jour des Directives opérationnelles (commentaires de : Australie, BlackSeaWet, CWI, MedWet, Panama, RRCEA, RRI-CA, RR-CWA, Uruguay, Suède, Pérou, Honduras et République dominicaine).</w:t>
      </w:r>
    </w:p>
    <w:p w14:paraId="28890501" w14:textId="77777777" w:rsidR="00F066F4" w:rsidRDefault="00F066F4" w:rsidP="00F066F4">
      <w:pPr>
        <w:pStyle w:val="ListParagraph"/>
        <w:ind w:left="426" w:firstLine="0"/>
        <w:rPr>
          <w:rFonts w:cs="Calibri"/>
          <w:lang w:val="fr-CH"/>
        </w:rPr>
      </w:pPr>
    </w:p>
    <w:p w14:paraId="2B91BEEC" w14:textId="77777777" w:rsidR="00F066F4" w:rsidRPr="001065C4" w:rsidRDefault="00F066F4" w:rsidP="00F066F4">
      <w:pPr>
        <w:pStyle w:val="ListParagraph"/>
        <w:numPr>
          <w:ilvl w:val="0"/>
          <w:numId w:val="1"/>
        </w:numPr>
        <w:ind w:left="360"/>
        <w:textAlignment w:val="center"/>
        <w:rPr>
          <w:rFonts w:cs="Calibri"/>
          <w:lang w:val="fr-FR" w:eastAsia="es-NI"/>
        </w:rPr>
      </w:pPr>
      <w:r w:rsidRPr="001C7D08">
        <w:rPr>
          <w:rFonts w:cs="Calibri"/>
          <w:lang w:val="fr-CH" w:eastAsia="es-NI"/>
        </w:rPr>
        <w:t xml:space="preserve">Compte tenu des réponses données par les membres du Groupe de travail sur les IRR, </w:t>
      </w:r>
      <w:r>
        <w:rPr>
          <w:rFonts w:cs="Calibri"/>
          <w:lang w:val="fr-CH" w:eastAsia="es-NI"/>
        </w:rPr>
        <w:t>et du fait</w:t>
      </w:r>
      <w:r w:rsidRPr="001C7D08">
        <w:rPr>
          <w:rFonts w:cs="Calibri"/>
          <w:lang w:val="fr-CH" w:eastAsia="es-NI"/>
        </w:rPr>
        <w:t xml:space="preserve"> que </w:t>
      </w:r>
      <w:r>
        <w:rPr>
          <w:rFonts w:cs="Calibri"/>
          <w:lang w:val="fr-CH" w:eastAsia="es-NI"/>
        </w:rPr>
        <w:t>l</w:t>
      </w:r>
      <w:r w:rsidRPr="001C7D08">
        <w:rPr>
          <w:rFonts w:cs="Calibri"/>
          <w:lang w:val="fr-CH" w:eastAsia="es-NI"/>
        </w:rPr>
        <w:t>es co</w:t>
      </w:r>
      <w:r>
        <w:rPr>
          <w:rFonts w:cs="Calibri"/>
          <w:lang w:val="fr-CH" w:eastAsia="es-NI"/>
        </w:rPr>
        <w:t>mmentaires portaient sur les Directives opérationnelles et non sur l’évaluation réalisée par la consultante, le délai de révision de l’évaluation a été prolongé</w:t>
      </w:r>
      <w:r w:rsidRPr="001C7D08">
        <w:rPr>
          <w:rFonts w:cs="Calibri"/>
          <w:lang w:val="fr-CH" w:eastAsia="es-NI"/>
        </w:rPr>
        <w:t>. Nous soulignons que la proposition de nouvelles Directives opérationnelles est fondée su</w:t>
      </w:r>
      <w:r>
        <w:rPr>
          <w:rFonts w:cs="Calibri"/>
          <w:lang w:val="fr-CH" w:eastAsia="es-NI"/>
        </w:rPr>
        <w:t>r l’</w:t>
      </w:r>
      <w:r w:rsidRPr="001C7D08">
        <w:rPr>
          <w:rFonts w:cs="Calibri"/>
          <w:lang w:val="fr-CH" w:eastAsia="es-NI"/>
        </w:rPr>
        <w:t xml:space="preserve">information </w:t>
      </w:r>
      <w:r>
        <w:rPr>
          <w:rFonts w:cs="Calibri"/>
          <w:lang w:val="fr-CH" w:eastAsia="es-NI"/>
        </w:rPr>
        <w:t>rassemblée par la consultante dans les études reflétées dans l’évaluation des IRR</w:t>
      </w:r>
      <w:r w:rsidRPr="001C7D08">
        <w:rPr>
          <w:rFonts w:cs="Calibri"/>
          <w:lang w:val="fr-CH" w:eastAsia="es-NI"/>
        </w:rPr>
        <w:t xml:space="preserve">. </w:t>
      </w:r>
      <w:r w:rsidRPr="001065C4">
        <w:rPr>
          <w:rFonts w:cs="Calibri"/>
          <w:lang w:val="fr-FR" w:eastAsia="es-NI"/>
        </w:rPr>
        <w:t>Après avoir reçu les contributions des memb</w:t>
      </w:r>
      <w:r>
        <w:rPr>
          <w:rFonts w:cs="Calibri"/>
          <w:lang w:val="fr-FR" w:eastAsia="es-NI"/>
        </w:rPr>
        <w:t>re</w:t>
      </w:r>
      <w:r w:rsidRPr="001065C4">
        <w:rPr>
          <w:rFonts w:cs="Calibri"/>
          <w:lang w:val="fr-FR" w:eastAsia="es-NI"/>
        </w:rPr>
        <w:t xml:space="preserve">s du </w:t>
      </w:r>
      <w:r w:rsidRPr="001C7D08">
        <w:rPr>
          <w:rFonts w:cs="Calibri"/>
          <w:lang w:val="fr-CH" w:eastAsia="es-NI"/>
        </w:rPr>
        <w:t>Groupe de travail sur les</w:t>
      </w:r>
      <w:r w:rsidRPr="001065C4">
        <w:rPr>
          <w:lang w:val="fr-FR"/>
        </w:rPr>
        <w:t xml:space="preserve"> </w:t>
      </w:r>
      <w:r w:rsidRPr="001065C4">
        <w:rPr>
          <w:rFonts w:cs="Calibri"/>
          <w:lang w:val="fr-CH" w:eastAsia="es-NI"/>
        </w:rPr>
        <w:t>Initiatives régionales</w:t>
      </w:r>
      <w:r w:rsidRPr="001065C4">
        <w:rPr>
          <w:rFonts w:cs="Calibri"/>
          <w:lang w:val="fr-FR"/>
        </w:rPr>
        <w:t xml:space="preserve">, </w:t>
      </w:r>
      <w:r>
        <w:rPr>
          <w:rFonts w:cs="Calibri"/>
          <w:lang w:val="fr-FR"/>
        </w:rPr>
        <w:t>la</w:t>
      </w:r>
      <w:r w:rsidRPr="001065C4">
        <w:rPr>
          <w:rFonts w:cs="Calibri"/>
          <w:lang w:val="fr-FR"/>
        </w:rPr>
        <w:t xml:space="preserve"> consultant</w:t>
      </w:r>
      <w:r>
        <w:rPr>
          <w:rFonts w:cs="Calibri"/>
          <w:lang w:val="fr-FR"/>
        </w:rPr>
        <w:t>e</w:t>
      </w:r>
      <w:r w:rsidRPr="001065C4">
        <w:rPr>
          <w:rFonts w:cs="Calibri"/>
          <w:lang w:val="fr-FR"/>
        </w:rPr>
        <w:t xml:space="preserve"> </w:t>
      </w:r>
      <w:r>
        <w:rPr>
          <w:rFonts w:cs="Calibri"/>
          <w:lang w:val="fr-FR"/>
        </w:rPr>
        <w:t>a compilé les commentaires et préparé une version révisée le 12 avril</w:t>
      </w:r>
      <w:r w:rsidRPr="001065C4">
        <w:rPr>
          <w:rFonts w:cs="Calibri"/>
          <w:lang w:val="fr-FR"/>
        </w:rPr>
        <w:t>.</w:t>
      </w:r>
    </w:p>
    <w:p w14:paraId="1156291F" w14:textId="77777777" w:rsidR="00F066F4" w:rsidRPr="001065C4" w:rsidRDefault="00F066F4" w:rsidP="00F066F4">
      <w:pPr>
        <w:pStyle w:val="ListParagraph"/>
        <w:rPr>
          <w:rFonts w:cs="Calibri"/>
          <w:lang w:val="fr-FR" w:eastAsia="es-NI"/>
        </w:rPr>
      </w:pPr>
    </w:p>
    <w:p w14:paraId="31744562" w14:textId="337EB6BE" w:rsidR="00F066F4" w:rsidRPr="00AC49D4" w:rsidRDefault="00F066F4" w:rsidP="00972099">
      <w:pPr>
        <w:pStyle w:val="ListParagraph"/>
        <w:numPr>
          <w:ilvl w:val="0"/>
          <w:numId w:val="1"/>
        </w:numPr>
        <w:ind w:left="426" w:hanging="426"/>
        <w:textAlignment w:val="center"/>
        <w:rPr>
          <w:rFonts w:cs="Calibri"/>
          <w:lang w:val="fr-FR" w:eastAsia="es-NI"/>
        </w:rPr>
      </w:pPr>
      <w:bookmarkStart w:id="1" w:name="_GoBack"/>
      <w:r w:rsidRPr="00554A8F">
        <w:rPr>
          <w:rFonts w:cs="Calibri"/>
          <w:lang w:val="fr-FR" w:eastAsia="es-NI"/>
        </w:rPr>
        <w:t xml:space="preserve">Conformément au mandat du Groupe de travail, une téléconférence a été organisée le 15 avril, avec les points suivants à discuter : a) éclaircissement par la consultante des questions posées par les membres du Groupe de travail sur les IRR, concernant </w:t>
      </w:r>
      <w:r>
        <w:rPr>
          <w:rFonts w:cs="Calibri"/>
          <w:lang w:val="fr-FR" w:eastAsia="es-NI"/>
        </w:rPr>
        <w:t>des</w:t>
      </w:r>
      <w:r w:rsidRPr="00554A8F">
        <w:rPr>
          <w:rFonts w:cs="Calibri"/>
          <w:lang w:val="fr-FR" w:eastAsia="es-NI"/>
        </w:rPr>
        <w:t xml:space="preserve"> points </w:t>
      </w:r>
      <w:r>
        <w:rPr>
          <w:rFonts w:cs="Calibri"/>
          <w:lang w:val="fr-FR" w:eastAsia="es-NI"/>
        </w:rPr>
        <w:t xml:space="preserve">particuliers </w:t>
      </w:r>
      <w:r w:rsidRPr="00554A8F">
        <w:rPr>
          <w:rFonts w:cs="Calibri"/>
          <w:lang w:val="fr-FR" w:eastAsia="es-NI"/>
        </w:rPr>
        <w:t>des Direct</w:t>
      </w:r>
      <w:r>
        <w:rPr>
          <w:rFonts w:cs="Calibri"/>
          <w:lang w:val="fr-FR" w:eastAsia="es-NI"/>
        </w:rPr>
        <w:t>ives</w:t>
      </w:r>
      <w:r w:rsidRPr="00554A8F">
        <w:rPr>
          <w:rFonts w:cs="Calibri"/>
          <w:lang w:val="fr-FR" w:eastAsia="es-NI"/>
        </w:rPr>
        <w:t xml:space="preserve"> </w:t>
      </w:r>
      <w:r>
        <w:rPr>
          <w:rFonts w:cs="Calibri"/>
          <w:lang w:val="fr-FR" w:eastAsia="es-NI"/>
        </w:rPr>
        <w:t xml:space="preserve">ou de l’évaluation préparée par la </w:t>
      </w:r>
      <w:r w:rsidRPr="00554A8F">
        <w:rPr>
          <w:rFonts w:cs="Calibri"/>
          <w:lang w:val="fr-FR" w:eastAsia="es-NI"/>
        </w:rPr>
        <w:t>consultant</w:t>
      </w:r>
      <w:r>
        <w:rPr>
          <w:rFonts w:cs="Calibri"/>
          <w:lang w:val="fr-FR" w:eastAsia="es-NI"/>
        </w:rPr>
        <w:t>e ;</w:t>
      </w:r>
      <w:r w:rsidRPr="00554A8F">
        <w:rPr>
          <w:rFonts w:cs="Calibri"/>
          <w:lang w:val="fr-FR" w:eastAsia="es-NI"/>
        </w:rPr>
        <w:t xml:space="preserve"> </w:t>
      </w:r>
      <w:r>
        <w:rPr>
          <w:rFonts w:cs="Calibri"/>
          <w:lang w:val="fr-FR" w:eastAsia="es-NI"/>
        </w:rPr>
        <w:t>b</w:t>
      </w:r>
      <w:r w:rsidRPr="00554A8F">
        <w:rPr>
          <w:rFonts w:cs="Calibri"/>
          <w:lang w:val="fr-FR" w:eastAsia="es-NI"/>
        </w:rPr>
        <w:t xml:space="preserve">) discussion </w:t>
      </w:r>
      <w:r>
        <w:rPr>
          <w:rFonts w:cs="Calibri"/>
          <w:lang w:val="fr-FR" w:eastAsia="es-NI"/>
        </w:rPr>
        <w:t>par les membres du</w:t>
      </w:r>
      <w:r w:rsidRPr="00554A8F">
        <w:rPr>
          <w:rFonts w:cs="Calibri"/>
          <w:lang w:val="fr-FR" w:eastAsia="es-NI"/>
        </w:rPr>
        <w:t xml:space="preserve"> Groupe de travail </w:t>
      </w:r>
      <w:r>
        <w:rPr>
          <w:rFonts w:cs="Calibri"/>
          <w:lang w:val="fr-FR" w:eastAsia="es-NI"/>
        </w:rPr>
        <w:t xml:space="preserve">des changements </w:t>
      </w:r>
      <w:r w:rsidRPr="00140161">
        <w:rPr>
          <w:rFonts w:cs="Calibri"/>
          <w:lang w:val="fr-FR" w:eastAsia="es-NI"/>
        </w:rPr>
        <w:t xml:space="preserve">apportés aux Directives opérationnelles ou au rapport d’évaluation et identification des questions ne recueillant pas l’accord de toutes les parties et c) définition par le Groupe de travail de la manière d’intégrer les résultats de l’évaluation dans le document des Directives opérationnelles. </w:t>
      </w:r>
      <w:r w:rsidR="00140161" w:rsidRPr="00140161">
        <w:rPr>
          <w:rFonts w:cs="Calibri"/>
          <w:lang w:val="fr-FR" w:eastAsia="es-NI"/>
        </w:rPr>
        <w:t xml:space="preserve">L’évaluation réalisée par la consultante (en anglais) se trouve ici : </w:t>
      </w:r>
      <w:hyperlink r:id="rId13" w:history="1">
        <w:r w:rsidR="00140161" w:rsidRPr="00140161">
          <w:rPr>
            <w:rStyle w:val="Hyperlink"/>
            <w:rFonts w:cs="Calibri"/>
            <w:lang w:val="fr-FR" w:eastAsia="es-NI"/>
          </w:rPr>
          <w:t>https://www.ramsar.org/document/consultants-ramsar-regional-initiatives-rris-assessment-2016-2019</w:t>
        </w:r>
      </w:hyperlink>
      <w:r w:rsidR="00140161" w:rsidRPr="00140161">
        <w:rPr>
          <w:rFonts w:cs="Calibri"/>
          <w:lang w:val="fr-FR" w:eastAsia="es-NI"/>
        </w:rPr>
        <w:t xml:space="preserve">. </w:t>
      </w:r>
      <w:r w:rsidRPr="00140161">
        <w:rPr>
          <w:rFonts w:cs="Calibri"/>
          <w:lang w:val="fr-FR" w:eastAsia="es-NI"/>
        </w:rPr>
        <w:t>Suite à cette téléconférence, il a été décidé de créer un petit groupe de travail (Panama, Colombie, Uruguay et Costa Rica) chargé de préparer le projet de résolution à présenter à la 59</w:t>
      </w:r>
      <w:r w:rsidRPr="00140161">
        <w:rPr>
          <w:rFonts w:cs="Calibri"/>
          <w:vertAlign w:val="superscript"/>
          <w:lang w:val="fr-FR" w:eastAsia="es-NI"/>
        </w:rPr>
        <w:t>e</w:t>
      </w:r>
      <w:r w:rsidRPr="00140161">
        <w:rPr>
          <w:rFonts w:cs="Calibri"/>
          <w:lang w:val="fr-FR" w:eastAsia="es-NI"/>
        </w:rPr>
        <w:t xml:space="preserve"> Réunion du Comité permanent</w:t>
      </w:r>
      <w:r>
        <w:rPr>
          <w:rFonts w:cs="Calibri"/>
          <w:lang w:val="fr-FR" w:eastAsia="es-NI"/>
        </w:rPr>
        <w:t xml:space="preserve"> et de finaliser le rapport sur les progrès du Groupe de travail</w:t>
      </w:r>
      <w:r w:rsidRPr="00AC49D4">
        <w:rPr>
          <w:rFonts w:cs="Calibri"/>
          <w:lang w:val="fr-FR" w:eastAsia="es-NI"/>
        </w:rPr>
        <w:t xml:space="preserve">. </w:t>
      </w:r>
    </w:p>
    <w:bookmarkEnd w:id="1"/>
    <w:p w14:paraId="54968024" w14:textId="77777777" w:rsidR="00F066F4" w:rsidRPr="00AC49D4" w:rsidRDefault="00F066F4" w:rsidP="00F066F4">
      <w:pPr>
        <w:pStyle w:val="ListParagraph"/>
        <w:rPr>
          <w:rFonts w:cs="Calibri"/>
          <w:lang w:val="fr-FR" w:eastAsia="es-NI"/>
        </w:rPr>
      </w:pPr>
    </w:p>
    <w:p w14:paraId="2CBEC01E" w14:textId="77777777" w:rsidR="00F066F4" w:rsidRPr="00DB0B19" w:rsidRDefault="00F066F4" w:rsidP="00F066F4">
      <w:pPr>
        <w:pStyle w:val="ListParagraph"/>
        <w:numPr>
          <w:ilvl w:val="0"/>
          <w:numId w:val="1"/>
        </w:numPr>
        <w:ind w:left="360"/>
        <w:textAlignment w:val="center"/>
        <w:rPr>
          <w:rFonts w:cs="Calibri"/>
          <w:lang w:val="fr-FR" w:eastAsia="es-NI"/>
        </w:rPr>
      </w:pPr>
      <w:r w:rsidRPr="00AC49D4">
        <w:rPr>
          <w:rFonts w:cs="Calibri"/>
          <w:lang w:val="fr-FR" w:eastAsia="es-NI"/>
        </w:rPr>
        <w:t>Avec la contribution finale du Groupe de travail sur les IRR, la consultante a intégré les changements et commentaires co</w:t>
      </w:r>
      <w:r>
        <w:rPr>
          <w:rFonts w:cs="Calibri"/>
          <w:lang w:val="fr-FR" w:eastAsia="es-NI"/>
        </w:rPr>
        <w:t>nvenus</w:t>
      </w:r>
      <w:r w:rsidRPr="00AC49D4">
        <w:rPr>
          <w:rFonts w:cs="Calibri"/>
          <w:lang w:val="fr-FR" w:eastAsia="es-NI"/>
        </w:rPr>
        <w:t xml:space="preserve"> </w:t>
      </w:r>
      <w:r>
        <w:rPr>
          <w:rFonts w:cs="Calibri"/>
          <w:lang w:val="fr-FR" w:eastAsia="es-NI"/>
        </w:rPr>
        <w:t>au cours de la</w:t>
      </w:r>
      <w:r w:rsidRPr="00AC49D4">
        <w:rPr>
          <w:rFonts w:cs="Calibri"/>
          <w:lang w:val="fr-FR" w:eastAsia="es-NI"/>
        </w:rPr>
        <w:t xml:space="preserve"> téléconférence </w:t>
      </w:r>
      <w:r>
        <w:rPr>
          <w:rFonts w:cs="Calibri"/>
          <w:lang w:val="fr-FR" w:eastAsia="es-NI"/>
        </w:rPr>
        <w:t xml:space="preserve">dans une </w:t>
      </w:r>
      <w:r w:rsidRPr="00AC49D4">
        <w:rPr>
          <w:rFonts w:cs="Calibri"/>
          <w:lang w:val="fr-FR" w:eastAsia="es-NI"/>
        </w:rPr>
        <w:t>version</w:t>
      </w:r>
      <w:r>
        <w:rPr>
          <w:rFonts w:cs="Calibri"/>
          <w:lang w:val="fr-FR" w:eastAsia="es-NI"/>
        </w:rPr>
        <w:t xml:space="preserve"> révisée des Directives opérationnelles remise au Groupe de travail</w:t>
      </w:r>
      <w:r w:rsidRPr="00DB0B19">
        <w:rPr>
          <w:rFonts w:cs="Calibri"/>
          <w:lang w:val="fr-FR" w:eastAsia="es-NI"/>
        </w:rPr>
        <w:t xml:space="preserve"> </w:t>
      </w:r>
      <w:r>
        <w:rPr>
          <w:rFonts w:cs="Calibri"/>
          <w:lang w:val="fr-FR" w:eastAsia="es-NI"/>
        </w:rPr>
        <w:t>pour examen</w:t>
      </w:r>
      <w:r w:rsidRPr="00AC49D4">
        <w:rPr>
          <w:rFonts w:cs="Calibri"/>
          <w:lang w:val="fr-FR" w:eastAsia="es-NI"/>
        </w:rPr>
        <w:t xml:space="preserve">. </w:t>
      </w:r>
      <w:r w:rsidRPr="00DB0B19">
        <w:rPr>
          <w:rFonts w:cs="Calibri"/>
          <w:lang w:val="fr-FR" w:eastAsia="es-NI"/>
        </w:rPr>
        <w:t>Le Secrétariat a préparé une version finale des Directives opérationnelles avec les co</w:t>
      </w:r>
      <w:r>
        <w:rPr>
          <w:rFonts w:cs="Calibri"/>
          <w:lang w:val="fr-FR" w:eastAsia="es-NI"/>
        </w:rPr>
        <w:t>ntributions reçues et l’a communiquée au Groupe de travail</w:t>
      </w:r>
      <w:r w:rsidRPr="00DB0B19">
        <w:rPr>
          <w:rFonts w:cs="Calibri"/>
          <w:lang w:val="fr-FR" w:eastAsia="es-NI"/>
        </w:rPr>
        <w:t>.  Il importe de mentionner que les Directives opérationnelles comp</w:t>
      </w:r>
      <w:r>
        <w:rPr>
          <w:rFonts w:cs="Calibri"/>
          <w:lang w:val="fr-FR" w:eastAsia="es-NI"/>
        </w:rPr>
        <w:t xml:space="preserve">rennent les </w:t>
      </w:r>
      <w:r w:rsidRPr="00DB0B19">
        <w:rPr>
          <w:rFonts w:cs="Calibri"/>
          <w:lang w:val="fr-FR" w:eastAsia="es-NI"/>
        </w:rPr>
        <w:t>paragraph</w:t>
      </w:r>
      <w:r>
        <w:rPr>
          <w:rFonts w:cs="Calibri"/>
          <w:lang w:val="fr-FR" w:eastAsia="es-NI"/>
        </w:rPr>
        <w:t>e</w:t>
      </w:r>
      <w:r w:rsidRPr="00DB0B19">
        <w:rPr>
          <w:rFonts w:cs="Calibri"/>
          <w:lang w:val="fr-FR" w:eastAsia="es-NI"/>
        </w:rPr>
        <w:t xml:space="preserve">s </w:t>
      </w:r>
      <w:r>
        <w:rPr>
          <w:rFonts w:cs="Calibri"/>
          <w:lang w:val="fr-FR" w:eastAsia="es-NI"/>
        </w:rPr>
        <w:t>convenus sur lesquels il n’y a eu aucune objection</w:t>
      </w:r>
      <w:r w:rsidRPr="00DB0B19">
        <w:rPr>
          <w:rFonts w:cs="Calibri"/>
          <w:lang w:val="fr-FR" w:eastAsia="es-NI"/>
        </w:rPr>
        <w:t xml:space="preserve">, </w:t>
      </w:r>
      <w:r>
        <w:rPr>
          <w:rFonts w:cs="Calibri"/>
          <w:lang w:val="fr-FR" w:eastAsia="es-NI"/>
        </w:rPr>
        <w:t>et qui ne sont donc pas ouverts à discussion</w:t>
      </w:r>
      <w:r w:rsidRPr="00DB0B19">
        <w:rPr>
          <w:rFonts w:cs="Calibri"/>
          <w:lang w:val="fr-FR" w:eastAsia="es-NI"/>
        </w:rPr>
        <w:t xml:space="preserve">. Les paragraphes n’ayant pas réuni de consensus sont </w:t>
      </w:r>
      <w:r>
        <w:rPr>
          <w:rFonts w:cs="Calibri"/>
          <w:lang w:val="fr-FR" w:eastAsia="es-NI"/>
        </w:rPr>
        <w:t xml:space="preserve">placés </w:t>
      </w:r>
      <w:r w:rsidRPr="00DB0B19">
        <w:rPr>
          <w:rFonts w:cs="Calibri"/>
          <w:lang w:val="fr-FR" w:eastAsia="es-NI"/>
        </w:rPr>
        <w:t>entre crochets et seront discutés lors du débat sur le projet</w:t>
      </w:r>
      <w:r>
        <w:rPr>
          <w:rFonts w:cs="Calibri"/>
          <w:lang w:val="fr-FR" w:eastAsia="es-NI"/>
        </w:rPr>
        <w:t xml:space="preserve"> de résolution, au cours de la réunion du Comité permanent qui abordera tous les projets de résolutions</w:t>
      </w:r>
      <w:r w:rsidRPr="00DB0B19">
        <w:rPr>
          <w:rFonts w:cs="Calibri"/>
          <w:lang w:val="fr-FR" w:eastAsia="es-NI"/>
        </w:rPr>
        <w:t xml:space="preserve">.  </w:t>
      </w:r>
    </w:p>
    <w:p w14:paraId="2CDD0CFA" w14:textId="77777777" w:rsidR="00F066F4" w:rsidRPr="00DB0B19" w:rsidRDefault="00F066F4" w:rsidP="00F066F4">
      <w:pPr>
        <w:pStyle w:val="ListParagraph"/>
        <w:ind w:left="360" w:firstLine="0"/>
        <w:textAlignment w:val="center"/>
        <w:rPr>
          <w:rFonts w:cs="Calibri"/>
          <w:lang w:val="fr-FR" w:eastAsia="es-NI"/>
        </w:rPr>
      </w:pPr>
    </w:p>
    <w:p w14:paraId="374790A3" w14:textId="77777777" w:rsidR="00F066F4" w:rsidRPr="00C951DE" w:rsidRDefault="00F066F4" w:rsidP="00F066F4">
      <w:pPr>
        <w:pStyle w:val="ListParagraph"/>
        <w:numPr>
          <w:ilvl w:val="0"/>
          <w:numId w:val="1"/>
        </w:numPr>
        <w:ind w:left="360"/>
        <w:textAlignment w:val="center"/>
        <w:rPr>
          <w:rFonts w:cs="Calibri"/>
          <w:lang w:val="fr-FR" w:eastAsia="es-NI"/>
        </w:rPr>
      </w:pPr>
      <w:r w:rsidRPr="00C951DE">
        <w:rPr>
          <w:rFonts w:cs="Calibri"/>
          <w:lang w:val="fr-FR" w:eastAsia="es-NI"/>
        </w:rPr>
        <w:t>Le petit groupe de travail a organisé une téléconférence avec le soutien du Secrétariat, da</w:t>
      </w:r>
      <w:r>
        <w:rPr>
          <w:rFonts w:cs="Calibri"/>
          <w:lang w:val="fr-FR" w:eastAsia="es-NI"/>
        </w:rPr>
        <w:t>ns le but de décider de la marche à suivre pour la</w:t>
      </w:r>
      <w:r w:rsidRPr="00C951DE">
        <w:rPr>
          <w:rFonts w:cs="Calibri"/>
          <w:lang w:val="fr-FR" w:eastAsia="es-NI"/>
        </w:rPr>
        <w:t xml:space="preserve"> préparation </w:t>
      </w:r>
      <w:r>
        <w:rPr>
          <w:rFonts w:cs="Calibri"/>
          <w:lang w:val="fr-FR" w:eastAsia="es-NI"/>
        </w:rPr>
        <w:t>du projet de ré</w:t>
      </w:r>
      <w:r w:rsidRPr="00C951DE">
        <w:rPr>
          <w:rFonts w:cs="Calibri"/>
          <w:lang w:val="fr-FR" w:eastAsia="es-NI"/>
        </w:rPr>
        <w:t xml:space="preserve">solution </w:t>
      </w:r>
      <w:r>
        <w:rPr>
          <w:rFonts w:cs="Calibri"/>
          <w:lang w:val="fr-FR" w:eastAsia="es-NI"/>
        </w:rPr>
        <w:t>sur les Initiatives régionales Ramsar</w:t>
      </w:r>
      <w:r w:rsidRPr="00C951DE">
        <w:rPr>
          <w:rFonts w:cs="Calibri"/>
          <w:lang w:val="fr-FR" w:eastAsia="es-NI"/>
        </w:rPr>
        <w:t>. Les principales contributions utilisées sont le rapport de la Conseillère juridique sur le statut juridique des Initiatives régionales Ramsar, figurant dans le document SC58 Doc.22.3 co</w:t>
      </w:r>
      <w:r>
        <w:rPr>
          <w:rFonts w:cs="Calibri"/>
          <w:lang w:val="fr-FR" w:eastAsia="es-NI"/>
        </w:rPr>
        <w:t>nformément à la</w:t>
      </w:r>
      <w:r w:rsidRPr="00C951DE">
        <w:rPr>
          <w:rFonts w:cs="Calibri"/>
          <w:lang w:val="fr-FR" w:eastAsia="es-NI"/>
        </w:rPr>
        <w:t xml:space="preserve"> Décision SC57-29, </w:t>
      </w:r>
      <w:r>
        <w:rPr>
          <w:rFonts w:cs="Calibri"/>
          <w:lang w:val="fr-FR" w:eastAsia="es-NI"/>
        </w:rPr>
        <w:t>l’évaluation, par la Conseillère juridique du S</w:t>
      </w:r>
      <w:r w:rsidRPr="00C951DE">
        <w:rPr>
          <w:rFonts w:cs="Calibri"/>
          <w:lang w:val="fr-FR" w:eastAsia="es-NI"/>
        </w:rPr>
        <w:t>ecr</w:t>
      </w:r>
      <w:r>
        <w:rPr>
          <w:rFonts w:cs="Calibri"/>
          <w:lang w:val="fr-FR" w:eastAsia="es-NI"/>
        </w:rPr>
        <w:t>é</w:t>
      </w:r>
      <w:r w:rsidRPr="00C951DE">
        <w:rPr>
          <w:rFonts w:cs="Calibri"/>
          <w:lang w:val="fr-FR" w:eastAsia="es-NI"/>
        </w:rPr>
        <w:t xml:space="preserve">tariat (document SC58-22.4) </w:t>
      </w:r>
      <w:r>
        <w:rPr>
          <w:rFonts w:cs="Calibri"/>
          <w:lang w:val="fr-FR" w:eastAsia="es-NI"/>
        </w:rPr>
        <w:t xml:space="preserve">des </w:t>
      </w:r>
      <w:r w:rsidRPr="00C951DE">
        <w:rPr>
          <w:rFonts w:cs="Calibri"/>
          <w:lang w:val="fr-FR" w:eastAsia="es-NI"/>
        </w:rPr>
        <w:t>R</w:t>
      </w:r>
      <w:r>
        <w:rPr>
          <w:rFonts w:cs="Calibri"/>
          <w:lang w:val="fr-FR" w:eastAsia="es-NI"/>
        </w:rPr>
        <w:t>é</w:t>
      </w:r>
      <w:r w:rsidRPr="00C951DE">
        <w:rPr>
          <w:rFonts w:cs="Calibri"/>
          <w:lang w:val="fr-FR" w:eastAsia="es-NI"/>
        </w:rPr>
        <w:t xml:space="preserve">solutions </w:t>
      </w:r>
      <w:r>
        <w:rPr>
          <w:rFonts w:cs="Calibri"/>
          <w:lang w:val="fr-FR" w:eastAsia="es-NI"/>
        </w:rPr>
        <w:t>et Décisions existantes</w:t>
      </w:r>
      <w:r w:rsidRPr="00C951DE">
        <w:rPr>
          <w:rFonts w:cs="Calibri"/>
          <w:lang w:val="fr-FR" w:eastAsia="es-NI"/>
        </w:rPr>
        <w:t>,</w:t>
      </w:r>
      <w:r>
        <w:rPr>
          <w:rFonts w:cs="Calibri"/>
          <w:lang w:val="fr-FR" w:eastAsia="es-NI"/>
        </w:rPr>
        <w:t xml:space="preserve"> pour déterminer celles qui ne sont pas cohérentes avec la Ré</w:t>
      </w:r>
      <w:r w:rsidRPr="00C951DE">
        <w:rPr>
          <w:rFonts w:cs="Calibri"/>
          <w:lang w:val="fr-FR" w:eastAsia="es-NI"/>
        </w:rPr>
        <w:t xml:space="preserve">solution XIII.9, </w:t>
      </w:r>
      <w:r>
        <w:rPr>
          <w:rFonts w:cs="Calibri"/>
          <w:lang w:val="fr-FR" w:eastAsia="es-NI"/>
        </w:rPr>
        <w:t>et les contributions du Groupe de travail sur les paragraphes qui pourraient être inclus dans le projet de résolution</w:t>
      </w:r>
      <w:r w:rsidRPr="00C951DE">
        <w:rPr>
          <w:rFonts w:cs="Calibri"/>
          <w:lang w:val="fr-FR" w:eastAsia="es-NI"/>
        </w:rPr>
        <w:t>.</w:t>
      </w:r>
    </w:p>
    <w:p w14:paraId="4F84916F" w14:textId="77777777" w:rsidR="00F066F4" w:rsidRPr="00C951DE" w:rsidRDefault="00F066F4" w:rsidP="00F066F4">
      <w:pPr>
        <w:ind w:left="-450" w:firstLine="0"/>
        <w:textAlignment w:val="center"/>
        <w:rPr>
          <w:rFonts w:cs="Calibri"/>
          <w:lang w:val="fr-FR" w:eastAsia="es-NI"/>
        </w:rPr>
      </w:pPr>
    </w:p>
    <w:p w14:paraId="2BCC2F75" w14:textId="77777777" w:rsidR="00F066F4" w:rsidRPr="003460A0" w:rsidRDefault="00F066F4" w:rsidP="00F066F4">
      <w:pPr>
        <w:pStyle w:val="ListParagraph"/>
        <w:numPr>
          <w:ilvl w:val="0"/>
          <w:numId w:val="1"/>
        </w:numPr>
        <w:ind w:left="426" w:hanging="426"/>
        <w:rPr>
          <w:rFonts w:cs="Calibri"/>
          <w:lang w:val="fr-FR"/>
        </w:rPr>
      </w:pPr>
      <w:r w:rsidRPr="00C951DE">
        <w:rPr>
          <w:rFonts w:cs="Calibri"/>
          <w:lang w:val="fr-FR" w:eastAsia="es-NI"/>
        </w:rPr>
        <w:lastRenderedPageBreak/>
        <w:t xml:space="preserve"> </w:t>
      </w:r>
      <w:r w:rsidRPr="003460A0">
        <w:rPr>
          <w:rFonts w:cs="Calibri"/>
          <w:lang w:val="fr-FR" w:eastAsia="es-NI"/>
        </w:rPr>
        <w:t xml:space="preserve">Le projet de résolution et les </w:t>
      </w:r>
      <w:r>
        <w:rPr>
          <w:rFonts w:cs="Calibri"/>
          <w:lang w:val="fr-FR" w:eastAsia="es-NI"/>
        </w:rPr>
        <w:t>D</w:t>
      </w:r>
      <w:r w:rsidRPr="003460A0">
        <w:rPr>
          <w:rFonts w:cs="Calibri"/>
          <w:lang w:val="fr-FR" w:eastAsia="es-NI"/>
        </w:rPr>
        <w:t>irectives opérationnelles proposés pour examen par le Comité permanent et soumission à la 14</w:t>
      </w:r>
      <w:r w:rsidRPr="003460A0">
        <w:rPr>
          <w:rFonts w:cs="Calibri"/>
          <w:vertAlign w:val="superscript"/>
          <w:lang w:val="fr-FR" w:eastAsia="es-NI"/>
        </w:rPr>
        <w:t>e</w:t>
      </w:r>
      <w:r w:rsidRPr="003460A0">
        <w:rPr>
          <w:rFonts w:cs="Calibri"/>
          <w:lang w:val="fr-FR" w:eastAsia="es-NI"/>
        </w:rPr>
        <w:t xml:space="preserve"> Session de la Conférence de</w:t>
      </w:r>
      <w:r>
        <w:rPr>
          <w:rFonts w:cs="Calibri"/>
          <w:lang w:val="fr-FR" w:eastAsia="es-NI"/>
        </w:rPr>
        <w:t>s Parties contractantes figurent en Annexe 1</w:t>
      </w:r>
      <w:r w:rsidRPr="003460A0">
        <w:rPr>
          <w:rFonts w:cs="Calibri"/>
          <w:lang w:val="fr-FR" w:eastAsia="es-NI"/>
        </w:rPr>
        <w:t>.</w:t>
      </w:r>
    </w:p>
    <w:p w14:paraId="53457711" w14:textId="77777777" w:rsidR="00F066F4" w:rsidRPr="003460A0" w:rsidRDefault="00F066F4" w:rsidP="00F066F4">
      <w:pPr>
        <w:rPr>
          <w:rFonts w:cs="Calibri"/>
          <w:lang w:val="fr-FR"/>
        </w:rPr>
      </w:pPr>
    </w:p>
    <w:p w14:paraId="2AF59FAB" w14:textId="77777777" w:rsidR="00F066F4" w:rsidRPr="003460A0" w:rsidRDefault="00F066F4" w:rsidP="00F066F4">
      <w:pPr>
        <w:rPr>
          <w:rFonts w:cs="Calibri"/>
          <w:lang w:val="fr-FR"/>
        </w:rPr>
      </w:pPr>
    </w:p>
    <w:p w14:paraId="1F9DB377" w14:textId="77777777" w:rsidR="00342C0A" w:rsidRDefault="00342C0A" w:rsidP="0012489A">
      <w:pPr>
        <w:rPr>
          <w:rFonts w:eastAsia="Times New Roman" w:cs="Calibri"/>
          <w:b/>
          <w:sz w:val="24"/>
          <w:szCs w:val="24"/>
          <w:lang w:val="fr-CH" w:eastAsia="en-GB"/>
        </w:rPr>
      </w:pPr>
    </w:p>
    <w:p w14:paraId="4AAA0173" w14:textId="77777777" w:rsidR="00342C0A" w:rsidRDefault="00342C0A">
      <w:pPr>
        <w:rPr>
          <w:rFonts w:eastAsia="Times New Roman" w:cs="Calibri"/>
          <w:b/>
          <w:sz w:val="24"/>
          <w:szCs w:val="24"/>
          <w:lang w:val="fr-CH" w:eastAsia="en-GB"/>
        </w:rPr>
      </w:pPr>
      <w:r>
        <w:rPr>
          <w:rFonts w:eastAsia="Times New Roman" w:cs="Calibri"/>
          <w:b/>
          <w:sz w:val="24"/>
          <w:szCs w:val="24"/>
          <w:lang w:val="fr-CH" w:eastAsia="en-GB"/>
        </w:rPr>
        <w:br w:type="page"/>
      </w:r>
    </w:p>
    <w:p w14:paraId="3C2D27DB" w14:textId="7FFA916D" w:rsidR="0012489A" w:rsidRPr="00514CC6" w:rsidRDefault="007B7631" w:rsidP="0012489A">
      <w:pPr>
        <w:rPr>
          <w:rFonts w:cs="Arial"/>
          <w:sz w:val="24"/>
          <w:szCs w:val="24"/>
          <w:lang w:val="fr-CH"/>
        </w:rPr>
      </w:pPr>
      <w:r w:rsidRPr="00514CC6">
        <w:rPr>
          <w:rFonts w:eastAsia="Times New Roman" w:cs="Calibri"/>
          <w:b/>
          <w:sz w:val="24"/>
          <w:szCs w:val="24"/>
          <w:lang w:val="fr-CH" w:eastAsia="en-GB"/>
        </w:rPr>
        <w:lastRenderedPageBreak/>
        <w:t>Annex</w:t>
      </w:r>
      <w:r w:rsidR="00514CC6">
        <w:rPr>
          <w:rFonts w:eastAsia="Times New Roman" w:cs="Calibri"/>
          <w:b/>
          <w:sz w:val="24"/>
          <w:szCs w:val="24"/>
          <w:lang w:val="fr-CH" w:eastAsia="en-GB"/>
        </w:rPr>
        <w:t>e</w:t>
      </w:r>
      <w:r w:rsidRPr="00514CC6">
        <w:rPr>
          <w:rFonts w:eastAsia="Times New Roman" w:cs="Calibri"/>
          <w:b/>
          <w:sz w:val="24"/>
          <w:szCs w:val="24"/>
          <w:lang w:val="fr-CH" w:eastAsia="en-GB"/>
        </w:rPr>
        <w:t xml:space="preserve"> 1</w:t>
      </w:r>
      <w:r w:rsidR="0012489A" w:rsidRPr="00514CC6">
        <w:rPr>
          <w:rFonts w:eastAsia="Times New Roman" w:cs="Calibri"/>
          <w:b/>
          <w:sz w:val="24"/>
          <w:szCs w:val="24"/>
          <w:lang w:val="fr-CH" w:eastAsia="en-GB"/>
        </w:rPr>
        <w:t xml:space="preserve"> </w:t>
      </w:r>
      <w:r w:rsidR="00A87952">
        <w:rPr>
          <w:rFonts w:eastAsia="Times New Roman" w:cs="Calibri"/>
          <w:b/>
          <w:sz w:val="24"/>
          <w:szCs w:val="24"/>
          <w:lang w:val="fr-CH" w:eastAsia="en-GB"/>
        </w:rPr>
        <w:t>d</w:t>
      </w:r>
      <w:r w:rsidR="00514CC6">
        <w:rPr>
          <w:rFonts w:eastAsia="Times New Roman" w:cs="Calibri"/>
          <w:b/>
          <w:sz w:val="24"/>
          <w:szCs w:val="24"/>
          <w:lang w:val="fr-CH" w:eastAsia="en-GB"/>
        </w:rPr>
        <w:t>u</w:t>
      </w:r>
      <w:r w:rsidR="0012489A" w:rsidRPr="00514CC6">
        <w:rPr>
          <w:rFonts w:eastAsia="Times New Roman" w:cs="Calibri"/>
          <w:b/>
          <w:sz w:val="24"/>
          <w:szCs w:val="24"/>
          <w:lang w:val="fr-CH" w:eastAsia="en-GB"/>
        </w:rPr>
        <w:t xml:space="preserve"> document </w:t>
      </w:r>
      <w:r w:rsidR="0012489A" w:rsidRPr="00514CC6">
        <w:rPr>
          <w:rFonts w:cs="Arial"/>
          <w:b/>
          <w:sz w:val="24"/>
          <w:szCs w:val="24"/>
          <w:lang w:val="fr-CH"/>
        </w:rPr>
        <w:t xml:space="preserve">SC59 Doc.21.1 </w:t>
      </w:r>
    </w:p>
    <w:p w14:paraId="44D1B44C" w14:textId="799C1F8A" w:rsidR="007B7631" w:rsidRPr="00514CC6" w:rsidRDefault="00514CC6" w:rsidP="007B7631">
      <w:pPr>
        <w:ind w:left="0" w:firstLine="0"/>
        <w:rPr>
          <w:b/>
          <w:sz w:val="24"/>
          <w:szCs w:val="24"/>
          <w:lang w:val="fr-CH"/>
        </w:rPr>
      </w:pPr>
      <w:r>
        <w:rPr>
          <w:b/>
          <w:sz w:val="24"/>
          <w:szCs w:val="24"/>
          <w:lang w:val="fr-CH"/>
        </w:rPr>
        <w:t>Projet de résolution</w:t>
      </w:r>
      <w:r w:rsidR="00F07E23">
        <w:rPr>
          <w:b/>
          <w:sz w:val="24"/>
          <w:szCs w:val="24"/>
          <w:lang w:val="fr-CH"/>
        </w:rPr>
        <w:t xml:space="preserve"> XIV.</w:t>
      </w:r>
      <w:r w:rsidR="007B7631" w:rsidRPr="00514CC6">
        <w:rPr>
          <w:b/>
          <w:sz w:val="24"/>
          <w:szCs w:val="24"/>
          <w:lang w:val="fr-CH"/>
        </w:rPr>
        <w:t xml:space="preserve">Xx </w:t>
      </w:r>
      <w:r>
        <w:rPr>
          <w:b/>
          <w:sz w:val="24"/>
          <w:szCs w:val="24"/>
          <w:lang w:val="fr-CH"/>
        </w:rPr>
        <w:t xml:space="preserve">sur les Initiatives régionales </w:t>
      </w:r>
      <w:r w:rsidR="007B7631" w:rsidRPr="00514CC6">
        <w:rPr>
          <w:b/>
          <w:sz w:val="24"/>
          <w:szCs w:val="24"/>
          <w:lang w:val="fr-CH"/>
        </w:rPr>
        <w:t>Ramsar 2022-2024</w:t>
      </w:r>
    </w:p>
    <w:p w14:paraId="5A5D9634" w14:textId="77777777" w:rsidR="006A00E5" w:rsidRPr="00514CC6" w:rsidRDefault="006A00E5" w:rsidP="006A00E5">
      <w:pPr>
        <w:rPr>
          <w:lang w:val="fr-CH"/>
        </w:rPr>
      </w:pPr>
    </w:p>
    <w:p w14:paraId="53583696" w14:textId="77777777" w:rsidR="006A00E5" w:rsidRPr="00514CC6" w:rsidRDefault="006A00E5" w:rsidP="006A00E5">
      <w:pPr>
        <w:rPr>
          <w:lang w:val="fr-CH"/>
        </w:rPr>
      </w:pPr>
    </w:p>
    <w:p w14:paraId="7A32EF55" w14:textId="069EAF65" w:rsidR="006A00E5" w:rsidRPr="00514CC6" w:rsidRDefault="006A00E5" w:rsidP="006A00E5">
      <w:pPr>
        <w:pStyle w:val="ListParagraph"/>
        <w:numPr>
          <w:ilvl w:val="0"/>
          <w:numId w:val="5"/>
        </w:numPr>
        <w:rPr>
          <w:lang w:val="fr-CH"/>
        </w:rPr>
      </w:pPr>
      <w:r w:rsidRPr="00514CC6">
        <w:rPr>
          <w:lang w:val="fr-CH"/>
        </w:rPr>
        <w:t>R</w:t>
      </w:r>
      <w:r w:rsidR="00514CC6">
        <w:rPr>
          <w:lang w:val="fr-CH"/>
        </w:rPr>
        <w:t>APPELANT que</w:t>
      </w:r>
      <w:r w:rsidR="00E4417F">
        <w:rPr>
          <w:lang w:val="fr-CH"/>
        </w:rPr>
        <w:t xml:space="preserve"> </w:t>
      </w:r>
      <w:r w:rsidR="00514CC6">
        <w:rPr>
          <w:lang w:val="fr-CH"/>
        </w:rPr>
        <w:t>les Initiatives régionales Ramsar (IRR)</w:t>
      </w:r>
      <w:r w:rsidR="00CF1D9B" w:rsidRPr="00CF1D9B">
        <w:rPr>
          <w:lang w:val="fr-CH"/>
        </w:rPr>
        <w:t xml:space="preserve"> </w:t>
      </w:r>
      <w:r w:rsidR="00CF1D9B">
        <w:rPr>
          <w:lang w:val="fr-CH"/>
        </w:rPr>
        <w:t>placées sous l’égide de la Convention sur les zones humides,</w:t>
      </w:r>
      <w:r w:rsidR="005B558D">
        <w:rPr>
          <w:lang w:val="fr-CH"/>
        </w:rPr>
        <w:t xml:space="preserve"> compren</w:t>
      </w:r>
      <w:r w:rsidR="00CF1D9B">
        <w:rPr>
          <w:lang w:val="fr-CH"/>
        </w:rPr>
        <w:t>ant</w:t>
      </w:r>
      <w:r w:rsidR="005B558D">
        <w:rPr>
          <w:lang w:val="fr-CH"/>
        </w:rPr>
        <w:t xml:space="preserve"> des centres régionaux pour la formation et le renforcement des capacités ainsi que des réseaux régionaux pour faciliter la coopération, ont pour </w:t>
      </w:r>
      <w:r w:rsidR="00E4417F">
        <w:rPr>
          <w:lang w:val="fr-CH"/>
        </w:rPr>
        <w:t>vocation</w:t>
      </w:r>
      <w:r w:rsidR="005B558D">
        <w:rPr>
          <w:lang w:val="fr-CH"/>
        </w:rPr>
        <w:t xml:space="preserve"> d’être des moyens opérationnels de fournir un appui efficace </w:t>
      </w:r>
      <w:r w:rsidR="00CF1D9B">
        <w:rPr>
          <w:lang w:val="fr-CH"/>
        </w:rPr>
        <w:t>à la</w:t>
      </w:r>
      <w:r w:rsidR="005B558D">
        <w:rPr>
          <w:lang w:val="fr-CH"/>
        </w:rPr>
        <w:t xml:space="preserve"> mise en œuvre amélio</w:t>
      </w:r>
      <w:r w:rsidR="0051004C">
        <w:rPr>
          <w:lang w:val="fr-CH"/>
        </w:rPr>
        <w:t>rée de la Convention et de son P</w:t>
      </w:r>
      <w:r w:rsidR="005B558D">
        <w:rPr>
          <w:lang w:val="fr-CH"/>
        </w:rPr>
        <w:t>lan stratégique dans des région</w:t>
      </w:r>
      <w:r w:rsidR="00E4417F">
        <w:rPr>
          <w:lang w:val="fr-CH"/>
        </w:rPr>
        <w:t>s</w:t>
      </w:r>
      <w:r w:rsidR="005B558D">
        <w:rPr>
          <w:lang w:val="fr-CH"/>
        </w:rPr>
        <w:t xml:space="preserve"> géographiques spécifiques, par la coopération internationale volontaire relative aux questions d’intérêt commun</w:t>
      </w:r>
      <w:r w:rsidR="001E1A95" w:rsidRPr="001E1A95">
        <w:rPr>
          <w:lang w:val="fr-CH"/>
        </w:rPr>
        <w:t xml:space="preserve"> </w:t>
      </w:r>
      <w:r w:rsidR="001E1A95">
        <w:rPr>
          <w:lang w:val="fr-CH"/>
        </w:rPr>
        <w:t>concernant les zones humides</w:t>
      </w:r>
      <w:r w:rsidR="005B558D">
        <w:rPr>
          <w:lang w:val="fr-CH"/>
        </w:rPr>
        <w:t> ;</w:t>
      </w:r>
    </w:p>
    <w:p w14:paraId="0F147DBA" w14:textId="77777777" w:rsidR="006A00E5" w:rsidRPr="00514CC6" w:rsidRDefault="006A00E5" w:rsidP="006A00E5">
      <w:pPr>
        <w:rPr>
          <w:lang w:val="fr-CH"/>
        </w:rPr>
      </w:pPr>
    </w:p>
    <w:p w14:paraId="20280723" w14:textId="4CEED8C6" w:rsidR="006A00E5" w:rsidRPr="00514CC6" w:rsidRDefault="006A00E5" w:rsidP="006A00E5">
      <w:pPr>
        <w:pStyle w:val="ListParagraph"/>
        <w:numPr>
          <w:ilvl w:val="0"/>
          <w:numId w:val="5"/>
        </w:numPr>
        <w:rPr>
          <w:lang w:val="fr-CH"/>
        </w:rPr>
      </w:pPr>
      <w:r w:rsidRPr="00514CC6">
        <w:rPr>
          <w:lang w:val="fr-CH"/>
        </w:rPr>
        <w:t>R</w:t>
      </w:r>
      <w:r w:rsidR="005B558D">
        <w:rPr>
          <w:lang w:val="fr-CH"/>
        </w:rPr>
        <w:t xml:space="preserve">APPELANT </w:t>
      </w:r>
      <w:r w:rsidR="001E1A95">
        <w:rPr>
          <w:lang w:val="fr-CH"/>
        </w:rPr>
        <w:t xml:space="preserve">AUSSI </w:t>
      </w:r>
      <w:r w:rsidR="005B558D">
        <w:rPr>
          <w:lang w:val="fr-CH"/>
        </w:rPr>
        <w:t xml:space="preserve">que la Conférence des Parties contractantes a adopté différentes résolutions </w:t>
      </w:r>
      <w:r w:rsidR="00F76D97">
        <w:rPr>
          <w:lang w:val="fr-CH"/>
        </w:rPr>
        <w:t>dans lesquelles elle reconnaît</w:t>
      </w:r>
      <w:r w:rsidR="005B558D">
        <w:rPr>
          <w:lang w:val="fr-CH"/>
        </w:rPr>
        <w:t xml:space="preserve"> l’importance des IRR pour la promotion des objectifs de la Convention et </w:t>
      </w:r>
      <w:r w:rsidR="00F76D97">
        <w:rPr>
          <w:lang w:val="fr-CH"/>
        </w:rPr>
        <w:t>cherche à</w:t>
      </w:r>
      <w:r w:rsidR="005B558D">
        <w:rPr>
          <w:lang w:val="fr-CH"/>
        </w:rPr>
        <w:t xml:space="preserve"> renforcer les liens entre les IRR et </w:t>
      </w:r>
      <w:r w:rsidR="00F76D97">
        <w:rPr>
          <w:lang w:val="fr-CH"/>
        </w:rPr>
        <w:t>l</w:t>
      </w:r>
      <w:r w:rsidR="005B558D">
        <w:rPr>
          <w:lang w:val="fr-CH"/>
        </w:rPr>
        <w:t xml:space="preserve">es questions qui </w:t>
      </w:r>
      <w:r w:rsidR="00F76D97">
        <w:rPr>
          <w:lang w:val="fr-CH"/>
        </w:rPr>
        <w:t>sont du ressort</w:t>
      </w:r>
      <w:r w:rsidR="005B558D">
        <w:rPr>
          <w:lang w:val="fr-CH"/>
        </w:rPr>
        <w:t xml:space="preserve"> de la Convention ;</w:t>
      </w:r>
      <w:r w:rsidRPr="00514CC6">
        <w:rPr>
          <w:lang w:val="fr-CH"/>
        </w:rPr>
        <w:t xml:space="preserve"> </w:t>
      </w:r>
    </w:p>
    <w:p w14:paraId="3AA696E4" w14:textId="77777777" w:rsidR="006A00E5" w:rsidRPr="00514CC6" w:rsidRDefault="006A00E5" w:rsidP="006A00E5">
      <w:pPr>
        <w:rPr>
          <w:lang w:val="fr-CH"/>
        </w:rPr>
      </w:pPr>
    </w:p>
    <w:p w14:paraId="23F7861E" w14:textId="68CFBEAC" w:rsidR="006A00E5" w:rsidRPr="00514CC6" w:rsidRDefault="005B558D" w:rsidP="006A00E5">
      <w:pPr>
        <w:pStyle w:val="ListParagraph"/>
        <w:numPr>
          <w:ilvl w:val="0"/>
          <w:numId w:val="5"/>
        </w:numPr>
        <w:rPr>
          <w:lang w:val="fr-CH"/>
        </w:rPr>
      </w:pPr>
      <w:r>
        <w:rPr>
          <w:lang w:val="fr-CH"/>
        </w:rPr>
        <w:t xml:space="preserve">RAPPELANT </w:t>
      </w:r>
      <w:r w:rsidR="001E1A95">
        <w:rPr>
          <w:lang w:val="fr-CH"/>
        </w:rPr>
        <w:t xml:space="preserve">ÉGALEMENT </w:t>
      </w:r>
      <w:r>
        <w:rPr>
          <w:lang w:val="fr-CH"/>
        </w:rPr>
        <w:t>qu’à sa 13</w:t>
      </w:r>
      <w:r w:rsidRPr="005B558D">
        <w:rPr>
          <w:vertAlign w:val="superscript"/>
          <w:lang w:val="fr-CH"/>
        </w:rPr>
        <w:t>e</w:t>
      </w:r>
      <w:r>
        <w:rPr>
          <w:lang w:val="fr-CH"/>
        </w:rPr>
        <w:t xml:space="preserve"> session </w:t>
      </w:r>
      <w:r w:rsidR="006A00E5" w:rsidRPr="00514CC6">
        <w:rPr>
          <w:lang w:val="fr-CH"/>
        </w:rPr>
        <w:t xml:space="preserve">(COP13), </w:t>
      </w:r>
      <w:r>
        <w:rPr>
          <w:lang w:val="fr-CH"/>
        </w:rPr>
        <w:t xml:space="preserve">la Conférence des Parties a donné instruction à la conseillère juridique du Secrétariat </w:t>
      </w:r>
      <w:r w:rsidR="00F76D97">
        <w:rPr>
          <w:lang w:val="fr-CH"/>
        </w:rPr>
        <w:t>d’examiner les</w:t>
      </w:r>
      <w:r>
        <w:rPr>
          <w:lang w:val="fr-CH"/>
        </w:rPr>
        <w:t xml:space="preserve"> résolutions, recommandations et décisions pertinentes </w:t>
      </w:r>
      <w:r w:rsidR="00F76D97">
        <w:rPr>
          <w:lang w:val="fr-CH"/>
        </w:rPr>
        <w:t xml:space="preserve">pour </w:t>
      </w:r>
      <w:r>
        <w:rPr>
          <w:lang w:val="fr-CH"/>
        </w:rPr>
        <w:t xml:space="preserve">identifier celles qui ne sont pas conformes à la Résolution </w:t>
      </w:r>
      <w:r w:rsidR="006A00E5" w:rsidRPr="00514CC6">
        <w:rPr>
          <w:lang w:val="fr-CH"/>
        </w:rPr>
        <w:t xml:space="preserve">XIII.9 </w:t>
      </w:r>
      <w:r>
        <w:rPr>
          <w:lang w:val="fr-CH"/>
        </w:rPr>
        <w:t>et aux décisions pertinentes et proposer celles qui sont à supprimer ;</w:t>
      </w:r>
    </w:p>
    <w:p w14:paraId="69E0E5D7" w14:textId="77777777" w:rsidR="006A00E5" w:rsidRPr="00514CC6" w:rsidRDefault="006A00E5" w:rsidP="006A00E5">
      <w:pPr>
        <w:rPr>
          <w:lang w:val="fr-CH"/>
        </w:rPr>
      </w:pPr>
    </w:p>
    <w:p w14:paraId="73DE6B1A" w14:textId="342F0606" w:rsidR="006A00E5" w:rsidRPr="00514CC6" w:rsidRDefault="005B558D" w:rsidP="006A00E5">
      <w:pPr>
        <w:pStyle w:val="ListParagraph"/>
        <w:numPr>
          <w:ilvl w:val="0"/>
          <w:numId w:val="5"/>
        </w:numPr>
        <w:rPr>
          <w:lang w:val="fr-CH"/>
        </w:rPr>
      </w:pPr>
      <w:r>
        <w:rPr>
          <w:lang w:val="fr-CH"/>
        </w:rPr>
        <w:t xml:space="preserve">RAPPELANT </w:t>
      </w:r>
      <w:r w:rsidR="001E1A95">
        <w:rPr>
          <w:lang w:val="fr-CH"/>
        </w:rPr>
        <w:t xml:space="preserve">ENFIN </w:t>
      </w:r>
      <w:r>
        <w:rPr>
          <w:lang w:val="fr-CH"/>
        </w:rPr>
        <w:t xml:space="preserve">qu’à la </w:t>
      </w:r>
      <w:r w:rsidR="006A00E5" w:rsidRPr="00514CC6">
        <w:rPr>
          <w:lang w:val="fr-CH"/>
        </w:rPr>
        <w:t xml:space="preserve">COP13, </w:t>
      </w:r>
      <w:r>
        <w:rPr>
          <w:lang w:val="fr-CH"/>
        </w:rPr>
        <w:t>la Conférence des Parties contractantes, dans la Résolution </w:t>
      </w:r>
      <w:r w:rsidR="006A00E5" w:rsidRPr="00514CC6">
        <w:rPr>
          <w:lang w:val="fr-CH"/>
        </w:rPr>
        <w:t>XIII.9</w:t>
      </w:r>
      <w:r>
        <w:rPr>
          <w:lang w:val="fr-CH"/>
        </w:rPr>
        <w:t>, a rétabli le Groupe de travail sur les Initiatives régionales Ramsar et l’a chargé de ré</w:t>
      </w:r>
      <w:r w:rsidR="00F65A01">
        <w:rPr>
          <w:lang w:val="fr-CH"/>
        </w:rPr>
        <w:t>dig</w:t>
      </w:r>
      <w:r>
        <w:rPr>
          <w:lang w:val="fr-CH"/>
        </w:rPr>
        <w:t>er de nouvell</w:t>
      </w:r>
      <w:r w:rsidR="00F65A01">
        <w:rPr>
          <w:lang w:val="fr-CH"/>
        </w:rPr>
        <w:t xml:space="preserve">es </w:t>
      </w:r>
      <w:r w:rsidR="00F76D97">
        <w:rPr>
          <w:lang w:val="fr-CH"/>
        </w:rPr>
        <w:t>D</w:t>
      </w:r>
      <w:r w:rsidR="00F65A01">
        <w:rPr>
          <w:lang w:val="fr-CH"/>
        </w:rPr>
        <w:t xml:space="preserve">irectives opérationnelles pour les IRR ainsi qu’un projet de résolution sur les IRR </w:t>
      </w:r>
      <w:r w:rsidR="00F76D97">
        <w:rPr>
          <w:lang w:val="fr-CH"/>
        </w:rPr>
        <w:t>contenant</w:t>
      </w:r>
      <w:r w:rsidR="00F65A01">
        <w:rPr>
          <w:lang w:val="fr-CH"/>
        </w:rPr>
        <w:t xml:space="preserve">, entre autres, la liste </w:t>
      </w:r>
      <w:r w:rsidR="00F76D97">
        <w:rPr>
          <w:lang w:val="fr-CH"/>
        </w:rPr>
        <w:t xml:space="preserve">mentionnée plus haut </w:t>
      </w:r>
      <w:r w:rsidR="00F65A01">
        <w:rPr>
          <w:lang w:val="fr-CH"/>
        </w:rPr>
        <w:t xml:space="preserve">de résolutions, recommandations et décisions </w:t>
      </w:r>
      <w:r w:rsidR="00F76D97">
        <w:rPr>
          <w:lang w:val="fr-CH"/>
        </w:rPr>
        <w:t>à supprimer</w:t>
      </w:r>
      <w:r w:rsidR="00F65A01">
        <w:rPr>
          <w:lang w:val="fr-CH"/>
        </w:rPr>
        <w:t xml:space="preserve"> et que les deux textes ont été adoptés à la 59</w:t>
      </w:r>
      <w:r w:rsidR="00F65A01" w:rsidRPr="00F65A01">
        <w:rPr>
          <w:vertAlign w:val="superscript"/>
          <w:lang w:val="fr-CH"/>
        </w:rPr>
        <w:t>e</w:t>
      </w:r>
      <w:r w:rsidR="00F65A01">
        <w:rPr>
          <w:lang w:val="fr-CH"/>
        </w:rPr>
        <w:t xml:space="preserve"> Réunion du Comité permanent ; </w:t>
      </w:r>
      <w:r w:rsidR="006A00E5" w:rsidRPr="00514CC6">
        <w:rPr>
          <w:lang w:val="fr-CH"/>
        </w:rPr>
        <w:t xml:space="preserve">  </w:t>
      </w:r>
    </w:p>
    <w:p w14:paraId="76BF7C6D" w14:textId="77777777" w:rsidR="006A00E5" w:rsidRPr="00514CC6" w:rsidRDefault="006A00E5" w:rsidP="006A00E5">
      <w:pPr>
        <w:rPr>
          <w:lang w:val="fr-CH"/>
        </w:rPr>
      </w:pPr>
    </w:p>
    <w:p w14:paraId="2B1546C1" w14:textId="6D40E77F" w:rsidR="006A00E5" w:rsidRPr="00514CC6" w:rsidRDefault="00F65A01" w:rsidP="006A00E5">
      <w:pPr>
        <w:jc w:val="center"/>
        <w:rPr>
          <w:lang w:val="fr-CH"/>
        </w:rPr>
      </w:pPr>
      <w:r>
        <w:rPr>
          <w:lang w:val="fr-CH"/>
        </w:rPr>
        <w:t>LA CONFÉRENCE DES PARTIES CONTRACTANTES</w:t>
      </w:r>
    </w:p>
    <w:p w14:paraId="6A801D0A" w14:textId="77777777" w:rsidR="006A00E5" w:rsidRPr="00514CC6" w:rsidRDefault="006A00E5" w:rsidP="006A00E5">
      <w:pPr>
        <w:jc w:val="center"/>
        <w:rPr>
          <w:lang w:val="fr-CH"/>
        </w:rPr>
      </w:pPr>
    </w:p>
    <w:p w14:paraId="4FE70730" w14:textId="01E23E40" w:rsidR="006A00E5" w:rsidRPr="00514CC6" w:rsidRDefault="00F65A01" w:rsidP="006A00E5">
      <w:pPr>
        <w:pStyle w:val="ListParagraph"/>
        <w:numPr>
          <w:ilvl w:val="0"/>
          <w:numId w:val="5"/>
        </w:numPr>
        <w:rPr>
          <w:lang w:val="fr-CH"/>
        </w:rPr>
      </w:pPr>
      <w:r>
        <w:rPr>
          <w:lang w:val="fr-CH"/>
        </w:rPr>
        <w:t xml:space="preserve">EXPRIME sa gratitude au Groupe de travail sur les IRR pour </w:t>
      </w:r>
      <w:r w:rsidR="005257C3">
        <w:rPr>
          <w:lang w:val="fr-CH"/>
        </w:rPr>
        <w:t>l</w:t>
      </w:r>
      <w:r>
        <w:rPr>
          <w:lang w:val="fr-CH"/>
        </w:rPr>
        <w:t xml:space="preserve">es efforts </w:t>
      </w:r>
      <w:r w:rsidR="005257C3">
        <w:rPr>
          <w:lang w:val="fr-CH"/>
        </w:rPr>
        <w:t>qu’il a déployés en vue de rédiger</w:t>
      </w:r>
      <w:r>
        <w:rPr>
          <w:lang w:val="fr-CH"/>
        </w:rPr>
        <w:t xml:space="preserve"> de nouvelles Directives opérationnelles pour les IRR.</w:t>
      </w:r>
    </w:p>
    <w:p w14:paraId="6D0B8E42" w14:textId="77777777" w:rsidR="006A00E5" w:rsidRPr="00514CC6" w:rsidRDefault="006A00E5" w:rsidP="006A00E5">
      <w:pPr>
        <w:rPr>
          <w:lang w:val="fr-CH"/>
        </w:rPr>
      </w:pPr>
    </w:p>
    <w:p w14:paraId="6F5D614D" w14:textId="56DE26D3" w:rsidR="006A00E5" w:rsidRPr="00514CC6" w:rsidRDefault="006A00E5" w:rsidP="006A00E5">
      <w:pPr>
        <w:pStyle w:val="ListParagraph"/>
        <w:numPr>
          <w:ilvl w:val="0"/>
          <w:numId w:val="5"/>
        </w:numPr>
        <w:rPr>
          <w:lang w:val="fr-CH"/>
        </w:rPr>
      </w:pPr>
      <w:r w:rsidRPr="00514CC6">
        <w:rPr>
          <w:lang w:val="fr-CH"/>
        </w:rPr>
        <w:t>ADOPT</w:t>
      </w:r>
      <w:r w:rsidR="00F65A01">
        <w:rPr>
          <w:lang w:val="fr-CH"/>
        </w:rPr>
        <w:t xml:space="preserve">E les </w:t>
      </w:r>
      <w:r w:rsidR="005257C3" w:rsidRPr="005257C3">
        <w:rPr>
          <w:i/>
          <w:iCs/>
          <w:lang w:val="fr-CH"/>
        </w:rPr>
        <w:t>Directives</w:t>
      </w:r>
      <w:r w:rsidR="00F65A01" w:rsidRPr="005257C3">
        <w:rPr>
          <w:i/>
          <w:iCs/>
          <w:lang w:val="fr-CH"/>
        </w:rPr>
        <w:t xml:space="preserve"> opérationnelles</w:t>
      </w:r>
      <w:r w:rsidR="00F65A01">
        <w:rPr>
          <w:lang w:val="fr-CH"/>
        </w:rPr>
        <w:t xml:space="preserve"> </w:t>
      </w:r>
      <w:r w:rsidR="00F65A01">
        <w:rPr>
          <w:i/>
          <w:lang w:val="fr-CH"/>
        </w:rPr>
        <w:t>pour les Initiatives régionales Ramsar</w:t>
      </w:r>
      <w:r w:rsidR="00F65A01" w:rsidRPr="00F65A01">
        <w:rPr>
          <w:lang w:val="fr-CH"/>
        </w:rPr>
        <w:t xml:space="preserve">, </w:t>
      </w:r>
      <w:r w:rsidR="005257C3">
        <w:rPr>
          <w:lang w:val="fr-CH"/>
        </w:rPr>
        <w:t>figurant</w:t>
      </w:r>
      <w:r w:rsidR="00F65A01">
        <w:rPr>
          <w:lang w:val="fr-CH"/>
        </w:rPr>
        <w:t xml:space="preserve"> dans l’Annexe 1 de la présente </w:t>
      </w:r>
      <w:r w:rsidR="005257C3">
        <w:rPr>
          <w:lang w:val="fr-CH"/>
        </w:rPr>
        <w:t>R</w:t>
      </w:r>
      <w:r w:rsidR="00F65A01">
        <w:rPr>
          <w:lang w:val="fr-CH"/>
        </w:rPr>
        <w:t>ésolution pour soutenir l’application de la Convention dans la période de </w:t>
      </w:r>
      <w:r w:rsidRPr="00514CC6">
        <w:rPr>
          <w:lang w:val="fr-CH"/>
        </w:rPr>
        <w:t>2022</w:t>
      </w:r>
      <w:r w:rsidR="00F65A01">
        <w:rPr>
          <w:lang w:val="fr-CH"/>
        </w:rPr>
        <w:t xml:space="preserve"> à </w:t>
      </w:r>
      <w:r w:rsidRPr="00514CC6">
        <w:rPr>
          <w:lang w:val="fr-CH"/>
        </w:rPr>
        <w:t>2024</w:t>
      </w:r>
      <w:r w:rsidR="005257C3">
        <w:rPr>
          <w:lang w:val="fr-CH"/>
        </w:rPr>
        <w:t>,</w:t>
      </w:r>
      <w:r w:rsidRPr="00514CC6">
        <w:rPr>
          <w:lang w:val="fr-CH"/>
        </w:rPr>
        <w:t xml:space="preserve"> </w:t>
      </w:r>
      <w:r w:rsidR="00F65A01">
        <w:rPr>
          <w:lang w:val="fr-CH"/>
        </w:rPr>
        <w:t>qui servir</w:t>
      </w:r>
      <w:r w:rsidR="005257C3">
        <w:rPr>
          <w:lang w:val="fr-CH"/>
        </w:rPr>
        <w:t>ont</w:t>
      </w:r>
      <w:r w:rsidR="00F65A01">
        <w:rPr>
          <w:lang w:val="fr-CH"/>
        </w:rPr>
        <w:t xml:space="preserve"> de référence pour évaluer le fonctionnement des Initiatives régionales Ramsar et leur réussite. </w:t>
      </w:r>
      <w:r w:rsidR="005257C3">
        <w:rPr>
          <w:lang w:val="fr-CH"/>
        </w:rPr>
        <w:t>C</w:t>
      </w:r>
      <w:r w:rsidR="00F65A01">
        <w:rPr>
          <w:lang w:val="fr-CH"/>
        </w:rPr>
        <w:t xml:space="preserve">es Directives opérationnelles remplacent les Directives opérationnelles adoptées en 2016 dans la Décision </w:t>
      </w:r>
      <w:r w:rsidRPr="00514CC6">
        <w:rPr>
          <w:lang w:val="fr-CH"/>
        </w:rPr>
        <w:t>SC52-16</w:t>
      </w:r>
      <w:r w:rsidR="001E1A95">
        <w:rPr>
          <w:lang w:val="fr-CH"/>
        </w:rPr>
        <w:t>.</w:t>
      </w:r>
    </w:p>
    <w:p w14:paraId="6C6AB364" w14:textId="77777777" w:rsidR="006A00E5" w:rsidRPr="00514CC6" w:rsidRDefault="006A00E5" w:rsidP="006A00E5">
      <w:pPr>
        <w:jc w:val="center"/>
        <w:rPr>
          <w:lang w:val="fr-CH"/>
        </w:rPr>
      </w:pPr>
    </w:p>
    <w:p w14:paraId="5470FD3C" w14:textId="2384466B" w:rsidR="006A00E5" w:rsidRPr="00514CC6" w:rsidRDefault="006A00E5" w:rsidP="006A00E5">
      <w:pPr>
        <w:pStyle w:val="ListParagraph"/>
        <w:numPr>
          <w:ilvl w:val="0"/>
          <w:numId w:val="5"/>
        </w:numPr>
        <w:rPr>
          <w:lang w:val="fr-CH"/>
        </w:rPr>
      </w:pPr>
      <w:r w:rsidRPr="00514CC6">
        <w:rPr>
          <w:lang w:val="fr-CH"/>
        </w:rPr>
        <w:t>R</w:t>
      </w:r>
      <w:r w:rsidR="00F65A01">
        <w:rPr>
          <w:lang w:val="fr-CH"/>
        </w:rPr>
        <w:t xml:space="preserve">ÉAFFIRME </w:t>
      </w:r>
      <w:r w:rsidR="0051004C">
        <w:rPr>
          <w:lang w:val="fr-CH"/>
        </w:rPr>
        <w:t xml:space="preserve">l’efficacité de la coopération régionale dans le cadre des réseaux et des centres regroupés sous le terme IRR, pour appuyer </w:t>
      </w:r>
      <w:r w:rsidR="00C97A34">
        <w:rPr>
          <w:lang w:val="fr-CH"/>
        </w:rPr>
        <w:t>l’application</w:t>
      </w:r>
      <w:r w:rsidR="0051004C">
        <w:rPr>
          <w:lang w:val="fr-CH"/>
        </w:rPr>
        <w:t xml:space="preserve"> améliorée de la Convention sur les zones humides, de son Plan stratégique et de ses Résolutions.  </w:t>
      </w:r>
    </w:p>
    <w:p w14:paraId="0DAFD505" w14:textId="77777777" w:rsidR="006A00E5" w:rsidRPr="00514CC6" w:rsidRDefault="006A00E5" w:rsidP="006A00E5">
      <w:pPr>
        <w:rPr>
          <w:lang w:val="fr-CH"/>
        </w:rPr>
      </w:pPr>
    </w:p>
    <w:p w14:paraId="2D8BDBB6" w14:textId="40DE2C5C" w:rsidR="006A00E5" w:rsidRPr="00514CC6" w:rsidRDefault="006A00E5" w:rsidP="006A00E5">
      <w:pPr>
        <w:pStyle w:val="ListParagraph"/>
        <w:numPr>
          <w:ilvl w:val="0"/>
          <w:numId w:val="5"/>
        </w:numPr>
        <w:rPr>
          <w:lang w:val="fr-CH"/>
        </w:rPr>
      </w:pPr>
      <w:r w:rsidRPr="00514CC6">
        <w:rPr>
          <w:lang w:val="fr-CH"/>
        </w:rPr>
        <w:t xml:space="preserve">ENCOURAGE </w:t>
      </w:r>
      <w:r w:rsidR="0051004C">
        <w:rPr>
          <w:lang w:val="fr-CH"/>
        </w:rPr>
        <w:t xml:space="preserve">les Parties contractantes, selon qu’il convient, à inviter les organisations régionales intergouvernementales, internationales et non gouvernementales, les organisations de peuples autochtones et les communautés locales ainsi que les organisations </w:t>
      </w:r>
      <w:r w:rsidR="00C97A34">
        <w:rPr>
          <w:lang w:val="fr-CH"/>
        </w:rPr>
        <w:t>de gestion des</w:t>
      </w:r>
      <w:r w:rsidR="0051004C">
        <w:rPr>
          <w:lang w:val="fr-CH"/>
        </w:rPr>
        <w:t xml:space="preserve"> bassins hydrographiques et</w:t>
      </w:r>
      <w:r w:rsidR="00C97A34">
        <w:rPr>
          <w:lang w:val="fr-CH"/>
        </w:rPr>
        <w:t xml:space="preserve"> </w:t>
      </w:r>
      <w:r w:rsidR="0051004C">
        <w:rPr>
          <w:lang w:val="fr-CH"/>
        </w:rPr>
        <w:t xml:space="preserve">eaux souterraines transfrontaliers à participer aux IRR et à collaborer avec elles.  </w:t>
      </w:r>
    </w:p>
    <w:p w14:paraId="6978A61D" w14:textId="77777777" w:rsidR="006A00E5" w:rsidRPr="00514CC6" w:rsidRDefault="006A00E5" w:rsidP="006A00E5">
      <w:pPr>
        <w:rPr>
          <w:lang w:val="fr-CH"/>
        </w:rPr>
      </w:pPr>
    </w:p>
    <w:p w14:paraId="54898DEF" w14:textId="08060154" w:rsidR="006A00E5" w:rsidRPr="00514CC6" w:rsidRDefault="000D4F80" w:rsidP="006A00E5">
      <w:pPr>
        <w:pStyle w:val="ListParagraph"/>
        <w:numPr>
          <w:ilvl w:val="0"/>
          <w:numId w:val="5"/>
        </w:numPr>
        <w:rPr>
          <w:lang w:val="fr-CH"/>
        </w:rPr>
      </w:pPr>
      <w:r>
        <w:rPr>
          <w:lang w:val="fr-CH"/>
        </w:rPr>
        <w:lastRenderedPageBreak/>
        <w:t>PREND ACTE de la possibilité de coopérer</w:t>
      </w:r>
      <w:r w:rsidR="0051004C">
        <w:rPr>
          <w:lang w:val="fr-CH"/>
        </w:rPr>
        <w:t xml:space="preserve"> dans le cadre des IRR, dans les écosystèmes de zones humides ou les bassins versants </w:t>
      </w:r>
      <w:r>
        <w:rPr>
          <w:lang w:val="fr-CH"/>
        </w:rPr>
        <w:t>que</w:t>
      </w:r>
      <w:r w:rsidR="0051004C">
        <w:rPr>
          <w:lang w:val="fr-CH"/>
        </w:rPr>
        <w:t xml:space="preserve"> les Part</w:t>
      </w:r>
      <w:r w:rsidR="00006DE6">
        <w:rPr>
          <w:lang w:val="fr-CH"/>
        </w:rPr>
        <w:t>ies contractantes</w:t>
      </w:r>
      <w:r>
        <w:rPr>
          <w:lang w:val="fr-CH"/>
        </w:rPr>
        <w:t xml:space="preserve"> ont en partage, qui</w:t>
      </w:r>
      <w:r w:rsidR="00006DE6">
        <w:rPr>
          <w:lang w:val="fr-CH"/>
        </w:rPr>
        <w:t xml:space="preserve"> permet d’avoir une vision </w:t>
      </w:r>
      <w:r>
        <w:rPr>
          <w:lang w:val="fr-CH"/>
        </w:rPr>
        <w:t>globale</w:t>
      </w:r>
      <w:r w:rsidR="00006DE6">
        <w:rPr>
          <w:lang w:val="fr-CH"/>
        </w:rPr>
        <w:t xml:space="preserve"> du territoire, </w:t>
      </w:r>
      <w:r>
        <w:rPr>
          <w:lang w:val="fr-CH"/>
        </w:rPr>
        <w:t>favorisant</w:t>
      </w:r>
      <w:r w:rsidR="00006DE6">
        <w:rPr>
          <w:lang w:val="fr-CH"/>
        </w:rPr>
        <w:t xml:space="preserve"> le dialogue, la coordination et la coopération entre les Parties impliquées. </w:t>
      </w:r>
    </w:p>
    <w:p w14:paraId="3C16FD24" w14:textId="77777777" w:rsidR="006A00E5" w:rsidRPr="00514CC6" w:rsidRDefault="006A00E5" w:rsidP="006A00E5">
      <w:pPr>
        <w:rPr>
          <w:lang w:val="fr-CH"/>
        </w:rPr>
      </w:pPr>
    </w:p>
    <w:p w14:paraId="58FA1675" w14:textId="30116E00" w:rsidR="006A00E5" w:rsidRPr="00514CC6" w:rsidRDefault="006A00E5" w:rsidP="006A00E5">
      <w:pPr>
        <w:pStyle w:val="ListParagraph"/>
        <w:numPr>
          <w:ilvl w:val="0"/>
          <w:numId w:val="5"/>
        </w:numPr>
        <w:rPr>
          <w:lang w:val="fr-CH"/>
        </w:rPr>
      </w:pPr>
      <w:r w:rsidRPr="00514CC6">
        <w:rPr>
          <w:lang w:val="fr-CH"/>
        </w:rPr>
        <w:t>NOTE</w:t>
      </w:r>
      <w:r w:rsidR="00006DE6">
        <w:rPr>
          <w:lang w:val="fr-CH"/>
        </w:rPr>
        <w:t xml:space="preserve"> que dialogue et coordination</w:t>
      </w:r>
      <w:r w:rsidR="00427E55">
        <w:rPr>
          <w:lang w:val="fr-CH"/>
        </w:rPr>
        <w:t xml:space="preserve"> sont en cours e</w:t>
      </w:r>
      <w:r w:rsidR="00006DE6">
        <w:rPr>
          <w:lang w:val="fr-CH"/>
        </w:rPr>
        <w:t xml:space="preserve">ntre la Bolivie, le Brésil et le </w:t>
      </w:r>
      <w:r w:rsidRPr="00514CC6">
        <w:rPr>
          <w:lang w:val="fr-CH"/>
        </w:rPr>
        <w:t>Paraguay</w:t>
      </w:r>
      <w:r w:rsidR="00006DE6">
        <w:rPr>
          <w:lang w:val="fr-CH"/>
        </w:rPr>
        <w:t xml:space="preserve">, </w:t>
      </w:r>
      <w:r w:rsidR="00427E55">
        <w:rPr>
          <w:lang w:val="fr-CH"/>
        </w:rPr>
        <w:t xml:space="preserve">pour faire naître </w:t>
      </w:r>
      <w:r w:rsidR="00006DE6">
        <w:rPr>
          <w:lang w:val="fr-CH"/>
        </w:rPr>
        <w:t xml:space="preserve">une vision intégrée pour la région du </w:t>
      </w:r>
      <w:r w:rsidRPr="00514CC6">
        <w:rPr>
          <w:lang w:val="fr-CH"/>
        </w:rPr>
        <w:t>Pantanal</w:t>
      </w:r>
      <w:r w:rsidR="00006DE6">
        <w:rPr>
          <w:lang w:val="fr-CH"/>
        </w:rPr>
        <w:t xml:space="preserve"> ; et ENCOURAGE l’intégration de cette vision dans l’IRR </w:t>
      </w:r>
      <w:r w:rsidR="00427AC5" w:rsidRPr="00427AC5">
        <w:rPr>
          <w:lang w:val="fr-CH"/>
        </w:rPr>
        <w:t>pour la conservation et l’utilisation rationnelle du bassin du Río de la Plata</w:t>
      </w:r>
      <w:r w:rsidR="00006DE6">
        <w:rPr>
          <w:lang w:val="fr-CH"/>
        </w:rPr>
        <w:t xml:space="preserve">, en coordination avec l’Argentine et l’Uruguay. </w:t>
      </w:r>
      <w:r w:rsidRPr="00514CC6">
        <w:rPr>
          <w:lang w:val="fr-CH"/>
        </w:rPr>
        <w:t xml:space="preserve"> </w:t>
      </w:r>
    </w:p>
    <w:p w14:paraId="0D3C722E" w14:textId="77777777" w:rsidR="006A00E5" w:rsidRPr="00514CC6" w:rsidRDefault="006A00E5" w:rsidP="006A00E5">
      <w:pPr>
        <w:rPr>
          <w:lang w:val="fr-CH"/>
        </w:rPr>
      </w:pPr>
    </w:p>
    <w:p w14:paraId="62F502DC" w14:textId="1F907418" w:rsidR="006A00E5" w:rsidRPr="00514CC6" w:rsidRDefault="006A00E5" w:rsidP="006A00E5">
      <w:pPr>
        <w:pStyle w:val="ListParagraph"/>
        <w:numPr>
          <w:ilvl w:val="0"/>
          <w:numId w:val="5"/>
        </w:numPr>
        <w:rPr>
          <w:lang w:val="fr-CH"/>
        </w:rPr>
      </w:pPr>
      <w:r w:rsidRPr="00514CC6">
        <w:rPr>
          <w:lang w:val="fr-CH"/>
        </w:rPr>
        <w:t>D</w:t>
      </w:r>
      <w:r w:rsidR="00006DE6">
        <w:rPr>
          <w:lang w:val="fr-CH"/>
        </w:rPr>
        <w:t xml:space="preserve">ÉCIDE que la Conférence des Parties contractantes doit </w:t>
      </w:r>
      <w:r w:rsidR="00133864">
        <w:rPr>
          <w:lang w:val="fr-CH"/>
        </w:rPr>
        <w:t>examiner</w:t>
      </w:r>
      <w:r w:rsidR="00006DE6">
        <w:rPr>
          <w:lang w:val="fr-CH"/>
        </w:rPr>
        <w:t xml:space="preserve"> les IRR existantes en fonction des Directives opérationnelles pour les Initiatives régionales Ramsar et des critères énoncés dans le présent paragraphe à </w:t>
      </w:r>
      <w:r w:rsidRPr="00514CC6">
        <w:rPr>
          <w:lang w:val="fr-CH"/>
        </w:rPr>
        <w:t>[</w:t>
      </w:r>
      <w:r w:rsidR="00006DE6">
        <w:rPr>
          <w:lang w:val="fr-CH"/>
        </w:rPr>
        <w:t>chaque session de</w:t>
      </w:r>
      <w:r w:rsidRPr="00514CC6">
        <w:rPr>
          <w:lang w:val="fr-CH"/>
        </w:rPr>
        <w:t>]</w:t>
      </w:r>
      <w:r w:rsidR="00006DE6">
        <w:rPr>
          <w:lang w:val="fr-CH"/>
        </w:rPr>
        <w:t xml:space="preserve"> la</w:t>
      </w:r>
      <w:r w:rsidRPr="00514CC6">
        <w:rPr>
          <w:lang w:val="fr-CH"/>
        </w:rPr>
        <w:t xml:space="preserve"> [COP14]</w:t>
      </w:r>
      <w:r w:rsidR="00BB3D89">
        <w:rPr>
          <w:lang w:val="fr-CH"/>
        </w:rPr>
        <w:t xml:space="preserve"> </w:t>
      </w:r>
      <w:r w:rsidRPr="00514CC6">
        <w:rPr>
          <w:lang w:val="fr-CH"/>
        </w:rPr>
        <w:t>[Conf</w:t>
      </w:r>
      <w:r w:rsidR="00006DE6">
        <w:rPr>
          <w:lang w:val="fr-CH"/>
        </w:rPr>
        <w:t>érence des Parties contractantes</w:t>
      </w:r>
      <w:r w:rsidRPr="00514CC6">
        <w:rPr>
          <w:lang w:val="fr-CH"/>
        </w:rPr>
        <w:t xml:space="preserve">] </w:t>
      </w:r>
      <w:r w:rsidR="00006DE6">
        <w:rPr>
          <w:lang w:val="fr-CH"/>
        </w:rPr>
        <w:t xml:space="preserve">pour déterminer si </w:t>
      </w:r>
      <w:r w:rsidR="00133864">
        <w:rPr>
          <w:lang w:val="fr-CH"/>
        </w:rPr>
        <w:t xml:space="preserve">elles peuvent être acceptées comme </w:t>
      </w:r>
      <w:r w:rsidR="00006DE6">
        <w:rPr>
          <w:lang w:val="fr-CH"/>
        </w:rPr>
        <w:t>fonctionn</w:t>
      </w:r>
      <w:r w:rsidR="00133864">
        <w:rPr>
          <w:lang w:val="fr-CH"/>
        </w:rPr>
        <w:t>a</w:t>
      </w:r>
      <w:r w:rsidR="00006DE6">
        <w:rPr>
          <w:lang w:val="fr-CH"/>
        </w:rPr>
        <w:t xml:space="preserve">nt dans le cadre de la Convention ; DÉCIDE EN OUTRE que le Comité permanent doit exercer cette fonction </w:t>
      </w:r>
      <w:r w:rsidR="003B3444">
        <w:rPr>
          <w:lang w:val="fr-CH"/>
        </w:rPr>
        <w:t>dans l’</w:t>
      </w:r>
      <w:r w:rsidR="00006DE6">
        <w:rPr>
          <w:lang w:val="fr-CH"/>
        </w:rPr>
        <w:t xml:space="preserve">intersessions. </w:t>
      </w:r>
      <w:r w:rsidR="00006DE6">
        <w:rPr>
          <w:rFonts w:cs="Calibri"/>
          <w:lang w:val="fr-CH"/>
        </w:rPr>
        <w:t>[</w:t>
      </w:r>
      <w:r w:rsidR="00006DE6">
        <w:rPr>
          <w:lang w:val="fr-CH"/>
        </w:rPr>
        <w:t>Le Comité permanent avec l’aide du Secrétariat mène également un suivi des effets des nouvelles Directives opérationnelles et suggère</w:t>
      </w:r>
      <w:r w:rsidR="001E1A95">
        <w:rPr>
          <w:lang w:val="fr-CH"/>
        </w:rPr>
        <w:t>,</w:t>
      </w:r>
      <w:r w:rsidR="001E1A95" w:rsidRPr="001E1A95">
        <w:rPr>
          <w:lang w:val="fr-CH"/>
        </w:rPr>
        <w:t xml:space="preserve"> </w:t>
      </w:r>
      <w:r w:rsidR="001E1A95">
        <w:rPr>
          <w:lang w:val="fr-CH"/>
        </w:rPr>
        <w:t xml:space="preserve">à la </w:t>
      </w:r>
      <w:r w:rsidR="001E1A95" w:rsidRPr="00514CC6">
        <w:rPr>
          <w:lang w:val="fr-CH"/>
        </w:rPr>
        <w:t>COP15</w:t>
      </w:r>
      <w:r w:rsidR="001E1A95">
        <w:rPr>
          <w:lang w:val="fr-CH"/>
        </w:rPr>
        <w:t>,</w:t>
      </w:r>
      <w:r w:rsidR="00006DE6">
        <w:rPr>
          <w:lang w:val="fr-CH"/>
        </w:rPr>
        <w:t xml:space="preserve"> des amendements possibles </w:t>
      </w:r>
      <w:r w:rsidR="003B3444">
        <w:rPr>
          <w:lang w:val="fr-CH"/>
        </w:rPr>
        <w:t>et profonds</w:t>
      </w:r>
      <w:r w:rsidRPr="00514CC6">
        <w:rPr>
          <w:lang w:val="fr-CH"/>
        </w:rPr>
        <w:t xml:space="preserve">]. </w:t>
      </w:r>
      <w:r w:rsidR="00006DE6">
        <w:rPr>
          <w:lang w:val="fr-CH"/>
        </w:rPr>
        <w:t>Les critères basés sur la Résolution </w:t>
      </w:r>
      <w:r w:rsidRPr="00514CC6">
        <w:rPr>
          <w:lang w:val="fr-CH"/>
        </w:rPr>
        <w:t xml:space="preserve">XIII.9 </w:t>
      </w:r>
      <w:r w:rsidR="00006DE6">
        <w:rPr>
          <w:lang w:val="fr-CH"/>
        </w:rPr>
        <w:t>sont les suivants :</w:t>
      </w:r>
    </w:p>
    <w:p w14:paraId="6C7B9BF1" w14:textId="77777777" w:rsidR="006A00E5" w:rsidRPr="00514CC6" w:rsidRDefault="006A00E5" w:rsidP="006A00E5">
      <w:pPr>
        <w:rPr>
          <w:lang w:val="fr-CH"/>
        </w:rPr>
      </w:pPr>
    </w:p>
    <w:p w14:paraId="5D1A6D93" w14:textId="595F0673" w:rsidR="006A00E5" w:rsidRPr="00514CC6" w:rsidRDefault="001149F8" w:rsidP="006A00E5">
      <w:pPr>
        <w:pStyle w:val="ListParagraph"/>
        <w:numPr>
          <w:ilvl w:val="0"/>
          <w:numId w:val="3"/>
        </w:numPr>
        <w:tabs>
          <w:tab w:val="left" w:pos="993"/>
        </w:tabs>
        <w:ind w:left="993" w:hanging="273"/>
        <w:contextualSpacing w:val="0"/>
        <w:rPr>
          <w:lang w:val="fr-CH"/>
        </w:rPr>
      </w:pPr>
      <w:r>
        <w:rPr>
          <w:lang w:val="fr-CH"/>
        </w:rPr>
        <w:t>les IRR ré</w:t>
      </w:r>
      <w:r w:rsidR="003B3444">
        <w:rPr>
          <w:lang w:val="fr-CH"/>
        </w:rPr>
        <w:t>digent</w:t>
      </w:r>
      <w:r>
        <w:rPr>
          <w:lang w:val="fr-CH"/>
        </w:rPr>
        <w:t xml:space="preserve"> leur cahier des charges qui est conforme aux résolutions et </w:t>
      </w:r>
      <w:r w:rsidR="001E1A95">
        <w:rPr>
          <w:lang w:val="fr-CH"/>
        </w:rPr>
        <w:t>R</w:t>
      </w:r>
      <w:r>
        <w:rPr>
          <w:lang w:val="fr-CH"/>
        </w:rPr>
        <w:t xml:space="preserve">ecommandations pertinentes de la Conférence des Parties contractantes et aux </w:t>
      </w:r>
      <w:r w:rsidR="001E1A95">
        <w:rPr>
          <w:lang w:val="fr-CH"/>
        </w:rPr>
        <w:t>D</w:t>
      </w:r>
      <w:r>
        <w:rPr>
          <w:lang w:val="fr-CH"/>
        </w:rPr>
        <w:t xml:space="preserve">écisions du Comité permanent. </w:t>
      </w:r>
      <w:r w:rsidR="002327D9">
        <w:rPr>
          <w:lang w:val="fr-CH"/>
        </w:rPr>
        <w:t xml:space="preserve">Ce cahier des charges contient leur règlement intérieur, </w:t>
      </w:r>
      <w:r w:rsidR="003B3444">
        <w:rPr>
          <w:lang w:val="fr-CH"/>
        </w:rPr>
        <w:t>leur</w:t>
      </w:r>
      <w:r w:rsidR="001E1A95">
        <w:rPr>
          <w:lang w:val="fr-CH"/>
        </w:rPr>
        <w:t>s</w:t>
      </w:r>
      <w:r w:rsidR="003B3444">
        <w:rPr>
          <w:lang w:val="fr-CH"/>
        </w:rPr>
        <w:t xml:space="preserve"> </w:t>
      </w:r>
      <w:r w:rsidR="002327D9">
        <w:rPr>
          <w:lang w:val="fr-CH"/>
        </w:rPr>
        <w:t xml:space="preserve">structures, </w:t>
      </w:r>
      <w:r w:rsidR="003B3444">
        <w:rPr>
          <w:lang w:val="fr-CH"/>
        </w:rPr>
        <w:t xml:space="preserve">leur </w:t>
      </w:r>
      <w:r w:rsidR="002327D9">
        <w:rPr>
          <w:lang w:val="fr-CH"/>
        </w:rPr>
        <w:t xml:space="preserve">gouvernance et </w:t>
      </w:r>
      <w:r w:rsidR="003B3444">
        <w:rPr>
          <w:lang w:val="fr-CH"/>
        </w:rPr>
        <w:t xml:space="preserve">leur </w:t>
      </w:r>
      <w:r w:rsidR="002327D9">
        <w:rPr>
          <w:lang w:val="fr-CH"/>
        </w:rPr>
        <w:t>composition, y compris le statut de la participation du Secrétariat de la Convention à l’IRR ;</w:t>
      </w:r>
    </w:p>
    <w:p w14:paraId="59EA9883" w14:textId="1BD1C428" w:rsidR="006A00E5" w:rsidRPr="00514CC6" w:rsidRDefault="002327D9" w:rsidP="006A00E5">
      <w:pPr>
        <w:pStyle w:val="ListParagraph"/>
        <w:numPr>
          <w:ilvl w:val="0"/>
          <w:numId w:val="3"/>
        </w:numPr>
        <w:tabs>
          <w:tab w:val="left" w:pos="993"/>
        </w:tabs>
        <w:ind w:left="993" w:hanging="284"/>
        <w:contextualSpacing w:val="0"/>
        <w:rPr>
          <w:lang w:val="fr-CH"/>
        </w:rPr>
      </w:pPr>
      <w:r>
        <w:rPr>
          <w:lang w:val="fr-CH"/>
        </w:rPr>
        <w:t xml:space="preserve">les structures et activités de gouvernance financière des IRR doivent être transparentes, responsables, conformes aux lois pertinentes et aux </w:t>
      </w:r>
      <w:r w:rsidR="001E1A95">
        <w:rPr>
          <w:lang w:val="fr-CH"/>
        </w:rPr>
        <w:t>R</w:t>
      </w:r>
      <w:r>
        <w:rPr>
          <w:lang w:val="fr-CH"/>
        </w:rPr>
        <w:t xml:space="preserve">ésolutions et </w:t>
      </w:r>
      <w:r w:rsidR="001E1A95">
        <w:rPr>
          <w:lang w:val="fr-CH"/>
        </w:rPr>
        <w:t>R</w:t>
      </w:r>
      <w:r>
        <w:rPr>
          <w:lang w:val="fr-CH"/>
        </w:rPr>
        <w:t xml:space="preserve">ecommandations pertinentes de la Conférence des Parties contractantes et </w:t>
      </w:r>
      <w:r w:rsidR="001E1A95">
        <w:rPr>
          <w:lang w:val="fr-CH"/>
        </w:rPr>
        <w:t>D</w:t>
      </w:r>
      <w:r>
        <w:rPr>
          <w:lang w:val="fr-CH"/>
        </w:rPr>
        <w:t>écisions du Comité permanent ;</w:t>
      </w:r>
      <w:r w:rsidR="006A00E5" w:rsidRPr="00514CC6">
        <w:rPr>
          <w:lang w:val="fr-CH"/>
        </w:rPr>
        <w:t xml:space="preserve"> </w:t>
      </w:r>
    </w:p>
    <w:p w14:paraId="7C8F6961" w14:textId="17C8C7FD" w:rsidR="006A00E5" w:rsidRPr="00514CC6" w:rsidRDefault="006A00E5" w:rsidP="00514CC6">
      <w:pPr>
        <w:ind w:left="993" w:hanging="284"/>
        <w:rPr>
          <w:lang w:val="fr-CH"/>
        </w:rPr>
      </w:pPr>
      <w:r w:rsidRPr="00514CC6">
        <w:rPr>
          <w:lang w:val="fr-CH"/>
        </w:rPr>
        <w:t>c</w:t>
      </w:r>
      <w:r w:rsidR="00627632">
        <w:rPr>
          <w:lang w:val="fr-CH"/>
        </w:rPr>
        <w:t>)</w:t>
      </w:r>
      <w:r w:rsidR="00514CC6">
        <w:rPr>
          <w:lang w:val="fr-CH"/>
        </w:rPr>
        <w:tab/>
      </w:r>
      <w:r w:rsidR="002327D9">
        <w:rPr>
          <w:lang w:val="fr-CH"/>
        </w:rPr>
        <w:t>les IRR doivent entreprendre des tâches relatives à la mise en œuvre de la Convention et de son Plan stratégique dans leur région et ne peuvent s’exprimer qu’en leur propre nom en utilisant seulement leur propre logo pour éviter toute confusion entre les IRR, les Autorités administratives Ramsar au niveau national et le Secrétariat au niveau international ;</w:t>
      </w:r>
    </w:p>
    <w:p w14:paraId="24CAA0BB" w14:textId="117C8110" w:rsidR="006A00E5" w:rsidRPr="00514CC6" w:rsidRDefault="006A00E5" w:rsidP="006A00E5">
      <w:pPr>
        <w:tabs>
          <w:tab w:val="left" w:pos="1276"/>
        </w:tabs>
        <w:ind w:left="993" w:hanging="284"/>
        <w:rPr>
          <w:lang w:val="fr-CH"/>
        </w:rPr>
      </w:pPr>
      <w:r w:rsidRPr="00514CC6">
        <w:rPr>
          <w:lang w:val="fr-CH"/>
        </w:rPr>
        <w:t>d</w:t>
      </w:r>
      <w:r w:rsidR="00627632">
        <w:rPr>
          <w:lang w:val="fr-CH"/>
        </w:rPr>
        <w:t>)</w:t>
      </w:r>
      <w:r w:rsidR="00514CC6">
        <w:rPr>
          <w:lang w:val="fr-CH"/>
        </w:rPr>
        <w:tab/>
      </w:r>
      <w:r w:rsidR="002327D9">
        <w:rPr>
          <w:lang w:val="fr-CH"/>
        </w:rPr>
        <w:t xml:space="preserve">les IRR doivent soumettre au Secrétariat, en respectant la présentation indiquée dans l’Annexe 4 et approuvée par le Comité permanent, sur une base annuelle : </w:t>
      </w:r>
    </w:p>
    <w:p w14:paraId="0C84EE65" w14:textId="23466ADE" w:rsidR="006A00E5" w:rsidRPr="00514CC6" w:rsidRDefault="002327D9" w:rsidP="006A00E5">
      <w:pPr>
        <w:pStyle w:val="ListParagraph"/>
        <w:numPr>
          <w:ilvl w:val="1"/>
          <w:numId w:val="3"/>
        </w:numPr>
        <w:ind w:left="1276" w:hanging="125"/>
        <w:contextualSpacing w:val="0"/>
        <w:rPr>
          <w:lang w:val="fr-CH"/>
        </w:rPr>
      </w:pPr>
      <w:r>
        <w:rPr>
          <w:lang w:val="fr-CH"/>
        </w:rPr>
        <w:t xml:space="preserve"> </w:t>
      </w:r>
      <w:r>
        <w:rPr>
          <w:lang w:val="fr-CH"/>
        </w:rPr>
        <w:tab/>
        <w:t xml:space="preserve">la description de </w:t>
      </w:r>
      <w:r w:rsidR="003B3444">
        <w:rPr>
          <w:lang w:val="fr-CH"/>
        </w:rPr>
        <w:t>la manière dont elles respectent les</w:t>
      </w:r>
      <w:r>
        <w:rPr>
          <w:lang w:val="fr-CH"/>
        </w:rPr>
        <w:t xml:space="preserve"> alinéas a, b et c ;</w:t>
      </w:r>
      <w:r w:rsidR="006A00E5" w:rsidRPr="00514CC6">
        <w:rPr>
          <w:lang w:val="fr-CH"/>
        </w:rPr>
        <w:t xml:space="preserve"> </w:t>
      </w:r>
    </w:p>
    <w:p w14:paraId="62BA3E9A" w14:textId="7EACD03C" w:rsidR="006A00E5" w:rsidRPr="00514CC6" w:rsidRDefault="002327D9" w:rsidP="006A00E5">
      <w:pPr>
        <w:pStyle w:val="ListParagraph"/>
        <w:numPr>
          <w:ilvl w:val="1"/>
          <w:numId w:val="3"/>
        </w:numPr>
        <w:ind w:left="1276" w:hanging="125"/>
        <w:contextualSpacing w:val="0"/>
        <w:rPr>
          <w:lang w:val="fr-CH"/>
        </w:rPr>
      </w:pPr>
      <w:r>
        <w:rPr>
          <w:lang w:val="fr-CH"/>
        </w:rPr>
        <w:t xml:space="preserve">un rapport de situation sur leurs travaux ; </w:t>
      </w:r>
      <w:r w:rsidR="006A00E5" w:rsidRPr="00514CC6">
        <w:rPr>
          <w:lang w:val="fr-CH"/>
        </w:rPr>
        <w:t xml:space="preserve"> </w:t>
      </w:r>
    </w:p>
    <w:p w14:paraId="1E0096B4" w14:textId="4ADD4EF7" w:rsidR="006A00E5" w:rsidRPr="00514CC6" w:rsidRDefault="002327D9" w:rsidP="006A00E5">
      <w:pPr>
        <w:pStyle w:val="ListParagraph"/>
        <w:numPr>
          <w:ilvl w:val="1"/>
          <w:numId w:val="3"/>
        </w:numPr>
        <w:ind w:left="1276" w:hanging="125"/>
        <w:contextualSpacing w:val="0"/>
        <w:rPr>
          <w:lang w:val="fr-CH"/>
        </w:rPr>
      </w:pPr>
      <w:r>
        <w:rPr>
          <w:rFonts w:cs="Calibri"/>
          <w:lang w:val="fr-CH"/>
        </w:rPr>
        <w:t xml:space="preserve">un résumé financier de fin d’année ; et </w:t>
      </w:r>
    </w:p>
    <w:p w14:paraId="17A23B6E" w14:textId="326341E1" w:rsidR="006A00E5" w:rsidRPr="00514CC6" w:rsidRDefault="002327D9" w:rsidP="006A00E5">
      <w:pPr>
        <w:pStyle w:val="ListParagraph"/>
        <w:numPr>
          <w:ilvl w:val="1"/>
          <w:numId w:val="3"/>
        </w:numPr>
        <w:ind w:left="1276" w:hanging="125"/>
        <w:contextualSpacing w:val="0"/>
        <w:rPr>
          <w:lang w:val="fr-CH"/>
        </w:rPr>
      </w:pPr>
      <w:r>
        <w:rPr>
          <w:lang w:val="fr-CH"/>
        </w:rPr>
        <w:t xml:space="preserve">un plan de travail et un budget pour l’année suivante. </w:t>
      </w:r>
      <w:r w:rsidR="006A00E5" w:rsidRPr="00514CC6">
        <w:rPr>
          <w:lang w:val="fr-CH"/>
        </w:rPr>
        <w:t xml:space="preserve"> </w:t>
      </w:r>
    </w:p>
    <w:p w14:paraId="22398504" w14:textId="77777777" w:rsidR="006A00E5" w:rsidRPr="00514CC6" w:rsidRDefault="006A00E5" w:rsidP="006A00E5">
      <w:pPr>
        <w:rPr>
          <w:lang w:val="fr-CH"/>
        </w:rPr>
      </w:pPr>
    </w:p>
    <w:p w14:paraId="13B0BEC0" w14:textId="63C3E61B" w:rsidR="006A00E5" w:rsidRPr="00514CC6" w:rsidRDefault="00FA52D3" w:rsidP="006A00E5">
      <w:pPr>
        <w:pStyle w:val="ListParagraph"/>
        <w:numPr>
          <w:ilvl w:val="0"/>
          <w:numId w:val="5"/>
        </w:numPr>
        <w:rPr>
          <w:lang w:val="fr-CH"/>
        </w:rPr>
      </w:pPr>
      <w:r>
        <w:rPr>
          <w:lang w:val="fr-CH"/>
        </w:rPr>
        <w:t xml:space="preserve">Les IRR qui satisfont aux Directives opérationnelles sont approuvées par la Conférence des Parties contractantes ou le Comité permanent comme fonctionnant dans le cadre de la Convention pour la période </w:t>
      </w:r>
      <w:r w:rsidR="00435CD1">
        <w:rPr>
          <w:lang w:val="fr-CH"/>
        </w:rPr>
        <w:t>séparant</w:t>
      </w:r>
      <w:r>
        <w:rPr>
          <w:lang w:val="fr-CH"/>
        </w:rPr>
        <w:t xml:space="preserve"> deux sessions de la COP et reçoivent le statut d’Initiatives régionales Ramsar ou, si elles existent déjà, la confirmation de leur statut. </w:t>
      </w:r>
    </w:p>
    <w:p w14:paraId="7E928C7C" w14:textId="77777777" w:rsidR="006A00E5" w:rsidRPr="00CF4177" w:rsidRDefault="006A00E5" w:rsidP="006A00E5">
      <w:pPr>
        <w:rPr>
          <w:lang w:val="fr-FR"/>
        </w:rPr>
      </w:pPr>
    </w:p>
    <w:p w14:paraId="57246EDA" w14:textId="2D875467" w:rsidR="006A00E5" w:rsidRPr="00FA52D3" w:rsidRDefault="00FA52D3" w:rsidP="006A00E5">
      <w:pPr>
        <w:pStyle w:val="Default"/>
        <w:numPr>
          <w:ilvl w:val="0"/>
          <w:numId w:val="5"/>
        </w:numPr>
        <w:rPr>
          <w:sz w:val="22"/>
          <w:szCs w:val="22"/>
          <w:lang w:val="fr-CH"/>
        </w:rPr>
      </w:pPr>
      <w:r>
        <w:rPr>
          <w:sz w:val="22"/>
          <w:szCs w:val="22"/>
          <w:lang w:val="fr-CH"/>
        </w:rPr>
        <w:t xml:space="preserve">DEMANDE aux Initiatives régionales Ramsar qui cherchent à obtenir la personnalité juridique au niveau national ou international d’en informer le Secrétariat afin qu’il puisse réaliser une analyse des risques et des avantages (y compris concernant </w:t>
      </w:r>
      <w:r w:rsidR="0032388D">
        <w:rPr>
          <w:sz w:val="22"/>
          <w:szCs w:val="22"/>
          <w:lang w:val="fr-CH"/>
        </w:rPr>
        <w:t>les questions juridiques</w:t>
      </w:r>
      <w:r w:rsidR="006A00E5" w:rsidRPr="00FA52D3">
        <w:rPr>
          <w:sz w:val="22"/>
          <w:szCs w:val="22"/>
          <w:lang w:val="fr-CH"/>
        </w:rPr>
        <w:t xml:space="preserve">) </w:t>
      </w:r>
      <w:r w:rsidR="0032388D">
        <w:rPr>
          <w:sz w:val="22"/>
          <w:szCs w:val="22"/>
          <w:lang w:val="fr-CH"/>
        </w:rPr>
        <w:t xml:space="preserve">pour la Convention et le Secrétariat par rapport à l’IRR </w:t>
      </w:r>
      <w:r w:rsidR="00C308A1">
        <w:rPr>
          <w:sz w:val="22"/>
          <w:szCs w:val="22"/>
          <w:lang w:val="fr-CH"/>
        </w:rPr>
        <w:t>concernée</w:t>
      </w:r>
      <w:r w:rsidR="001E1A95">
        <w:rPr>
          <w:sz w:val="22"/>
          <w:szCs w:val="22"/>
          <w:lang w:val="fr-CH"/>
        </w:rPr>
        <w:t>,</w:t>
      </w:r>
      <w:r w:rsidR="00C308A1">
        <w:rPr>
          <w:sz w:val="22"/>
          <w:szCs w:val="22"/>
          <w:lang w:val="fr-CH"/>
        </w:rPr>
        <w:t xml:space="preserve"> pour examen par la COP.</w:t>
      </w:r>
      <w:r w:rsidR="006A00E5" w:rsidRPr="00FA52D3">
        <w:rPr>
          <w:sz w:val="22"/>
          <w:szCs w:val="22"/>
          <w:lang w:val="fr-CH"/>
        </w:rPr>
        <w:t xml:space="preserve">   </w:t>
      </w:r>
    </w:p>
    <w:p w14:paraId="2BBD7A23" w14:textId="77777777" w:rsidR="006A00E5" w:rsidRPr="00FA52D3" w:rsidRDefault="006A00E5" w:rsidP="006A00E5">
      <w:pPr>
        <w:pStyle w:val="Default"/>
        <w:rPr>
          <w:sz w:val="22"/>
          <w:szCs w:val="22"/>
          <w:lang w:val="fr-CH"/>
        </w:rPr>
      </w:pPr>
    </w:p>
    <w:p w14:paraId="1F035B7F" w14:textId="6B5D880B" w:rsidR="006A00E5" w:rsidRPr="00FA52D3" w:rsidRDefault="00C308A1" w:rsidP="006A00E5">
      <w:pPr>
        <w:pStyle w:val="Default"/>
        <w:numPr>
          <w:ilvl w:val="0"/>
          <w:numId w:val="5"/>
        </w:numPr>
        <w:rPr>
          <w:sz w:val="22"/>
          <w:szCs w:val="22"/>
          <w:lang w:val="fr-CH"/>
        </w:rPr>
      </w:pPr>
      <w:r>
        <w:rPr>
          <w:sz w:val="22"/>
          <w:szCs w:val="22"/>
          <w:lang w:val="fr-CH"/>
        </w:rPr>
        <w:lastRenderedPageBreak/>
        <w:t>DEMANDE EN OUTRE</w:t>
      </w:r>
      <w:r w:rsidR="006A00E5" w:rsidRPr="00FA52D3">
        <w:rPr>
          <w:sz w:val="22"/>
          <w:szCs w:val="22"/>
          <w:lang w:val="fr-CH"/>
        </w:rPr>
        <w:t xml:space="preserve"> </w:t>
      </w:r>
      <w:r>
        <w:rPr>
          <w:sz w:val="22"/>
          <w:szCs w:val="22"/>
          <w:lang w:val="fr-CH"/>
        </w:rPr>
        <w:t>aux IRR qui ont déjà la personnalité juridique nationale ou internationale de signaler au Secrétariat tout changement dans leur personnalité juridique pour examen par la COP.</w:t>
      </w:r>
      <w:r w:rsidR="00BB3D89">
        <w:rPr>
          <w:sz w:val="22"/>
          <w:szCs w:val="22"/>
          <w:lang w:val="fr-CH"/>
        </w:rPr>
        <w:t xml:space="preserve"> </w:t>
      </w:r>
    </w:p>
    <w:p w14:paraId="5ED9D540" w14:textId="77777777" w:rsidR="006A00E5" w:rsidRPr="00FA52D3" w:rsidRDefault="006A00E5" w:rsidP="006A00E5">
      <w:pPr>
        <w:rPr>
          <w:lang w:val="fr-CH"/>
        </w:rPr>
      </w:pPr>
    </w:p>
    <w:p w14:paraId="65D6E857" w14:textId="5DBD246C" w:rsidR="006A00E5" w:rsidRPr="00FA52D3" w:rsidRDefault="00C308A1" w:rsidP="006A00E5">
      <w:pPr>
        <w:pStyle w:val="ListParagraph"/>
        <w:numPr>
          <w:ilvl w:val="0"/>
          <w:numId w:val="5"/>
        </w:numPr>
        <w:rPr>
          <w:lang w:val="fr-CH"/>
        </w:rPr>
      </w:pPr>
      <w:r>
        <w:rPr>
          <w:lang w:val="fr-CH"/>
        </w:rPr>
        <w:t>CHARGE le Secrétariat de fournir à la Conférence des Parties contractantes et au Comité permanent les informations obtenues dans le cadre du paragraphe 11 d) afin d’aider ces organes dans leur examen des IRR (</w:t>
      </w:r>
      <w:r w:rsidR="001E1A95">
        <w:rPr>
          <w:lang w:val="fr-CH"/>
        </w:rPr>
        <w:t>selon le</w:t>
      </w:r>
      <w:r>
        <w:rPr>
          <w:lang w:val="fr-CH"/>
        </w:rPr>
        <w:t xml:space="preserve"> paragraphe 11 et </w:t>
      </w:r>
      <w:r w:rsidR="001E1A95">
        <w:rPr>
          <w:lang w:val="fr-CH"/>
        </w:rPr>
        <w:t>les</w:t>
      </w:r>
      <w:r>
        <w:rPr>
          <w:lang w:val="fr-CH"/>
        </w:rPr>
        <w:t xml:space="preserve"> décisions concernant le financement) conformément aux paragraphes 22 et 23.</w:t>
      </w:r>
    </w:p>
    <w:p w14:paraId="009C479F" w14:textId="77777777" w:rsidR="006A00E5" w:rsidRPr="00FA52D3" w:rsidRDefault="006A00E5" w:rsidP="006A00E5">
      <w:pPr>
        <w:ind w:left="851"/>
        <w:rPr>
          <w:lang w:val="fr-CH"/>
        </w:rPr>
      </w:pPr>
    </w:p>
    <w:p w14:paraId="06745577" w14:textId="25E1FD86" w:rsidR="006A00E5" w:rsidRPr="00FA52D3" w:rsidRDefault="00C308A1" w:rsidP="006A00E5">
      <w:pPr>
        <w:pStyle w:val="ListParagraph"/>
        <w:numPr>
          <w:ilvl w:val="0"/>
          <w:numId w:val="5"/>
        </w:numPr>
        <w:rPr>
          <w:lang w:val="fr-CH"/>
        </w:rPr>
      </w:pPr>
      <w:r>
        <w:rPr>
          <w:lang w:val="fr-CH"/>
        </w:rPr>
        <w:t xml:space="preserve">DONNE INSTRUCTION au Secrétariat de préparer une évaluation résumée </w:t>
      </w:r>
      <w:r w:rsidR="00134258">
        <w:rPr>
          <w:lang w:val="fr-CH"/>
        </w:rPr>
        <w:t xml:space="preserve">des activités et réalisations des IRR actives durant la période </w:t>
      </w:r>
      <w:r w:rsidR="006A00E5" w:rsidRPr="00FA52D3">
        <w:rPr>
          <w:lang w:val="fr-CH"/>
        </w:rPr>
        <w:t xml:space="preserve">2021-2024 </w:t>
      </w:r>
      <w:r w:rsidR="00134258">
        <w:rPr>
          <w:lang w:val="fr-CH"/>
        </w:rPr>
        <w:t xml:space="preserve">pour examen par le Comité permanent et communication à la COP15. </w:t>
      </w:r>
    </w:p>
    <w:p w14:paraId="37FF5A46" w14:textId="77777777" w:rsidR="006A00E5" w:rsidRPr="00FA52D3" w:rsidRDefault="006A00E5" w:rsidP="006A00E5">
      <w:pPr>
        <w:rPr>
          <w:lang w:val="fr-CH"/>
        </w:rPr>
      </w:pPr>
    </w:p>
    <w:p w14:paraId="5A36FC90" w14:textId="41615544" w:rsidR="006A00E5" w:rsidRPr="00FA52D3" w:rsidRDefault="00134258" w:rsidP="006A00E5">
      <w:pPr>
        <w:pStyle w:val="ListParagraph"/>
        <w:numPr>
          <w:ilvl w:val="0"/>
          <w:numId w:val="5"/>
        </w:numPr>
        <w:rPr>
          <w:lang w:val="fr-CH"/>
        </w:rPr>
      </w:pPr>
      <w:r>
        <w:rPr>
          <w:lang w:val="fr-CH"/>
        </w:rPr>
        <w:t xml:space="preserve">DONNE INSTRUCTION à toutes les Initiatives régionales Ramsar approuvées par la Convention de soumettre au Comité permanent des rapports annuels sur leurs progrès et leurs activités, et plus précisément sur leur réussite à satisfaire aux Directives opérationnelles, conformément au paragraphe 11 d). </w:t>
      </w:r>
    </w:p>
    <w:p w14:paraId="0A8405B2" w14:textId="77777777" w:rsidR="006A00E5" w:rsidRPr="00FA52D3" w:rsidRDefault="006A00E5" w:rsidP="006A00E5">
      <w:pPr>
        <w:rPr>
          <w:lang w:val="fr-CH"/>
        </w:rPr>
      </w:pPr>
    </w:p>
    <w:p w14:paraId="05DB27ED" w14:textId="45458FBF" w:rsidR="006A00E5" w:rsidRPr="001E1A95" w:rsidRDefault="008C1D2F" w:rsidP="006A00E5">
      <w:pPr>
        <w:pStyle w:val="ListParagraph"/>
        <w:numPr>
          <w:ilvl w:val="0"/>
          <w:numId w:val="5"/>
        </w:numPr>
        <w:rPr>
          <w:lang w:val="fr-CH"/>
        </w:rPr>
      </w:pPr>
      <w:r w:rsidRPr="001E1A95">
        <w:rPr>
          <w:rFonts w:eastAsiaTheme="minorEastAsia"/>
          <w:lang w:val="fr-CH" w:eastAsia="ko-KR"/>
        </w:rPr>
        <w:t xml:space="preserve">DEMANDE au Secrétariat de contacter les IRR qui n’auront pas soumis de rapport annuel pour une année </w:t>
      </w:r>
      <w:r w:rsidR="00F8413B" w:rsidRPr="001E1A95">
        <w:rPr>
          <w:rFonts w:eastAsiaTheme="minorEastAsia"/>
          <w:lang w:val="fr-CH" w:eastAsia="ko-KR"/>
        </w:rPr>
        <w:t>pour</w:t>
      </w:r>
      <w:r w:rsidRPr="001E1A95">
        <w:rPr>
          <w:rFonts w:eastAsiaTheme="minorEastAsia"/>
          <w:lang w:val="fr-CH" w:eastAsia="ko-KR"/>
        </w:rPr>
        <w:t xml:space="preserve"> leur demander de soumettre le rapport pertinent et DEMANDE EN OUTRE au Comité permanent d’envisager d</w:t>
      </w:r>
      <w:r w:rsidR="001E1A95">
        <w:rPr>
          <w:rFonts w:eastAsiaTheme="minorEastAsia"/>
          <w:lang w:val="fr-CH" w:eastAsia="ko-KR"/>
        </w:rPr>
        <w:t xml:space="preserve">e ne pas </w:t>
      </w:r>
      <w:r w:rsidRPr="001E1A95">
        <w:rPr>
          <w:rFonts w:eastAsiaTheme="minorEastAsia"/>
          <w:lang w:val="fr-CH" w:eastAsia="ko-KR"/>
        </w:rPr>
        <w:t>approuver les IRR n’ayant pas soumis de rapport annuel pendant deux années consécutives comme fonctionnant dans le cadre de la Convention.</w:t>
      </w:r>
      <w:r w:rsidR="006A00E5" w:rsidRPr="001E1A95">
        <w:rPr>
          <w:lang w:val="fr-CH"/>
        </w:rPr>
        <w:t xml:space="preserve"> </w:t>
      </w:r>
    </w:p>
    <w:p w14:paraId="439773A8" w14:textId="77777777" w:rsidR="006A00E5" w:rsidRPr="00FA52D3" w:rsidRDefault="006A00E5" w:rsidP="006A00E5">
      <w:pPr>
        <w:rPr>
          <w:lang w:val="fr-CH"/>
        </w:rPr>
      </w:pPr>
    </w:p>
    <w:p w14:paraId="243CD597" w14:textId="18A86DCD" w:rsidR="006A00E5" w:rsidRPr="00FA52D3" w:rsidRDefault="006A00E5" w:rsidP="006A00E5">
      <w:pPr>
        <w:pStyle w:val="ListParagraph"/>
        <w:numPr>
          <w:ilvl w:val="0"/>
          <w:numId w:val="5"/>
        </w:numPr>
        <w:rPr>
          <w:lang w:val="fr-CH"/>
        </w:rPr>
      </w:pPr>
      <w:r w:rsidRPr="00FA52D3">
        <w:rPr>
          <w:lang w:val="fr-CH"/>
        </w:rPr>
        <w:t>NOTE</w:t>
      </w:r>
      <w:r w:rsidR="008C1D2F">
        <w:rPr>
          <w:lang w:val="fr-CH"/>
        </w:rPr>
        <w:t xml:space="preserve"> que de nouvelles IRR ayant été approuvées comme fonctionnant dans le cadre de la Convention sont éligibles à un appui financier de départ du budget administratif de la Convention. </w:t>
      </w:r>
      <w:r w:rsidRPr="00FA52D3">
        <w:rPr>
          <w:lang w:val="fr-CH"/>
        </w:rPr>
        <w:t xml:space="preserve"> </w:t>
      </w:r>
    </w:p>
    <w:p w14:paraId="4CDAC85D" w14:textId="77777777" w:rsidR="006A00E5" w:rsidRPr="00FA52D3" w:rsidRDefault="006A00E5" w:rsidP="006A00E5">
      <w:pPr>
        <w:rPr>
          <w:lang w:val="fr-CH"/>
        </w:rPr>
      </w:pPr>
    </w:p>
    <w:p w14:paraId="00456EB5" w14:textId="3C65B5B2" w:rsidR="006A00E5" w:rsidRPr="00FA52D3" w:rsidRDefault="006A00E5" w:rsidP="006A00E5">
      <w:pPr>
        <w:pStyle w:val="ListParagraph"/>
        <w:numPr>
          <w:ilvl w:val="0"/>
          <w:numId w:val="5"/>
        </w:numPr>
        <w:rPr>
          <w:lang w:val="fr-CH"/>
        </w:rPr>
      </w:pPr>
      <w:r w:rsidRPr="00FA52D3">
        <w:rPr>
          <w:lang w:val="fr-CH"/>
        </w:rPr>
        <w:t>NOT</w:t>
      </w:r>
      <w:r w:rsidR="00F8413B">
        <w:rPr>
          <w:lang w:val="fr-CH"/>
        </w:rPr>
        <w:t>E</w:t>
      </w:r>
      <w:r w:rsidR="008C1D2F">
        <w:rPr>
          <w:lang w:val="fr-CH"/>
        </w:rPr>
        <w:t xml:space="preserve"> que la </w:t>
      </w:r>
      <w:r w:rsidRPr="00FA52D3">
        <w:rPr>
          <w:lang w:val="fr-CH"/>
        </w:rPr>
        <w:t>R</w:t>
      </w:r>
      <w:r w:rsidR="008C1D2F">
        <w:rPr>
          <w:lang w:val="fr-CH"/>
        </w:rPr>
        <w:t>ésolution </w:t>
      </w:r>
      <w:r w:rsidRPr="00FA52D3">
        <w:rPr>
          <w:lang w:val="fr-CH"/>
        </w:rPr>
        <w:t>XIV.x</w:t>
      </w:r>
      <w:r w:rsidR="00F8413B">
        <w:rPr>
          <w:lang w:val="fr-CH"/>
        </w:rPr>
        <w:t>,</w:t>
      </w:r>
      <w:r w:rsidR="008C1D2F">
        <w:rPr>
          <w:lang w:val="fr-CH"/>
        </w:rPr>
        <w:t xml:space="preserve"> </w:t>
      </w:r>
      <w:r w:rsidR="00F8413B">
        <w:rPr>
          <w:i/>
          <w:lang w:val="fr-CH"/>
        </w:rPr>
        <w:t>Q</w:t>
      </w:r>
      <w:r w:rsidR="008C1D2F">
        <w:rPr>
          <w:i/>
          <w:lang w:val="fr-CH"/>
        </w:rPr>
        <w:t>uestions financières et budgétaires</w:t>
      </w:r>
      <w:r w:rsidR="00F8413B">
        <w:rPr>
          <w:i/>
          <w:lang w:val="fr-CH"/>
        </w:rPr>
        <w:t>,</w:t>
      </w:r>
      <w:r w:rsidR="008C1D2F">
        <w:rPr>
          <w:i/>
          <w:lang w:val="fr-CH"/>
        </w:rPr>
        <w:t xml:space="preserve"> </w:t>
      </w:r>
      <w:r w:rsidR="00F8413B">
        <w:rPr>
          <w:rFonts w:cs="Calibri"/>
          <w:lang w:val="fr-CH"/>
        </w:rPr>
        <w:t>prévoit l’ajout,</w:t>
      </w:r>
      <w:r w:rsidR="008C1D2F">
        <w:rPr>
          <w:rFonts w:cs="Calibri"/>
          <w:lang w:val="fr-CH"/>
        </w:rPr>
        <w:t xml:space="preserve"> dans le budget administratif de la Convention pour </w:t>
      </w:r>
      <w:r w:rsidRPr="00FA52D3">
        <w:rPr>
          <w:rFonts w:cs="Calibri"/>
          <w:lang w:val="fr-CH"/>
        </w:rPr>
        <w:t>2022-2024</w:t>
      </w:r>
      <w:r w:rsidR="00F8413B">
        <w:rPr>
          <w:rFonts w:cs="Calibri"/>
          <w:lang w:val="fr-CH"/>
        </w:rPr>
        <w:t>,</w:t>
      </w:r>
      <w:r w:rsidRPr="00FA52D3">
        <w:rPr>
          <w:rFonts w:cs="Calibri"/>
          <w:lang w:val="fr-CH"/>
        </w:rPr>
        <w:t xml:space="preserve"> </w:t>
      </w:r>
      <w:r w:rsidR="00F8413B">
        <w:rPr>
          <w:rFonts w:cs="Calibri"/>
          <w:lang w:val="fr-CH"/>
        </w:rPr>
        <w:t>d’</w:t>
      </w:r>
      <w:r w:rsidR="008C1D2F">
        <w:rPr>
          <w:rFonts w:cs="Calibri"/>
          <w:lang w:val="fr-CH"/>
        </w:rPr>
        <w:t xml:space="preserve">une ligne budgétaire « Appui aux Initiatives régionales Ramsar » permettant de fournir un soutien de départ pour les frais </w:t>
      </w:r>
      <w:r w:rsidR="007F50A6">
        <w:rPr>
          <w:rFonts w:cs="Calibri"/>
          <w:lang w:val="fr-CH"/>
        </w:rPr>
        <w:t>de fonctionnement</w:t>
      </w:r>
      <w:r w:rsidR="008C1D2F">
        <w:rPr>
          <w:rFonts w:cs="Calibri"/>
          <w:lang w:val="fr-CH"/>
        </w:rPr>
        <w:t xml:space="preserve"> des nouvelles IRR.</w:t>
      </w:r>
      <w:r w:rsidRPr="00FA52D3">
        <w:rPr>
          <w:lang w:val="fr-CH"/>
        </w:rPr>
        <w:t xml:space="preserve"> </w:t>
      </w:r>
    </w:p>
    <w:p w14:paraId="02B4BDD8" w14:textId="77777777" w:rsidR="006A00E5" w:rsidRPr="00FA52D3" w:rsidRDefault="006A00E5" w:rsidP="006A00E5">
      <w:pPr>
        <w:rPr>
          <w:lang w:val="fr-CH"/>
        </w:rPr>
      </w:pPr>
    </w:p>
    <w:p w14:paraId="6AE3C1C3" w14:textId="1DCB504E" w:rsidR="006A00E5" w:rsidRPr="00FA52D3" w:rsidRDefault="006A00E5" w:rsidP="006A00E5">
      <w:pPr>
        <w:pStyle w:val="ListParagraph"/>
        <w:numPr>
          <w:ilvl w:val="0"/>
          <w:numId w:val="5"/>
        </w:numPr>
        <w:rPr>
          <w:lang w:val="fr-CH"/>
        </w:rPr>
      </w:pPr>
      <w:r w:rsidRPr="00FA52D3">
        <w:rPr>
          <w:lang w:val="fr-CH"/>
        </w:rPr>
        <w:t>D</w:t>
      </w:r>
      <w:r w:rsidR="008C1D2F">
        <w:rPr>
          <w:lang w:val="fr-CH"/>
        </w:rPr>
        <w:t xml:space="preserve">ÉCIDE qu’un appui financier pour les Initiatives régionales Ramsar satisfaisant aux Directives opérationnelles, éligibles pour un appui financier de départ, peut être obtenu pour une période </w:t>
      </w:r>
      <w:r w:rsidR="007F50A6">
        <w:rPr>
          <w:lang w:val="fr-CH"/>
        </w:rPr>
        <w:t>d’une durée de</w:t>
      </w:r>
      <w:r w:rsidR="008C1D2F">
        <w:rPr>
          <w:lang w:val="fr-CH"/>
        </w:rPr>
        <w:t xml:space="preserve"> six ans au total, </w:t>
      </w:r>
      <w:r w:rsidR="007F50A6">
        <w:rPr>
          <w:lang w:val="fr-CH"/>
        </w:rPr>
        <w:t>soit</w:t>
      </w:r>
      <w:r w:rsidR="008C1D2F">
        <w:rPr>
          <w:lang w:val="fr-CH"/>
        </w:rPr>
        <w:t xml:space="preserve"> l’intervalle entre deux sessions de la COP. </w:t>
      </w:r>
    </w:p>
    <w:p w14:paraId="3E8D4A31" w14:textId="77777777" w:rsidR="006A00E5" w:rsidRPr="00CF4177" w:rsidRDefault="006A00E5" w:rsidP="006A00E5">
      <w:pPr>
        <w:rPr>
          <w:lang w:val="fr-FR"/>
        </w:rPr>
      </w:pPr>
    </w:p>
    <w:p w14:paraId="4D64173C" w14:textId="73D66451" w:rsidR="006A00E5" w:rsidRPr="007F50A6" w:rsidRDefault="00E500D7" w:rsidP="006A00E5">
      <w:pPr>
        <w:pStyle w:val="ListParagraph"/>
        <w:numPr>
          <w:ilvl w:val="0"/>
          <w:numId w:val="5"/>
        </w:numPr>
        <w:rPr>
          <w:lang w:val="fr-FR"/>
        </w:rPr>
      </w:pPr>
      <w:r w:rsidRPr="007F50A6">
        <w:rPr>
          <w:lang w:val="fr-FR"/>
        </w:rPr>
        <w:t>DÉCIDE que le niveau d’appui financier du budget administratif de la Convention aux IRR éligibles pour les années 2022, 2023 et 2024 sera déterminé chaque année par le Comité permanent, d’après les informations soumises par les IRR au Secrétariat, conformément au paragraphe 11 d), et en application des recommandations spécifiques du Sous-groupe sur les finances du Comité permanent.</w:t>
      </w:r>
    </w:p>
    <w:p w14:paraId="13DC460C" w14:textId="77777777" w:rsidR="006A00E5" w:rsidRPr="00E500D7" w:rsidRDefault="006A00E5" w:rsidP="006A00E5">
      <w:pPr>
        <w:rPr>
          <w:lang w:val="fr-FR"/>
        </w:rPr>
      </w:pPr>
    </w:p>
    <w:p w14:paraId="0477E765" w14:textId="400341D6" w:rsidR="006A00E5" w:rsidRPr="00197060" w:rsidRDefault="00197060" w:rsidP="006A00E5">
      <w:pPr>
        <w:pStyle w:val="ListParagraph"/>
        <w:numPr>
          <w:ilvl w:val="0"/>
          <w:numId w:val="5"/>
        </w:numPr>
        <w:rPr>
          <w:lang w:val="fr-CH"/>
        </w:rPr>
      </w:pPr>
      <w:r>
        <w:rPr>
          <w:lang w:val="fr-CH"/>
        </w:rPr>
        <w:t>PRIE INSTAMMENT les IRR ayant reçu un appui financier du budget administratif d’envisager d’en utiliser une partie pour acquérir un financement durable par l’intermédiaire d’autres sources, y compris de donateurs qui souhaitent soutenir les IRR dans le cadre de projets spécifiques et de programmes de coopération, notamment durant les dernières années pour lesquelles elles sont éligibles à cet appui.</w:t>
      </w:r>
    </w:p>
    <w:p w14:paraId="06F4C78A" w14:textId="77777777" w:rsidR="006A00E5" w:rsidRPr="00197060" w:rsidRDefault="006A00E5" w:rsidP="006A00E5">
      <w:pPr>
        <w:rPr>
          <w:lang w:val="fr-CH"/>
        </w:rPr>
      </w:pPr>
    </w:p>
    <w:p w14:paraId="7797B54C" w14:textId="7E669B1B" w:rsidR="006A00E5" w:rsidRPr="00197060" w:rsidRDefault="00545D2C" w:rsidP="006A00E5">
      <w:pPr>
        <w:pStyle w:val="ListParagraph"/>
        <w:numPr>
          <w:ilvl w:val="0"/>
          <w:numId w:val="5"/>
        </w:numPr>
        <w:rPr>
          <w:lang w:val="fr-CH"/>
        </w:rPr>
      </w:pPr>
      <w:r>
        <w:rPr>
          <w:lang w:val="fr-CH"/>
        </w:rPr>
        <w:lastRenderedPageBreak/>
        <w:t xml:space="preserve">ENCOURAGE EN OUTRE les Parties contractantes et INVITE d’autres donateurs potentiels, bilatéraux ou multilatéraux, à soutenir les IRR, qu’elles reçoivent ou non un financement du budget administratif de la Convention ; et INVITE les Parties contractantes ayant des liens géographiques avec une IRR à envisager de lui apporter un appui financier ou en nature, selon qu’il convient. </w:t>
      </w:r>
    </w:p>
    <w:p w14:paraId="12131F58" w14:textId="77777777" w:rsidR="006A00E5" w:rsidRPr="00197060" w:rsidRDefault="006A00E5" w:rsidP="006A00E5">
      <w:pPr>
        <w:rPr>
          <w:lang w:val="fr-CH"/>
        </w:rPr>
      </w:pPr>
    </w:p>
    <w:p w14:paraId="02A63AD4" w14:textId="09569A0E" w:rsidR="006A00E5" w:rsidRPr="00197060" w:rsidRDefault="006A00E5" w:rsidP="006A00E5">
      <w:pPr>
        <w:pStyle w:val="ListParagraph"/>
        <w:numPr>
          <w:ilvl w:val="0"/>
          <w:numId w:val="5"/>
        </w:numPr>
        <w:rPr>
          <w:lang w:val="fr-CH"/>
        </w:rPr>
      </w:pPr>
      <w:r w:rsidRPr="00197060">
        <w:rPr>
          <w:lang w:val="fr-CH"/>
        </w:rPr>
        <w:t>INVITE</w:t>
      </w:r>
      <w:r w:rsidR="00545D2C">
        <w:rPr>
          <w:lang w:val="fr-CH"/>
        </w:rPr>
        <w:t xml:space="preserve"> les Organisations internationales partenaires de la Convention et autres acteurs à nouer des partenariats et à soutenir les IRR dans leurs entreprises, en particulier dans le cadre d’efforts de renforcement des capacités et d’appels de fonds. </w:t>
      </w:r>
      <w:r w:rsidRPr="00197060">
        <w:rPr>
          <w:lang w:val="fr-CH"/>
        </w:rPr>
        <w:t xml:space="preserve"> </w:t>
      </w:r>
    </w:p>
    <w:p w14:paraId="3E2B91E9" w14:textId="77777777" w:rsidR="006A00E5" w:rsidRPr="00197060" w:rsidRDefault="006A00E5" w:rsidP="006A00E5">
      <w:pPr>
        <w:rPr>
          <w:lang w:val="fr-CH"/>
        </w:rPr>
      </w:pPr>
    </w:p>
    <w:p w14:paraId="288968A5" w14:textId="14A0449A" w:rsidR="006A00E5" w:rsidRPr="00197060" w:rsidRDefault="00545D2C" w:rsidP="006A00E5">
      <w:pPr>
        <w:pStyle w:val="ListParagraph"/>
        <w:numPr>
          <w:ilvl w:val="0"/>
          <w:numId w:val="5"/>
        </w:numPr>
        <w:rPr>
          <w:lang w:val="fr-CH"/>
        </w:rPr>
      </w:pPr>
      <w:r>
        <w:rPr>
          <w:lang w:val="fr-CH"/>
        </w:rPr>
        <w:t>DEMANDE que les IRR restent en contact actif et régulier avec le Secrétariat ; et DONNE INSTRUCTION au Secrétariat de conseiller les IRR sur les moyens de renforcer leurs capacités et leur efficacité, notamment dans le domaine de l’harmonisation entre les IRR et le Plan stratégique de la Convention ainsi que le Programme de CESP.</w:t>
      </w:r>
    </w:p>
    <w:p w14:paraId="3A8059FC" w14:textId="77777777" w:rsidR="006A00E5" w:rsidRPr="00197060" w:rsidRDefault="006A00E5" w:rsidP="006A00E5">
      <w:pPr>
        <w:rPr>
          <w:lang w:val="fr-CH"/>
        </w:rPr>
      </w:pPr>
    </w:p>
    <w:p w14:paraId="6908DC6E" w14:textId="7E540913" w:rsidR="006A00E5" w:rsidRPr="00197060" w:rsidRDefault="006A00E5" w:rsidP="006A00E5">
      <w:pPr>
        <w:pStyle w:val="ListParagraph"/>
        <w:numPr>
          <w:ilvl w:val="0"/>
          <w:numId w:val="5"/>
        </w:numPr>
        <w:rPr>
          <w:color w:val="262626"/>
          <w:lang w:val="fr-CH"/>
        </w:rPr>
      </w:pPr>
      <w:r w:rsidRPr="00197060">
        <w:rPr>
          <w:color w:val="262626"/>
          <w:lang w:val="fr-CH"/>
        </w:rPr>
        <w:t>INVITE</w:t>
      </w:r>
      <w:r w:rsidR="00545D2C">
        <w:rPr>
          <w:color w:val="262626"/>
          <w:lang w:val="fr-CH"/>
        </w:rPr>
        <w:t xml:space="preserve"> les Parties contractantes et les IRR à examiner les résolutions qui se trouvent dans l’Annexe 2 et comprennent des paragraphes concernant les IRR et DEMANDE au Secrétariat d’aider les IRR à </w:t>
      </w:r>
      <w:r w:rsidR="00740DB4">
        <w:rPr>
          <w:color w:val="262626"/>
          <w:lang w:val="fr-CH"/>
        </w:rPr>
        <w:t>identifier</w:t>
      </w:r>
      <w:r w:rsidR="00545D2C">
        <w:rPr>
          <w:color w:val="262626"/>
          <w:lang w:val="fr-CH"/>
        </w:rPr>
        <w:t xml:space="preserve"> toutes les tâches qui restent incomplètes. </w:t>
      </w:r>
      <w:r w:rsidRPr="00197060">
        <w:rPr>
          <w:color w:val="262626"/>
          <w:lang w:val="fr-CH"/>
        </w:rPr>
        <w:t xml:space="preserve"> </w:t>
      </w:r>
    </w:p>
    <w:p w14:paraId="13FD5788" w14:textId="77777777" w:rsidR="006A00E5" w:rsidRPr="00197060" w:rsidRDefault="006A00E5" w:rsidP="006A00E5">
      <w:pPr>
        <w:rPr>
          <w:color w:val="262626"/>
          <w:lang w:val="fr-CH"/>
        </w:rPr>
      </w:pPr>
    </w:p>
    <w:p w14:paraId="7913C1A3" w14:textId="04371793" w:rsidR="006A00E5" w:rsidRPr="00197060" w:rsidRDefault="006A00E5" w:rsidP="006A00E5">
      <w:pPr>
        <w:pStyle w:val="ListParagraph"/>
        <w:numPr>
          <w:ilvl w:val="0"/>
          <w:numId w:val="5"/>
        </w:numPr>
        <w:rPr>
          <w:color w:val="262626"/>
          <w:lang w:val="fr-CH"/>
        </w:rPr>
      </w:pPr>
      <w:r w:rsidRPr="00197060">
        <w:rPr>
          <w:rFonts w:eastAsia="Times New Roman"/>
          <w:color w:val="262626"/>
          <w:lang w:val="fr-CH"/>
        </w:rPr>
        <w:t>[R</w:t>
      </w:r>
      <w:r w:rsidR="00EF6EC4">
        <w:rPr>
          <w:rFonts w:eastAsia="Times New Roman"/>
          <w:color w:val="262626"/>
          <w:lang w:val="fr-CH"/>
        </w:rPr>
        <w:t>ÉAFFIRME la décision prise à la 13</w:t>
      </w:r>
      <w:r w:rsidR="00EF6EC4" w:rsidRPr="00EF6EC4">
        <w:rPr>
          <w:rFonts w:eastAsia="Times New Roman"/>
          <w:color w:val="262626"/>
          <w:vertAlign w:val="superscript"/>
          <w:lang w:val="fr-CH"/>
        </w:rPr>
        <w:t>e</w:t>
      </w:r>
      <w:r w:rsidR="00EF6EC4">
        <w:rPr>
          <w:rFonts w:eastAsia="Times New Roman"/>
          <w:color w:val="262626"/>
          <w:lang w:val="fr-CH"/>
        </w:rPr>
        <w:t> Session de la Conférence des Parties contractantes qui demandait au Secrétariat</w:t>
      </w:r>
      <w:r w:rsidRPr="00740DB4">
        <w:rPr>
          <w:color w:val="262626"/>
          <w:lang w:val="fr-CH"/>
        </w:rPr>
        <w:t xml:space="preserve">, </w:t>
      </w:r>
      <w:r w:rsidR="00AE4F70" w:rsidRPr="00740DB4">
        <w:rPr>
          <w:color w:val="262626"/>
          <w:lang w:val="fr-CH"/>
        </w:rPr>
        <w:t>dans les limites du cadre juridique et du mandat existants d’aider les Parties contractantes, s’il y a lieu, à administrer des projets recevant des fonds non administratifs, y compris sans toutefois s’y limiter, les appels de fonds pour les IRR</w:t>
      </w:r>
      <w:r w:rsidR="00AA49F6" w:rsidRPr="00740DB4">
        <w:rPr>
          <w:color w:val="262626"/>
          <w:lang w:val="fr-CH"/>
        </w:rPr>
        <w:t> </w:t>
      </w:r>
      <w:r w:rsidR="00AE4F70" w:rsidRPr="00740DB4">
        <w:rPr>
          <w:color w:val="262626"/>
          <w:lang w:val="fr-CH"/>
        </w:rPr>
        <w:t>; et DONNE EN OUTRE INSTRUCTION au personnel du Secrétariat dont les postes sont énumérés dans l’Annexe 4 comme étant financés par des fonds administratifs, de ne pas participer à l’administration quotidienne des projets financés par des fonds non administratifs, car ce rôle incombe au personnel du Secrétariat dont les postes sont financés par des fonds non administratifs à cette fin spécifique.</w:t>
      </w:r>
      <w:r w:rsidRPr="00740DB4">
        <w:rPr>
          <w:color w:val="262626"/>
          <w:lang w:val="fr-CH"/>
        </w:rPr>
        <w:t>]</w:t>
      </w:r>
      <w:r w:rsidR="00AA49F6" w:rsidRPr="00740DB4">
        <w:rPr>
          <w:color w:val="262626"/>
          <w:lang w:val="fr-CH"/>
        </w:rPr>
        <w:t> </w:t>
      </w:r>
      <w:r w:rsidRPr="00197060">
        <w:rPr>
          <w:color w:val="262626"/>
          <w:lang w:val="fr-CH"/>
        </w:rPr>
        <w:t xml:space="preserve"> </w:t>
      </w:r>
    </w:p>
    <w:p w14:paraId="05F88421" w14:textId="77777777" w:rsidR="006A00E5" w:rsidRPr="00197060" w:rsidRDefault="006A00E5" w:rsidP="006A00E5">
      <w:pPr>
        <w:rPr>
          <w:color w:val="262626"/>
          <w:lang w:val="fr-CH"/>
        </w:rPr>
      </w:pPr>
    </w:p>
    <w:p w14:paraId="29F1877C" w14:textId="69015E73" w:rsidR="006A00E5" w:rsidRPr="00197060" w:rsidRDefault="00AA49F6" w:rsidP="006A00E5">
      <w:pPr>
        <w:pStyle w:val="ListParagraph"/>
        <w:numPr>
          <w:ilvl w:val="0"/>
          <w:numId w:val="5"/>
        </w:numPr>
        <w:rPr>
          <w:lang w:val="fr-CH"/>
        </w:rPr>
      </w:pPr>
      <w:r>
        <w:rPr>
          <w:lang w:val="fr-CH"/>
        </w:rPr>
        <w:t>DEMANDE EN OUTRE au Secrétariat de continuer de publier sur le site web de la Convention des informations fournies par les IRR, y compris sur les projets en cours et les rapports concernant leur</w:t>
      </w:r>
      <w:r w:rsidR="00740DB4">
        <w:rPr>
          <w:lang w:val="fr-CH"/>
        </w:rPr>
        <w:t>s succès</w:t>
      </w:r>
      <w:r>
        <w:rPr>
          <w:lang w:val="fr-CH"/>
        </w:rPr>
        <w:t xml:space="preserve"> et leurs plans de travail.</w:t>
      </w:r>
    </w:p>
    <w:p w14:paraId="31E75AF1" w14:textId="77777777" w:rsidR="006A00E5" w:rsidRPr="00197060" w:rsidRDefault="006A00E5" w:rsidP="006A00E5">
      <w:pPr>
        <w:rPr>
          <w:lang w:val="fr-CH"/>
        </w:rPr>
      </w:pPr>
    </w:p>
    <w:p w14:paraId="1398A08D" w14:textId="17153CFE" w:rsidR="006A00E5" w:rsidRPr="00197060" w:rsidRDefault="00AA49F6" w:rsidP="006A00E5">
      <w:pPr>
        <w:pStyle w:val="ListParagraph"/>
        <w:numPr>
          <w:ilvl w:val="0"/>
          <w:numId w:val="5"/>
        </w:numPr>
        <w:rPr>
          <w:lang w:val="fr-CH"/>
        </w:rPr>
      </w:pPr>
      <w:r>
        <w:rPr>
          <w:lang w:val="fr-CH"/>
        </w:rPr>
        <w:t xml:space="preserve">DONNE INSTRUCTION au Secrétariat </w:t>
      </w:r>
      <w:r w:rsidR="001E1A95">
        <w:rPr>
          <w:lang w:val="fr-CH"/>
        </w:rPr>
        <w:t xml:space="preserve">de </w:t>
      </w:r>
      <w:r w:rsidR="002E0960">
        <w:rPr>
          <w:lang w:val="fr-CH"/>
        </w:rPr>
        <w:t>promouvoir les</w:t>
      </w:r>
      <w:r>
        <w:rPr>
          <w:lang w:val="fr-CH"/>
        </w:rPr>
        <w:t xml:space="preserve"> IRR au niveau mondial en tant que mécanisme</w:t>
      </w:r>
      <w:r w:rsidR="002E0960">
        <w:rPr>
          <w:lang w:val="fr-CH"/>
        </w:rPr>
        <w:t>s</w:t>
      </w:r>
      <w:r>
        <w:rPr>
          <w:lang w:val="fr-CH"/>
        </w:rPr>
        <w:t xml:space="preserve"> de promotion de la coopération internationale et d’appui à la mise en œuvre des objectifs de la Convention, pour compléter les efforts des Autorités adminis</w:t>
      </w:r>
      <w:r w:rsidR="0049296A">
        <w:rPr>
          <w:lang w:val="fr-CH"/>
        </w:rPr>
        <w:t>tra</w:t>
      </w:r>
      <w:r>
        <w:rPr>
          <w:lang w:val="fr-CH"/>
        </w:rPr>
        <w:t xml:space="preserve">tives Ramsar et des Correspondants nationaux au niveau national. </w:t>
      </w:r>
    </w:p>
    <w:p w14:paraId="61540242" w14:textId="77777777" w:rsidR="006A00E5" w:rsidRPr="00197060" w:rsidRDefault="006A00E5" w:rsidP="006A00E5">
      <w:pPr>
        <w:rPr>
          <w:lang w:val="fr-CH"/>
        </w:rPr>
      </w:pPr>
    </w:p>
    <w:p w14:paraId="6EE7914A" w14:textId="0FA13089" w:rsidR="006A00E5" w:rsidRPr="00197060" w:rsidRDefault="006A00E5" w:rsidP="006A00E5">
      <w:pPr>
        <w:pStyle w:val="ListParagraph"/>
        <w:numPr>
          <w:ilvl w:val="0"/>
          <w:numId w:val="5"/>
        </w:numPr>
        <w:rPr>
          <w:lang w:val="fr-CH"/>
        </w:rPr>
      </w:pPr>
      <w:r w:rsidRPr="00197060">
        <w:rPr>
          <w:lang w:val="fr-CH"/>
        </w:rPr>
        <w:t xml:space="preserve">[ENCOURAGE] </w:t>
      </w:r>
      <w:r w:rsidR="00AA49F6">
        <w:rPr>
          <w:lang w:val="fr-CH"/>
        </w:rPr>
        <w:t>les IRR à adopter des programmes de suivi participatif comme stratégie d’appropriation, de gestion adaptative et de diffusion des progrès et résultats de leur gestion.</w:t>
      </w:r>
      <w:r w:rsidRPr="00197060">
        <w:rPr>
          <w:lang w:val="fr-CH"/>
        </w:rPr>
        <w:t xml:space="preserve"> </w:t>
      </w:r>
    </w:p>
    <w:p w14:paraId="44BDB2A0" w14:textId="77777777" w:rsidR="006A00E5" w:rsidRPr="00197060" w:rsidRDefault="006A00E5" w:rsidP="006A00E5">
      <w:pPr>
        <w:rPr>
          <w:lang w:val="fr-CH"/>
        </w:rPr>
      </w:pPr>
    </w:p>
    <w:p w14:paraId="3C7A8FF3" w14:textId="670D2856" w:rsidR="006A00E5" w:rsidRPr="00197060" w:rsidRDefault="00AA49F6" w:rsidP="006A00E5">
      <w:pPr>
        <w:pStyle w:val="ListParagraph"/>
        <w:numPr>
          <w:ilvl w:val="0"/>
          <w:numId w:val="5"/>
        </w:numPr>
        <w:rPr>
          <w:lang w:val="fr-CH"/>
        </w:rPr>
      </w:pPr>
      <w:r>
        <w:rPr>
          <w:lang w:val="fr-CH"/>
        </w:rPr>
        <w:t xml:space="preserve">PRIE les IRR de développer, dans leurs programmes et activités, des propositions de renforcement des capacités dans les différents domaines d’intérêt, </w:t>
      </w:r>
      <w:r w:rsidR="006A00E5" w:rsidRPr="00197060">
        <w:rPr>
          <w:lang w:val="fr-CH"/>
        </w:rPr>
        <w:t>[</w:t>
      </w:r>
      <w:r>
        <w:rPr>
          <w:lang w:val="fr-CH"/>
        </w:rPr>
        <w:t>pour ceux qui participent aux IRR</w:t>
      </w:r>
      <w:r w:rsidR="006A00E5" w:rsidRPr="00197060">
        <w:rPr>
          <w:lang w:val="fr-CH"/>
        </w:rPr>
        <w:t>]</w:t>
      </w:r>
      <w:r>
        <w:rPr>
          <w:lang w:val="fr-CH"/>
        </w:rPr>
        <w:t>.</w:t>
      </w:r>
    </w:p>
    <w:p w14:paraId="44F11F5D" w14:textId="77777777" w:rsidR="006A00E5" w:rsidRPr="00197060" w:rsidRDefault="006A00E5" w:rsidP="006A00E5">
      <w:pPr>
        <w:rPr>
          <w:lang w:val="fr-CH"/>
        </w:rPr>
      </w:pPr>
    </w:p>
    <w:p w14:paraId="714D1490" w14:textId="051F8AF6" w:rsidR="006A00E5" w:rsidRPr="00197060" w:rsidRDefault="00AA49F6" w:rsidP="006A00E5">
      <w:pPr>
        <w:pStyle w:val="ListParagraph"/>
        <w:numPr>
          <w:ilvl w:val="0"/>
          <w:numId w:val="5"/>
        </w:numPr>
        <w:rPr>
          <w:rFonts w:cs="Calibri"/>
          <w:color w:val="000000" w:themeColor="text1"/>
          <w:lang w:val="fr-CH"/>
        </w:rPr>
      </w:pPr>
      <w:r>
        <w:rPr>
          <w:lang w:val="fr-CH"/>
        </w:rPr>
        <w:t>DONNE INSTRUCTION au Secrétariat d’ouvrir un appel à propositions pour de nouvelles IRR qui seront approuvées par la Conférence des Parties à sa 15</w:t>
      </w:r>
      <w:r w:rsidRPr="00AA49F6">
        <w:rPr>
          <w:vertAlign w:val="superscript"/>
          <w:lang w:val="fr-CH"/>
        </w:rPr>
        <w:t>e</w:t>
      </w:r>
      <w:r>
        <w:rPr>
          <w:lang w:val="fr-CH"/>
        </w:rPr>
        <w:t> </w:t>
      </w:r>
      <w:r w:rsidR="002E0960">
        <w:rPr>
          <w:lang w:val="fr-CH"/>
        </w:rPr>
        <w:t>S</w:t>
      </w:r>
      <w:r>
        <w:rPr>
          <w:lang w:val="fr-CH"/>
        </w:rPr>
        <w:t>ession et de soumettre l’information pertinente à l’examen du Comité permanent, aux réunions qu’il tiendra avant la COP15. La demande d’examen par le Comité perma</w:t>
      </w:r>
      <w:r w:rsidR="006A083C">
        <w:rPr>
          <w:lang w:val="fr-CH"/>
        </w:rPr>
        <w:t>nent suivra le modèle joint en A</w:t>
      </w:r>
      <w:r>
        <w:rPr>
          <w:lang w:val="fr-CH"/>
        </w:rPr>
        <w:t>nnexe 1 aux Directives opérationnelles.</w:t>
      </w:r>
    </w:p>
    <w:p w14:paraId="351ADA17" w14:textId="77777777" w:rsidR="006A00E5" w:rsidRPr="00CF4177" w:rsidRDefault="006A00E5" w:rsidP="006A00E5">
      <w:pPr>
        <w:rPr>
          <w:lang w:val="fr-FR"/>
        </w:rPr>
      </w:pPr>
    </w:p>
    <w:p w14:paraId="6ED856F2" w14:textId="77777777" w:rsidR="00F01AC6" w:rsidRPr="002E0960" w:rsidRDefault="00F01AC6" w:rsidP="00AA49F6">
      <w:pPr>
        <w:pStyle w:val="BodyText"/>
        <w:widowControl/>
        <w:ind w:left="709" w:hanging="345"/>
        <w:rPr>
          <w:lang w:val="fr-CH"/>
        </w:rPr>
      </w:pPr>
      <w:r w:rsidRPr="002E0960">
        <w:rPr>
          <w:lang w:val="fr-CH"/>
        </w:rPr>
        <w:t>34.</w:t>
      </w:r>
      <w:r w:rsidRPr="002E0960">
        <w:rPr>
          <w:lang w:val="fr-CH"/>
        </w:rPr>
        <w:tab/>
        <w:t>APPROUVE les IRR existantes, énumérées ci-dessous comme fonctionnant dans le cadre de la Convention sur les zones humides jusqu’à la COP15 :</w:t>
      </w:r>
    </w:p>
    <w:p w14:paraId="5610015C" w14:textId="77777777" w:rsidR="00F01AC6" w:rsidRPr="002E0960" w:rsidRDefault="00F01AC6" w:rsidP="00F01AC6">
      <w:pPr>
        <w:pStyle w:val="BodyText"/>
        <w:widowControl/>
        <w:ind w:left="709" w:hanging="283"/>
        <w:rPr>
          <w:lang w:val="fr-CH"/>
        </w:rPr>
      </w:pPr>
      <w:r w:rsidRPr="002E0960">
        <w:rPr>
          <w:lang w:val="fr-CH"/>
        </w:rPr>
        <w:t xml:space="preserve"> </w:t>
      </w:r>
    </w:p>
    <w:p w14:paraId="31E4D333" w14:textId="6AC6574C" w:rsidR="00F01AC6" w:rsidRPr="002E0960" w:rsidRDefault="00F01AC6" w:rsidP="00F01AC6">
      <w:pPr>
        <w:pStyle w:val="BodyText"/>
        <w:widowControl/>
        <w:ind w:left="709" w:firstLine="0"/>
        <w:rPr>
          <w:lang w:val="fr-CH"/>
        </w:rPr>
      </w:pPr>
      <w:r w:rsidRPr="002E0960">
        <w:rPr>
          <w:lang w:val="fr-CH"/>
        </w:rPr>
        <w:t>Quatre centres régionaux Ramsar pour la formation et le renforcement des capacités :</w:t>
      </w:r>
    </w:p>
    <w:p w14:paraId="058EDA60" w14:textId="77777777" w:rsidR="00F01AC6" w:rsidRPr="002E0960" w:rsidRDefault="00F01AC6" w:rsidP="00F01AC6">
      <w:pPr>
        <w:pStyle w:val="BodyText"/>
        <w:widowControl/>
        <w:ind w:left="709" w:hanging="283"/>
        <w:rPr>
          <w:lang w:val="fr-CH"/>
        </w:rPr>
      </w:pPr>
    </w:p>
    <w:p w14:paraId="2768C673" w14:textId="3BCD642C" w:rsidR="00F01AC6" w:rsidRPr="002E0960" w:rsidRDefault="00F01AC6" w:rsidP="00876766">
      <w:pPr>
        <w:pStyle w:val="BodyText"/>
        <w:widowControl/>
        <w:numPr>
          <w:ilvl w:val="0"/>
          <w:numId w:val="13"/>
        </w:numPr>
        <w:ind w:left="709" w:hanging="345"/>
        <w:rPr>
          <w:lang w:val="fr-CH"/>
        </w:rPr>
      </w:pPr>
      <w:r w:rsidRPr="002E0960">
        <w:rPr>
          <w:lang w:val="fr-CH"/>
        </w:rPr>
        <w:t>Centre Ramsar pour l’Afrique de l’Est (RAMCEA)</w:t>
      </w:r>
    </w:p>
    <w:p w14:paraId="040EDBF5" w14:textId="5188B377" w:rsidR="00F01AC6" w:rsidRPr="002E0960" w:rsidRDefault="00F01AC6" w:rsidP="00876766">
      <w:pPr>
        <w:pStyle w:val="BodyText"/>
        <w:widowControl/>
        <w:numPr>
          <w:ilvl w:val="0"/>
          <w:numId w:val="13"/>
        </w:numPr>
        <w:ind w:left="709" w:hanging="345"/>
        <w:rPr>
          <w:lang w:val="fr-CH"/>
        </w:rPr>
      </w:pPr>
      <w:r w:rsidRPr="002E0960">
        <w:rPr>
          <w:lang w:val="fr-CH"/>
        </w:rPr>
        <w:t>Centre régional Ramsar pour la formation et la recherche sur les zones humides de l’hémisphère occidental (CREHO)</w:t>
      </w:r>
    </w:p>
    <w:p w14:paraId="780ED77B" w14:textId="0459C103" w:rsidR="00F01AC6" w:rsidRPr="002E0960" w:rsidRDefault="00F01AC6" w:rsidP="00876766">
      <w:pPr>
        <w:pStyle w:val="BodyText"/>
        <w:widowControl/>
        <w:numPr>
          <w:ilvl w:val="0"/>
          <w:numId w:val="13"/>
        </w:numPr>
        <w:ind w:left="709" w:hanging="345"/>
        <w:rPr>
          <w:lang w:val="fr-CH"/>
        </w:rPr>
      </w:pPr>
      <w:r w:rsidRPr="002E0960">
        <w:rPr>
          <w:lang w:val="fr-CH"/>
        </w:rPr>
        <w:t>Centre régional Ramsar – Asie centrale et de l’Ouest (RRC-CWA)</w:t>
      </w:r>
    </w:p>
    <w:p w14:paraId="09DED06E" w14:textId="024E4F55" w:rsidR="00F01AC6" w:rsidRPr="002E0960" w:rsidRDefault="00F01AC6" w:rsidP="00876766">
      <w:pPr>
        <w:pStyle w:val="BodyText"/>
        <w:widowControl/>
        <w:numPr>
          <w:ilvl w:val="0"/>
          <w:numId w:val="13"/>
        </w:numPr>
        <w:ind w:left="709" w:hanging="345"/>
        <w:rPr>
          <w:lang w:val="fr-CH"/>
        </w:rPr>
      </w:pPr>
      <w:r w:rsidRPr="002E0960">
        <w:rPr>
          <w:lang w:val="fr-CH"/>
        </w:rPr>
        <w:t>Centre régional Ramsar – Asie de l’Est (RRC-EA) ; et</w:t>
      </w:r>
    </w:p>
    <w:p w14:paraId="372D94A4" w14:textId="77777777" w:rsidR="00F01AC6" w:rsidRPr="002E0960" w:rsidRDefault="00F01AC6" w:rsidP="00F01AC6">
      <w:pPr>
        <w:pStyle w:val="BodyText"/>
        <w:widowControl/>
        <w:ind w:left="709" w:hanging="283"/>
        <w:rPr>
          <w:lang w:val="fr-CH"/>
        </w:rPr>
      </w:pPr>
    </w:p>
    <w:p w14:paraId="5698A692" w14:textId="77777777" w:rsidR="00F01AC6" w:rsidRPr="002E0960" w:rsidRDefault="00F01AC6" w:rsidP="00685F8E">
      <w:pPr>
        <w:pStyle w:val="BodyText"/>
        <w:widowControl/>
        <w:ind w:left="709" w:firstLine="0"/>
        <w:rPr>
          <w:lang w:val="fr-CH"/>
        </w:rPr>
      </w:pPr>
      <w:r w:rsidRPr="002E0960">
        <w:rPr>
          <w:lang w:val="fr-CH"/>
        </w:rPr>
        <w:t>Seize réseaux Ramsar de coopération régionale :</w:t>
      </w:r>
    </w:p>
    <w:p w14:paraId="24E80BFC" w14:textId="77777777" w:rsidR="00685F8E" w:rsidRPr="002E0960" w:rsidRDefault="00685F8E" w:rsidP="00685F8E">
      <w:pPr>
        <w:pStyle w:val="BodyText"/>
        <w:widowControl/>
        <w:ind w:left="709" w:firstLine="0"/>
        <w:rPr>
          <w:lang w:val="fr-CH"/>
        </w:rPr>
      </w:pPr>
    </w:p>
    <w:p w14:paraId="572C6EE0" w14:textId="77777777" w:rsidR="00F01AC6" w:rsidRPr="002E0960" w:rsidRDefault="00F01AC6" w:rsidP="00876766">
      <w:pPr>
        <w:pStyle w:val="BodyText"/>
        <w:widowControl/>
        <w:numPr>
          <w:ilvl w:val="0"/>
          <w:numId w:val="12"/>
        </w:numPr>
        <w:ind w:left="709" w:hanging="331"/>
        <w:rPr>
          <w:lang w:val="fr-CH"/>
        </w:rPr>
      </w:pPr>
      <w:r w:rsidRPr="002E0960">
        <w:rPr>
          <w:lang w:val="fr-CH"/>
        </w:rPr>
        <w:t>Initiative régionale Ramsar pour les zones humides côtières d’Afrique de l’Ouest (WaCoWet)</w:t>
      </w:r>
    </w:p>
    <w:p w14:paraId="0961A1A1" w14:textId="77777777" w:rsidR="00F01AC6" w:rsidRPr="002E0960" w:rsidRDefault="00F01AC6" w:rsidP="00876766">
      <w:pPr>
        <w:pStyle w:val="BodyText"/>
        <w:widowControl/>
        <w:numPr>
          <w:ilvl w:val="0"/>
          <w:numId w:val="12"/>
        </w:numPr>
        <w:ind w:left="709" w:hanging="331"/>
        <w:rPr>
          <w:lang w:val="fr-CH"/>
        </w:rPr>
      </w:pPr>
      <w:r w:rsidRPr="002E0960">
        <w:rPr>
          <w:lang w:val="fr-CH"/>
        </w:rPr>
        <w:t>Initiative régionale Ramsar pour le bassin du Niger (NigerWet)</w:t>
      </w:r>
    </w:p>
    <w:p w14:paraId="0A9343D7" w14:textId="77777777" w:rsidR="00F01AC6" w:rsidRPr="002E0960" w:rsidRDefault="00F01AC6" w:rsidP="00876766">
      <w:pPr>
        <w:pStyle w:val="BodyText"/>
        <w:widowControl/>
        <w:numPr>
          <w:ilvl w:val="0"/>
          <w:numId w:val="12"/>
        </w:numPr>
        <w:ind w:left="709" w:hanging="331"/>
        <w:rPr>
          <w:lang w:val="fr-CH"/>
        </w:rPr>
      </w:pPr>
      <w:r w:rsidRPr="002E0960">
        <w:rPr>
          <w:lang w:val="fr-CH"/>
        </w:rPr>
        <w:t>Initiative régionale Ramsar pour le bassin du Sénégal</w:t>
      </w:r>
    </w:p>
    <w:p w14:paraId="3249FBCE" w14:textId="77777777" w:rsidR="00F01AC6" w:rsidRPr="002E0960" w:rsidRDefault="00F01AC6" w:rsidP="00876766">
      <w:pPr>
        <w:pStyle w:val="BodyText"/>
        <w:widowControl/>
        <w:numPr>
          <w:ilvl w:val="0"/>
          <w:numId w:val="12"/>
        </w:numPr>
        <w:ind w:left="709" w:hanging="331"/>
        <w:rPr>
          <w:lang w:val="fr-CH"/>
        </w:rPr>
      </w:pPr>
      <w:r w:rsidRPr="002E0960">
        <w:rPr>
          <w:lang w:val="fr-CH"/>
        </w:rPr>
        <w:t>Initiative régionale Ramsar pour la conservation et l’utilisation rationnelle des zones humides des Hautes Andes</w:t>
      </w:r>
    </w:p>
    <w:p w14:paraId="3E5342D9" w14:textId="031692B6" w:rsidR="00F01AC6" w:rsidRPr="002E0960" w:rsidRDefault="00F01AC6" w:rsidP="00876766">
      <w:pPr>
        <w:pStyle w:val="BodyText"/>
        <w:widowControl/>
        <w:numPr>
          <w:ilvl w:val="0"/>
          <w:numId w:val="12"/>
        </w:numPr>
        <w:ind w:left="709" w:hanging="331"/>
        <w:rPr>
          <w:lang w:val="fr-CH"/>
        </w:rPr>
      </w:pPr>
      <w:r w:rsidRPr="002E0960">
        <w:rPr>
          <w:lang w:val="fr-CH"/>
        </w:rPr>
        <w:t>Initiative régionale Ramsar pour la conservation et l’utilisation rationnelle du bassin du Río</w:t>
      </w:r>
      <w:r w:rsidR="009F1DD3" w:rsidRPr="002E0960">
        <w:rPr>
          <w:lang w:val="fr-CH"/>
        </w:rPr>
        <w:t> </w:t>
      </w:r>
      <w:r w:rsidRPr="002E0960">
        <w:rPr>
          <w:lang w:val="fr-CH"/>
        </w:rPr>
        <w:t>de la Plata</w:t>
      </w:r>
    </w:p>
    <w:p w14:paraId="575B2430" w14:textId="77777777" w:rsidR="00F01AC6" w:rsidRPr="002E0960" w:rsidRDefault="00F01AC6" w:rsidP="00876766">
      <w:pPr>
        <w:pStyle w:val="BodyText"/>
        <w:widowControl/>
        <w:numPr>
          <w:ilvl w:val="0"/>
          <w:numId w:val="12"/>
        </w:numPr>
        <w:ind w:left="709" w:hanging="331"/>
        <w:rPr>
          <w:lang w:val="fr-CH"/>
        </w:rPr>
      </w:pPr>
      <w:r w:rsidRPr="002E0960">
        <w:rPr>
          <w:lang w:val="fr-CH"/>
        </w:rPr>
        <w:t>Initiative régionale Ramsar pour les zones humides des Caraïbes (CariWet)</w:t>
      </w:r>
    </w:p>
    <w:p w14:paraId="34DFBBE3" w14:textId="77777777" w:rsidR="00F01AC6" w:rsidRPr="002E0960" w:rsidRDefault="00F01AC6" w:rsidP="00876766">
      <w:pPr>
        <w:pStyle w:val="BodyText"/>
        <w:numPr>
          <w:ilvl w:val="1"/>
          <w:numId w:val="4"/>
        </w:numPr>
        <w:ind w:left="709" w:hanging="331"/>
        <w:rPr>
          <w:lang w:val="fr-CH"/>
        </w:rPr>
      </w:pPr>
      <w:r w:rsidRPr="002E0960">
        <w:rPr>
          <w:lang w:val="fr-CH"/>
        </w:rPr>
        <w:t>Initiative régionale Ramsar pour la conservation et l’utilisation rationnelle des mangroves</w:t>
      </w:r>
    </w:p>
    <w:p w14:paraId="0637BDA6" w14:textId="77777777" w:rsidR="00F01AC6" w:rsidRPr="002E0960" w:rsidRDefault="00F01AC6" w:rsidP="00876766">
      <w:pPr>
        <w:pStyle w:val="BodyText"/>
        <w:numPr>
          <w:ilvl w:val="1"/>
          <w:numId w:val="4"/>
        </w:numPr>
        <w:ind w:left="709" w:hanging="331"/>
        <w:rPr>
          <w:lang w:val="fr-CH"/>
        </w:rPr>
      </w:pPr>
      <w:r w:rsidRPr="002E0960">
        <w:rPr>
          <w:lang w:val="fr-CH"/>
        </w:rPr>
        <w:t>et des récifs coralliens</w:t>
      </w:r>
    </w:p>
    <w:p w14:paraId="2373360A" w14:textId="74AFFF0C" w:rsidR="00F01AC6" w:rsidRPr="002E0960" w:rsidRDefault="00F01AC6" w:rsidP="00876766">
      <w:pPr>
        <w:pStyle w:val="BodyText"/>
        <w:numPr>
          <w:ilvl w:val="1"/>
          <w:numId w:val="4"/>
        </w:numPr>
        <w:ind w:left="709" w:hanging="331"/>
        <w:rPr>
          <w:lang w:val="fr-CH"/>
        </w:rPr>
      </w:pPr>
      <w:r w:rsidRPr="002E0960">
        <w:rPr>
          <w:lang w:val="fr-CH"/>
        </w:rPr>
        <w:t>Initiative régionale Ramsar pour le bassin de l’Amazone</w:t>
      </w:r>
    </w:p>
    <w:p w14:paraId="15ECE1F8" w14:textId="6C62C557" w:rsidR="00F01AC6" w:rsidRPr="002E0960" w:rsidRDefault="00F01AC6" w:rsidP="00876766">
      <w:pPr>
        <w:pStyle w:val="BodyText"/>
        <w:numPr>
          <w:ilvl w:val="1"/>
          <w:numId w:val="4"/>
        </w:numPr>
        <w:ind w:left="709" w:hanging="331"/>
        <w:rPr>
          <w:lang w:val="fr-CH"/>
        </w:rPr>
      </w:pPr>
      <w:r w:rsidRPr="002E0960">
        <w:rPr>
          <w:lang w:val="fr-CH"/>
        </w:rPr>
        <w:t>Partenariat pour la voie de migration Asie de l’Est-Australasie</w:t>
      </w:r>
    </w:p>
    <w:p w14:paraId="3BA5B3BF" w14:textId="50007403" w:rsidR="00F01AC6" w:rsidRPr="002E0960" w:rsidRDefault="00F01AC6" w:rsidP="00876766">
      <w:pPr>
        <w:pStyle w:val="BodyText"/>
        <w:numPr>
          <w:ilvl w:val="1"/>
          <w:numId w:val="4"/>
        </w:numPr>
        <w:ind w:left="709" w:hanging="331"/>
        <w:rPr>
          <w:lang w:val="fr-CH"/>
        </w:rPr>
      </w:pPr>
      <w:r w:rsidRPr="002E0960">
        <w:rPr>
          <w:lang w:val="fr-CH"/>
        </w:rPr>
        <w:t>Initiative régionale Ramsar pour l’Asie centrale</w:t>
      </w:r>
    </w:p>
    <w:p w14:paraId="5EED7941" w14:textId="1D122C31" w:rsidR="00F01AC6" w:rsidRPr="002E0960" w:rsidRDefault="00F01AC6" w:rsidP="00876766">
      <w:pPr>
        <w:pStyle w:val="BodyText"/>
        <w:numPr>
          <w:ilvl w:val="1"/>
          <w:numId w:val="4"/>
        </w:numPr>
        <w:ind w:left="709" w:hanging="331"/>
        <w:rPr>
          <w:lang w:val="fr-CH"/>
        </w:rPr>
      </w:pPr>
      <w:r w:rsidRPr="002E0960">
        <w:rPr>
          <w:lang w:val="fr-CH"/>
        </w:rPr>
        <w:t>Initiative régionale Ramsar indo-birmane</w:t>
      </w:r>
    </w:p>
    <w:p w14:paraId="5751AEC5" w14:textId="7F5FC254" w:rsidR="00F01AC6" w:rsidRPr="002E0960" w:rsidRDefault="00F01AC6" w:rsidP="00876766">
      <w:pPr>
        <w:pStyle w:val="BodyText"/>
        <w:numPr>
          <w:ilvl w:val="1"/>
          <w:numId w:val="4"/>
        </w:numPr>
        <w:ind w:left="709" w:hanging="331"/>
        <w:rPr>
          <w:lang w:val="fr-CH"/>
        </w:rPr>
      </w:pPr>
      <w:r w:rsidRPr="002E0960">
        <w:rPr>
          <w:lang w:val="fr-CH"/>
        </w:rPr>
        <w:t>Initiative régionale Ramsar pour les zones humides méditerranéennes (MedWet)</w:t>
      </w:r>
    </w:p>
    <w:p w14:paraId="73AA9494" w14:textId="31E4D762" w:rsidR="00F01AC6" w:rsidRPr="002E0960" w:rsidRDefault="00F01AC6" w:rsidP="00876766">
      <w:pPr>
        <w:pStyle w:val="BodyText"/>
        <w:numPr>
          <w:ilvl w:val="1"/>
          <w:numId w:val="4"/>
        </w:numPr>
        <w:ind w:left="709" w:hanging="331"/>
        <w:rPr>
          <w:lang w:val="fr-CH"/>
        </w:rPr>
      </w:pPr>
      <w:r w:rsidRPr="002E0960">
        <w:rPr>
          <w:lang w:val="fr-CH"/>
        </w:rPr>
        <w:t>Initiative régionale Ramsar pour les zones humides des Carpates</w:t>
      </w:r>
    </w:p>
    <w:p w14:paraId="7212E9DF" w14:textId="109A8EB8" w:rsidR="00F01AC6" w:rsidRPr="002E0960" w:rsidRDefault="00F01AC6" w:rsidP="00876766">
      <w:pPr>
        <w:pStyle w:val="BodyText"/>
        <w:numPr>
          <w:ilvl w:val="1"/>
          <w:numId w:val="4"/>
        </w:numPr>
        <w:ind w:left="709" w:hanging="331"/>
        <w:rPr>
          <w:lang w:val="fr-CH"/>
        </w:rPr>
      </w:pPr>
      <w:r w:rsidRPr="002E0960">
        <w:rPr>
          <w:lang w:val="fr-CH"/>
        </w:rPr>
        <w:t>Initiative régionale Ramsar pour les zones humides nordiques-baltiques (NorBalWet)</w:t>
      </w:r>
    </w:p>
    <w:p w14:paraId="5AA316CE" w14:textId="0CA3C10E" w:rsidR="00F01AC6" w:rsidRPr="002E0960" w:rsidRDefault="00F01AC6" w:rsidP="00876766">
      <w:pPr>
        <w:pStyle w:val="BodyText"/>
        <w:numPr>
          <w:ilvl w:val="1"/>
          <w:numId w:val="4"/>
        </w:numPr>
        <w:ind w:left="709" w:hanging="331"/>
        <w:rPr>
          <w:lang w:val="fr-CH"/>
        </w:rPr>
      </w:pPr>
      <w:r w:rsidRPr="002E0960">
        <w:rPr>
          <w:lang w:val="fr-CH"/>
        </w:rPr>
        <w:t>Initiative régionale Ramsar pour les zones humides côtières de la mer Noire et de la mer</w:t>
      </w:r>
    </w:p>
    <w:p w14:paraId="7355A56C" w14:textId="33F24F82" w:rsidR="00F01AC6" w:rsidRPr="002E0960" w:rsidRDefault="00F01AC6" w:rsidP="00876766">
      <w:pPr>
        <w:pStyle w:val="BodyText"/>
        <w:widowControl/>
        <w:numPr>
          <w:ilvl w:val="1"/>
          <w:numId w:val="4"/>
        </w:numPr>
        <w:ind w:left="709" w:hanging="331"/>
        <w:rPr>
          <w:lang w:val="fr-CH"/>
        </w:rPr>
      </w:pPr>
      <w:r w:rsidRPr="002E0960">
        <w:rPr>
          <w:lang w:val="fr-CH"/>
        </w:rPr>
        <w:t>d’Azov (BlackSeaWet)</w:t>
      </w:r>
    </w:p>
    <w:p w14:paraId="55DDAE30" w14:textId="03BF19E1" w:rsidR="006A00E5" w:rsidRPr="002E0960" w:rsidRDefault="00F01AC6" w:rsidP="00876766">
      <w:pPr>
        <w:pStyle w:val="BodyText"/>
        <w:widowControl/>
        <w:numPr>
          <w:ilvl w:val="1"/>
          <w:numId w:val="4"/>
        </w:numPr>
        <w:ind w:left="709" w:hanging="331"/>
        <w:rPr>
          <w:lang w:val="fr-CH"/>
        </w:rPr>
      </w:pPr>
      <w:r w:rsidRPr="002E0960">
        <w:rPr>
          <w:lang w:val="fr-CH"/>
        </w:rPr>
        <w:t>Initiative régionale Ramsar pour l’Afrique australe</w:t>
      </w:r>
      <w:r w:rsidR="006A00E5" w:rsidRPr="002E0960">
        <w:rPr>
          <w:rFonts w:asciiTheme="minorHAnsi" w:eastAsia="Yu Mincho" w:hAnsiTheme="minorHAnsi" w:cstheme="minorHAnsi"/>
          <w:lang w:val="fr-CH" w:eastAsia="ja-JP"/>
        </w:rPr>
        <w:t xml:space="preserve"> (</w:t>
      </w:r>
      <w:r w:rsidRPr="002E0960">
        <w:rPr>
          <w:rFonts w:asciiTheme="minorHAnsi" w:eastAsia="Yu Mincho" w:hAnsiTheme="minorHAnsi" w:cstheme="minorHAnsi"/>
          <w:lang w:val="fr-CH" w:eastAsia="ja-JP"/>
        </w:rPr>
        <w:t xml:space="preserve">sous réserve de </w:t>
      </w:r>
      <w:r w:rsidR="00CF4177" w:rsidRPr="002E0960">
        <w:rPr>
          <w:rFonts w:asciiTheme="minorHAnsi" w:eastAsia="Yu Mincho" w:hAnsiTheme="minorHAnsi" w:cstheme="minorHAnsi"/>
          <w:lang w:val="fr-CH" w:eastAsia="ja-JP"/>
        </w:rPr>
        <w:t>la décision de</w:t>
      </w:r>
      <w:r w:rsidRPr="002E0960">
        <w:rPr>
          <w:rFonts w:asciiTheme="minorHAnsi" w:eastAsia="Yu Mincho" w:hAnsiTheme="minorHAnsi" w:cstheme="minorHAnsi"/>
          <w:lang w:val="fr-CH" w:eastAsia="ja-JP"/>
        </w:rPr>
        <w:t xml:space="preserve"> la 59</w:t>
      </w:r>
      <w:r w:rsidRPr="002E0960">
        <w:rPr>
          <w:rFonts w:asciiTheme="minorHAnsi" w:eastAsia="Yu Mincho" w:hAnsiTheme="minorHAnsi" w:cstheme="minorHAnsi"/>
          <w:vertAlign w:val="superscript"/>
          <w:lang w:val="fr-CH" w:eastAsia="ja-JP"/>
        </w:rPr>
        <w:t>e</w:t>
      </w:r>
      <w:r w:rsidR="00AA49F6" w:rsidRPr="002E0960">
        <w:rPr>
          <w:rFonts w:asciiTheme="minorHAnsi" w:eastAsia="Yu Mincho" w:hAnsiTheme="minorHAnsi" w:cstheme="minorHAnsi"/>
          <w:lang w:val="fr-CH" w:eastAsia="ja-JP"/>
        </w:rPr>
        <w:t> </w:t>
      </w:r>
      <w:r w:rsidRPr="002E0960">
        <w:rPr>
          <w:rFonts w:asciiTheme="minorHAnsi" w:eastAsia="Yu Mincho" w:hAnsiTheme="minorHAnsi" w:cstheme="minorHAnsi"/>
          <w:lang w:val="fr-CH" w:eastAsia="ja-JP"/>
        </w:rPr>
        <w:t>Réunion du Comité permanent</w:t>
      </w:r>
      <w:r w:rsidR="006A00E5" w:rsidRPr="002E0960">
        <w:rPr>
          <w:rFonts w:asciiTheme="minorHAnsi" w:eastAsia="Yu Mincho" w:hAnsiTheme="minorHAnsi" w:cstheme="minorHAnsi"/>
          <w:lang w:val="fr-CH" w:eastAsia="ja-JP"/>
        </w:rPr>
        <w:t>)</w:t>
      </w:r>
      <w:r w:rsidRPr="002E0960">
        <w:rPr>
          <w:rFonts w:asciiTheme="minorHAnsi" w:eastAsia="Yu Mincho" w:hAnsiTheme="minorHAnsi" w:cstheme="minorHAnsi"/>
          <w:lang w:val="fr-CH" w:eastAsia="ja-JP"/>
        </w:rPr>
        <w:t>.</w:t>
      </w:r>
    </w:p>
    <w:p w14:paraId="34705030" w14:textId="77777777" w:rsidR="006A00E5" w:rsidRPr="00F01AC6" w:rsidRDefault="006A00E5" w:rsidP="006A00E5">
      <w:pPr>
        <w:rPr>
          <w:lang w:val="fr-FR"/>
        </w:rPr>
      </w:pPr>
    </w:p>
    <w:p w14:paraId="53C118BA" w14:textId="1E7D2F3E" w:rsidR="006A00E5" w:rsidRPr="00876766" w:rsidRDefault="006A00E5" w:rsidP="00876766">
      <w:pPr>
        <w:pStyle w:val="ListParagraph"/>
        <w:numPr>
          <w:ilvl w:val="0"/>
          <w:numId w:val="14"/>
        </w:numPr>
        <w:rPr>
          <w:lang w:val="fr-CH"/>
        </w:rPr>
      </w:pPr>
      <w:r w:rsidRPr="00876766">
        <w:rPr>
          <w:lang w:val="fr-CH"/>
        </w:rPr>
        <w:t>[</w:t>
      </w:r>
      <w:r w:rsidR="00876766">
        <w:rPr>
          <w:lang w:val="fr-CH"/>
        </w:rPr>
        <w:t xml:space="preserve">PRIE INSTAMMENT d’instaurer des liens appropriés entre les IRR </w:t>
      </w:r>
      <w:r w:rsidR="002E0960">
        <w:rPr>
          <w:lang w:val="fr-CH"/>
        </w:rPr>
        <w:t>sous un angle</w:t>
      </w:r>
      <w:r w:rsidR="00876766">
        <w:rPr>
          <w:lang w:val="fr-CH"/>
        </w:rPr>
        <w:t xml:space="preserve"> géographique et thématique pour garantir l’application de leurs plans d’action de manière </w:t>
      </w:r>
      <w:r w:rsidR="002E0960">
        <w:rPr>
          <w:lang w:val="fr-CH"/>
        </w:rPr>
        <w:t>coordonnée</w:t>
      </w:r>
      <w:r w:rsidRPr="00876766">
        <w:rPr>
          <w:lang w:val="fr-CH"/>
        </w:rPr>
        <w:t>]</w:t>
      </w:r>
      <w:r w:rsidR="00876766">
        <w:rPr>
          <w:lang w:val="fr-CH"/>
        </w:rPr>
        <w:t xml:space="preserve">. </w:t>
      </w:r>
    </w:p>
    <w:p w14:paraId="31DE88DD" w14:textId="77777777" w:rsidR="006A00E5" w:rsidRPr="00876766" w:rsidRDefault="006A00E5" w:rsidP="006A00E5">
      <w:pPr>
        <w:rPr>
          <w:lang w:val="fr-CH"/>
        </w:rPr>
      </w:pPr>
    </w:p>
    <w:p w14:paraId="41355256" w14:textId="6BBC73C0" w:rsidR="006A00E5" w:rsidRPr="00876766" w:rsidRDefault="006A00E5" w:rsidP="00876766">
      <w:pPr>
        <w:pStyle w:val="ListParagraph"/>
        <w:numPr>
          <w:ilvl w:val="0"/>
          <w:numId w:val="14"/>
        </w:numPr>
        <w:rPr>
          <w:lang w:val="fr-CH"/>
        </w:rPr>
      </w:pPr>
      <w:r w:rsidRPr="00876766">
        <w:rPr>
          <w:lang w:val="fr-CH"/>
        </w:rPr>
        <w:t>D</w:t>
      </w:r>
      <w:r w:rsidR="00876766">
        <w:rPr>
          <w:lang w:val="fr-CH"/>
        </w:rPr>
        <w:t xml:space="preserve">ÉCIDE que les </w:t>
      </w:r>
      <w:r w:rsidR="001E1A95">
        <w:rPr>
          <w:lang w:val="fr-CH"/>
        </w:rPr>
        <w:t>R</w:t>
      </w:r>
      <w:r w:rsidR="00876766">
        <w:rPr>
          <w:lang w:val="fr-CH"/>
        </w:rPr>
        <w:t xml:space="preserve">ésolutions et </w:t>
      </w:r>
      <w:r w:rsidR="001E1A95">
        <w:rPr>
          <w:lang w:val="fr-CH"/>
        </w:rPr>
        <w:t>R</w:t>
      </w:r>
      <w:r w:rsidR="00876766">
        <w:rPr>
          <w:lang w:val="fr-CH"/>
        </w:rPr>
        <w:t xml:space="preserve">ecommandations figurant dans l’Annexe 3 </w:t>
      </w:r>
      <w:r w:rsidR="002E0960">
        <w:rPr>
          <w:lang w:val="fr-CH"/>
        </w:rPr>
        <w:t>sont abrogées</w:t>
      </w:r>
      <w:r w:rsidR="00876766">
        <w:rPr>
          <w:lang w:val="fr-CH"/>
        </w:rPr>
        <w:t>.</w:t>
      </w:r>
    </w:p>
    <w:p w14:paraId="35A49518" w14:textId="77777777" w:rsidR="006A00E5" w:rsidRPr="00876766" w:rsidRDefault="006A00E5" w:rsidP="006A00E5">
      <w:pPr>
        <w:rPr>
          <w:lang w:val="fr-CH"/>
        </w:rPr>
      </w:pPr>
    </w:p>
    <w:p w14:paraId="6212A181" w14:textId="77777777" w:rsidR="00876766" w:rsidRDefault="00876766">
      <w:pPr>
        <w:rPr>
          <w:b/>
          <w:i/>
          <w:lang w:val="fr-FR"/>
        </w:rPr>
      </w:pPr>
      <w:bookmarkStart w:id="2" w:name="_Hlk74044597"/>
      <w:r>
        <w:rPr>
          <w:b/>
          <w:i/>
          <w:lang w:val="fr-FR"/>
        </w:rPr>
        <w:br w:type="page"/>
      </w:r>
    </w:p>
    <w:p w14:paraId="7BB6DE71" w14:textId="1460D686" w:rsidR="007B7631" w:rsidRPr="000C17B6" w:rsidRDefault="00146A8B" w:rsidP="007B7631">
      <w:pPr>
        <w:rPr>
          <w:b/>
          <w:i/>
          <w:lang w:val="fr-FR"/>
        </w:rPr>
      </w:pPr>
      <w:r w:rsidRPr="000C17B6">
        <w:rPr>
          <w:b/>
          <w:i/>
          <w:lang w:val="fr-FR"/>
        </w:rPr>
        <w:lastRenderedPageBreak/>
        <w:t>Annex</w:t>
      </w:r>
      <w:r w:rsidR="00DE1F91" w:rsidRPr="000C17B6">
        <w:rPr>
          <w:b/>
          <w:i/>
          <w:lang w:val="fr-FR"/>
        </w:rPr>
        <w:t>e</w:t>
      </w:r>
      <w:r w:rsidRPr="000C17B6">
        <w:rPr>
          <w:b/>
          <w:i/>
          <w:lang w:val="fr-FR"/>
        </w:rPr>
        <w:t xml:space="preserve"> I </w:t>
      </w:r>
      <w:r w:rsidR="00DE1F91" w:rsidRPr="000C17B6">
        <w:rPr>
          <w:b/>
          <w:i/>
          <w:lang w:val="fr-FR"/>
        </w:rPr>
        <w:t>au projet de ré</w:t>
      </w:r>
      <w:r w:rsidRPr="000C17B6">
        <w:rPr>
          <w:b/>
          <w:i/>
          <w:lang w:val="fr-FR"/>
        </w:rPr>
        <w:t>solution</w:t>
      </w:r>
    </w:p>
    <w:p w14:paraId="3180A0C9" w14:textId="77777777" w:rsidR="007B7631" w:rsidRPr="000C17B6" w:rsidRDefault="007B7631" w:rsidP="007B7631">
      <w:pPr>
        <w:rPr>
          <w:lang w:val="fr-FR"/>
        </w:rPr>
      </w:pPr>
    </w:p>
    <w:p w14:paraId="2EA5006F" w14:textId="371ACCD3" w:rsidR="007B7631" w:rsidRPr="000C17B6" w:rsidRDefault="000C17B6" w:rsidP="00146A8B">
      <w:pPr>
        <w:ind w:left="0" w:firstLine="0"/>
        <w:rPr>
          <w:b/>
          <w:i/>
          <w:lang w:val="fr-FR"/>
        </w:rPr>
      </w:pPr>
      <w:r w:rsidRPr="000C17B6">
        <w:rPr>
          <w:b/>
          <w:i/>
          <w:lang w:val="fr-FR"/>
        </w:rPr>
        <w:t xml:space="preserve">Directives </w:t>
      </w:r>
      <w:r>
        <w:rPr>
          <w:b/>
          <w:i/>
          <w:lang w:val="fr-FR"/>
        </w:rPr>
        <w:t>opérationnelles</w:t>
      </w:r>
      <w:r w:rsidRPr="000C17B6">
        <w:rPr>
          <w:b/>
          <w:i/>
          <w:lang w:val="fr-FR"/>
        </w:rPr>
        <w:t xml:space="preserve"> pour les Initiatives régionales Ramsar </w:t>
      </w:r>
      <w:r>
        <w:rPr>
          <w:b/>
          <w:i/>
          <w:lang w:val="fr-FR"/>
        </w:rPr>
        <w:t>en appui à la mise en œuvre</w:t>
      </w:r>
      <w:r w:rsidR="007B7631" w:rsidRPr="000C17B6">
        <w:rPr>
          <w:b/>
          <w:i/>
          <w:lang w:val="fr-FR"/>
        </w:rPr>
        <w:t xml:space="preserve"> </w:t>
      </w:r>
      <w:r>
        <w:rPr>
          <w:b/>
          <w:i/>
          <w:lang w:val="fr-FR"/>
        </w:rPr>
        <w:t>de la</w:t>
      </w:r>
      <w:r w:rsidR="007B7631" w:rsidRPr="000C17B6">
        <w:rPr>
          <w:b/>
          <w:i/>
          <w:lang w:val="fr-FR"/>
        </w:rPr>
        <w:t xml:space="preserve"> Convention</w:t>
      </w:r>
    </w:p>
    <w:p w14:paraId="4348A541" w14:textId="77777777" w:rsidR="007B7631" w:rsidRPr="000C17B6" w:rsidRDefault="007B7631" w:rsidP="007B7631">
      <w:pPr>
        <w:pStyle w:val="ListParagraph"/>
        <w:rPr>
          <w:rFonts w:cstheme="minorHAnsi"/>
          <w:lang w:val="fr-FR"/>
        </w:rPr>
      </w:pPr>
    </w:p>
    <w:p w14:paraId="54F875CB" w14:textId="44EC9682" w:rsidR="007B7631" w:rsidRPr="001E1A95" w:rsidRDefault="00DE1F91" w:rsidP="00A77D00">
      <w:pPr>
        <w:pStyle w:val="ListParagraph"/>
        <w:numPr>
          <w:ilvl w:val="0"/>
          <w:numId w:val="6"/>
        </w:numPr>
        <w:ind w:left="426" w:hanging="426"/>
        <w:rPr>
          <w:rFonts w:cstheme="minorHAnsi"/>
          <w:color w:val="000000" w:themeColor="text1"/>
          <w:lang w:val="fr-FR"/>
        </w:rPr>
      </w:pPr>
      <w:r w:rsidRPr="001E1A95">
        <w:rPr>
          <w:rFonts w:cstheme="minorHAnsi"/>
          <w:color w:val="000000" w:themeColor="text1"/>
          <w:lang w:val="fr-FR"/>
        </w:rPr>
        <w:t>Sous l’égide de la Convention sur les zones humides, les Initiatives régionales Ramsar (IRR) ont pour vocation d’être des moyens opérationnels d’apporter un appui à la mise en œuvre améliorée des objectifs de la Convention sur les zones humides et de son Plan stratégique. Les Directives opérationnelles visent à garantir que les IRR soutiennent activement et réellement les Parties contractantes ayant un intérêt commun, dans une zone, une région ou un écosystème, à protéger les zones humides dans le cadre de la Convention sur les zones humides. Elles soutiennent aussi la réduction des risques</w:t>
      </w:r>
      <w:r w:rsidRPr="001E1A95">
        <w:rPr>
          <w:rStyle w:val="FootnoteReference"/>
          <w:rFonts w:cstheme="minorHAnsi"/>
          <w:color w:val="000000" w:themeColor="text1"/>
          <w:lang w:val="fr-FR"/>
        </w:rPr>
        <w:footnoteReference w:id="2"/>
      </w:r>
      <w:r w:rsidRPr="001E1A95">
        <w:rPr>
          <w:rFonts w:cstheme="minorHAnsi"/>
          <w:color w:val="000000" w:themeColor="text1"/>
          <w:lang w:val="fr-FR"/>
        </w:rPr>
        <w:t>, fournissant et visualisant les mesures possibles à mettre en œuvre par région et renforçant les objectifs de la Convention sous tous leurs aspects dès l’instant où les IRR deviennent opérationnelles.</w:t>
      </w:r>
      <w:r w:rsidR="007B7631" w:rsidRPr="001E1A95">
        <w:rPr>
          <w:rFonts w:eastAsia="Times New Roman" w:cstheme="minorHAnsi"/>
          <w:color w:val="202124"/>
          <w:u w:val="single"/>
          <w:lang w:val="fr-FR"/>
        </w:rPr>
        <w:t xml:space="preserve"> </w:t>
      </w:r>
    </w:p>
    <w:p w14:paraId="5ACBDC03" w14:textId="77777777" w:rsidR="007B7631" w:rsidRPr="00DE1F91" w:rsidRDefault="007B7631" w:rsidP="007B7631">
      <w:pPr>
        <w:ind w:left="426" w:hanging="426"/>
        <w:rPr>
          <w:rFonts w:cstheme="minorHAnsi"/>
          <w:color w:val="000000" w:themeColor="text1"/>
          <w:lang w:val="fr-FR"/>
        </w:rPr>
      </w:pPr>
    </w:p>
    <w:p w14:paraId="59C4552D" w14:textId="6CE2B7B5" w:rsidR="007B7631" w:rsidRPr="001E1A95" w:rsidRDefault="000C17B6" w:rsidP="00A77D00">
      <w:pPr>
        <w:pStyle w:val="ListParagraph"/>
        <w:numPr>
          <w:ilvl w:val="0"/>
          <w:numId w:val="6"/>
        </w:numPr>
        <w:ind w:left="426" w:hanging="426"/>
        <w:rPr>
          <w:rFonts w:cs="Calibri"/>
          <w:color w:val="000000" w:themeColor="text1"/>
          <w:lang w:val="fr-FR"/>
        </w:rPr>
      </w:pPr>
      <w:r w:rsidRPr="001E1A95">
        <w:rPr>
          <w:rFonts w:cstheme="minorHAnsi"/>
          <w:color w:val="000000" w:themeColor="text1"/>
          <w:lang w:val="fr-FR"/>
        </w:rPr>
        <w:t>Par ailleurs, les nouvelles Directives opérationnelles ont pour objet de bien faire comprendre que ni les Parties contractantes, ni les IRR auxquelles elles participent ne peuvent s’exprimer au nom de la Convention sur les zones humides ; elles ne peuvent représenter qu’elles-mêmes.</w:t>
      </w:r>
      <w:r w:rsidR="00BB3D89" w:rsidRPr="001E1A95">
        <w:rPr>
          <w:rFonts w:cstheme="minorHAnsi"/>
          <w:color w:val="000000" w:themeColor="text1"/>
          <w:lang w:val="fr-FR"/>
        </w:rPr>
        <w:t xml:space="preserve"> </w:t>
      </w:r>
      <w:r w:rsidRPr="001E1A95">
        <w:rPr>
          <w:rFonts w:cstheme="minorHAnsi"/>
          <w:color w:val="000000" w:themeColor="text1"/>
          <w:lang w:val="fr-FR"/>
        </w:rPr>
        <w:t>Le but est d’aider</w:t>
      </w:r>
      <w:r w:rsidR="00CF74F3" w:rsidRPr="001E1A95">
        <w:rPr>
          <w:rFonts w:cstheme="minorHAnsi"/>
          <w:color w:val="000000" w:themeColor="text1"/>
          <w:lang w:val="fr-FR"/>
        </w:rPr>
        <w:t xml:space="preserve"> à</w:t>
      </w:r>
      <w:r w:rsidRPr="001E1A95">
        <w:rPr>
          <w:rFonts w:cstheme="minorHAnsi"/>
          <w:color w:val="000000" w:themeColor="text1"/>
          <w:lang w:val="fr-FR"/>
        </w:rPr>
        <w:t xml:space="preserve"> </w:t>
      </w:r>
      <w:r w:rsidR="00CF74F3" w:rsidRPr="001E1A95">
        <w:rPr>
          <w:rFonts w:cstheme="minorHAnsi"/>
          <w:color w:val="000000" w:themeColor="text1"/>
          <w:lang w:val="fr-FR"/>
        </w:rPr>
        <w:t>atténuer les risques que les activités des IRR, sous tous leurs aspects, représentent pour la réputation de la Convention.</w:t>
      </w:r>
      <w:r w:rsidR="007B7631" w:rsidRPr="001E1A95">
        <w:rPr>
          <w:rFonts w:cs="Calibri"/>
          <w:color w:val="000000" w:themeColor="text1"/>
          <w:lang w:val="fr-FR"/>
        </w:rPr>
        <w:t xml:space="preserve"> </w:t>
      </w:r>
    </w:p>
    <w:p w14:paraId="5C048360" w14:textId="77777777" w:rsidR="007B7631" w:rsidRPr="00CF74F3" w:rsidRDefault="007B7631" w:rsidP="007B7631">
      <w:pPr>
        <w:pStyle w:val="ListParagraph"/>
        <w:ind w:left="426" w:hanging="426"/>
        <w:rPr>
          <w:rFonts w:cs="Calibri"/>
          <w:color w:val="000000" w:themeColor="text1"/>
          <w:lang w:val="fr-FR"/>
        </w:rPr>
      </w:pPr>
    </w:p>
    <w:p w14:paraId="3430E686" w14:textId="5AF93F89" w:rsidR="007B7631" w:rsidRPr="001E1A95" w:rsidRDefault="00CF74F3" w:rsidP="00A77D00">
      <w:pPr>
        <w:pStyle w:val="ListParagraph"/>
        <w:numPr>
          <w:ilvl w:val="0"/>
          <w:numId w:val="6"/>
        </w:numPr>
        <w:ind w:left="426" w:hanging="426"/>
        <w:rPr>
          <w:rFonts w:cs="Calibri"/>
          <w:color w:val="000000" w:themeColor="text1"/>
          <w:lang w:val="fr-FR"/>
        </w:rPr>
      </w:pPr>
      <w:r w:rsidRPr="001E1A95">
        <w:rPr>
          <w:rFonts w:cs="Calibri"/>
          <w:color w:val="000000" w:themeColor="text1"/>
          <w:lang w:val="fr-FR"/>
        </w:rPr>
        <w:t>Les</w:t>
      </w:r>
      <w:r w:rsidR="007B7631" w:rsidRPr="001E1A95">
        <w:rPr>
          <w:rFonts w:cs="Calibri"/>
          <w:color w:val="000000" w:themeColor="text1"/>
          <w:lang w:val="fr-FR"/>
        </w:rPr>
        <w:t xml:space="preserve"> </w:t>
      </w:r>
      <w:r w:rsidRPr="001E1A95">
        <w:rPr>
          <w:rFonts w:cs="Calibri"/>
          <w:color w:val="000000" w:themeColor="text1"/>
          <w:lang w:val="fr-FR"/>
        </w:rPr>
        <w:t>IRR ont différents modes de gouvernance et de coordination, ainsi que différentes pratiques de gestion financière et opérationnelle</w:t>
      </w:r>
      <w:r w:rsidR="007B7631" w:rsidRPr="001E1A95">
        <w:rPr>
          <w:rFonts w:cs="Calibri"/>
          <w:color w:val="000000" w:themeColor="text1"/>
          <w:lang w:val="fr-FR"/>
        </w:rPr>
        <w:t xml:space="preserve">. </w:t>
      </w:r>
      <w:r w:rsidRPr="001E1A95">
        <w:rPr>
          <w:rFonts w:cs="Calibri"/>
          <w:color w:val="000000" w:themeColor="text1"/>
          <w:lang w:val="fr-FR"/>
        </w:rPr>
        <w:t>Pour l’instant, certains d’entre eux ne semblent pas être aussi solides qu’ils pourraient l’être</w:t>
      </w:r>
      <w:r w:rsidR="007B7631" w:rsidRPr="001E1A95">
        <w:rPr>
          <w:rFonts w:cs="Calibri"/>
          <w:color w:val="000000" w:themeColor="text1"/>
          <w:lang w:val="fr-FR"/>
        </w:rPr>
        <w:t xml:space="preserve">. </w:t>
      </w:r>
    </w:p>
    <w:p w14:paraId="530864B1" w14:textId="77777777" w:rsidR="007B7631" w:rsidRPr="00CF74F3" w:rsidRDefault="007B7631" w:rsidP="007B7631">
      <w:pPr>
        <w:ind w:left="426" w:hanging="426"/>
        <w:rPr>
          <w:rFonts w:cs="Calibri"/>
          <w:color w:val="000000" w:themeColor="text1"/>
          <w:lang w:val="fr-FR"/>
        </w:rPr>
      </w:pPr>
    </w:p>
    <w:p w14:paraId="040BB51E" w14:textId="77EF7E4C" w:rsidR="007B7631" w:rsidRPr="001E1A95" w:rsidRDefault="00CF74F3" w:rsidP="00A77D00">
      <w:pPr>
        <w:pStyle w:val="ListParagraph"/>
        <w:numPr>
          <w:ilvl w:val="0"/>
          <w:numId w:val="6"/>
        </w:numPr>
        <w:ind w:left="426" w:hanging="426"/>
        <w:rPr>
          <w:rFonts w:cs="Calibri"/>
          <w:color w:val="000000" w:themeColor="text1"/>
          <w:lang w:val="fr-FR"/>
        </w:rPr>
      </w:pPr>
      <w:r w:rsidRPr="001E1A95">
        <w:rPr>
          <w:rFonts w:cs="Calibri"/>
          <w:color w:val="000000" w:themeColor="text1"/>
          <w:lang w:val="fr-FR"/>
        </w:rPr>
        <w:t>Les Directives opérationnelles</w:t>
      </w:r>
      <w:r w:rsidR="007B7631" w:rsidRPr="001E1A95">
        <w:rPr>
          <w:rFonts w:cs="Calibri"/>
          <w:color w:val="000000" w:themeColor="text1"/>
          <w:lang w:val="fr-FR"/>
        </w:rPr>
        <w:t xml:space="preserve"> </w:t>
      </w:r>
      <w:r w:rsidRPr="001E1A95">
        <w:rPr>
          <w:rFonts w:cs="Calibri"/>
          <w:color w:val="000000" w:themeColor="text1"/>
          <w:lang w:val="fr-FR"/>
        </w:rPr>
        <w:t xml:space="preserve">ont aussi pour but de veiller à ce que la COP accorde une réelle reconnaissance et une caution formelle plus ferme aux IRR qui fonctionnent bien, en s’appuyant sur des évaluations indépendantes et des audits réguliers. Ce type de reconnaissance les aidera à mobiliser des ressources et à obtenir un appui renforcé de tierces parties, y compris de donateurs souhaitant financer des projets régionaux pour améliorer l’application des priorités stratégiques de la Convention dans différentes régions. Il est, d’ailleurs, tout aussi important que la COP soit informée des difficultés rencontrées par certaines IRR. </w:t>
      </w:r>
      <w:r w:rsidR="007B7631" w:rsidRPr="001E1A95">
        <w:rPr>
          <w:rFonts w:cs="Calibri"/>
          <w:color w:val="000000" w:themeColor="text1"/>
          <w:lang w:val="fr-FR"/>
        </w:rPr>
        <w:t xml:space="preserve"> </w:t>
      </w:r>
    </w:p>
    <w:p w14:paraId="502FF911" w14:textId="77777777" w:rsidR="007B7631" w:rsidRPr="00CF74F3" w:rsidRDefault="007B7631" w:rsidP="007B7631">
      <w:pPr>
        <w:rPr>
          <w:rFonts w:cs="Calibri"/>
          <w:color w:val="000000" w:themeColor="text1"/>
          <w:lang w:val="fr-FR"/>
        </w:rPr>
      </w:pPr>
    </w:p>
    <w:p w14:paraId="5B72F1B7" w14:textId="71FC2C32" w:rsidR="007B7631" w:rsidRPr="001E1A95" w:rsidRDefault="00CF74F3" w:rsidP="00A77D00">
      <w:pPr>
        <w:pStyle w:val="ListParagraph"/>
        <w:numPr>
          <w:ilvl w:val="0"/>
          <w:numId w:val="6"/>
        </w:numPr>
        <w:ind w:left="426" w:hanging="426"/>
        <w:rPr>
          <w:rFonts w:cstheme="minorHAnsi"/>
          <w:color w:val="000000" w:themeColor="text1"/>
          <w:lang w:val="fr-FR"/>
        </w:rPr>
      </w:pPr>
      <w:r w:rsidRPr="001E1A95">
        <w:rPr>
          <w:rFonts w:cstheme="minorHAnsi"/>
          <w:color w:val="000000" w:themeColor="text1"/>
          <w:lang w:val="fr-FR"/>
        </w:rPr>
        <w:t xml:space="preserve">Les Directives opérationnelles devraient être considérées comme un guide </w:t>
      </w:r>
      <w:r w:rsidR="005653BB" w:rsidRPr="001E1A95">
        <w:rPr>
          <w:rFonts w:cstheme="minorHAnsi"/>
          <w:color w:val="000000" w:themeColor="text1"/>
          <w:lang w:val="fr-FR"/>
        </w:rPr>
        <w:t>relatif à la</w:t>
      </w:r>
      <w:r w:rsidRPr="001E1A95">
        <w:rPr>
          <w:rFonts w:cstheme="minorHAnsi"/>
          <w:color w:val="000000" w:themeColor="text1"/>
          <w:lang w:val="fr-FR"/>
        </w:rPr>
        <w:t xml:space="preserve"> viabilité des IRR et </w:t>
      </w:r>
      <w:r w:rsidR="005653BB" w:rsidRPr="001E1A95">
        <w:rPr>
          <w:rFonts w:cstheme="minorHAnsi"/>
          <w:color w:val="000000" w:themeColor="text1"/>
          <w:lang w:val="fr-FR"/>
        </w:rPr>
        <w:t>à tout ce qui peut leur permettre de préserver leur efficacité à long terme</w:t>
      </w:r>
      <w:r w:rsidR="007B7631" w:rsidRPr="001E1A95">
        <w:rPr>
          <w:rFonts w:cstheme="minorHAnsi"/>
          <w:color w:val="000000" w:themeColor="text1"/>
          <w:lang w:val="fr-FR"/>
        </w:rPr>
        <w:t>.</w:t>
      </w:r>
    </w:p>
    <w:p w14:paraId="63AFF2F0" w14:textId="77777777" w:rsidR="007B7631" w:rsidRPr="00CF74F3" w:rsidRDefault="007B7631" w:rsidP="007B7631">
      <w:pPr>
        <w:pStyle w:val="ListParagraph"/>
        <w:ind w:left="426" w:hanging="426"/>
        <w:rPr>
          <w:rFonts w:cs="Calibri"/>
          <w:color w:val="000000" w:themeColor="text1"/>
          <w:lang w:val="fr-FR"/>
        </w:rPr>
      </w:pPr>
    </w:p>
    <w:p w14:paraId="7007CBE2" w14:textId="2F739CD1" w:rsidR="007B7631" w:rsidRPr="001E1A95" w:rsidRDefault="005653BB" w:rsidP="00A77D00">
      <w:pPr>
        <w:pStyle w:val="ListParagraph"/>
        <w:numPr>
          <w:ilvl w:val="0"/>
          <w:numId w:val="6"/>
        </w:numPr>
        <w:ind w:hanging="502"/>
        <w:rPr>
          <w:rFonts w:cs="Calibri"/>
          <w:color w:val="000000" w:themeColor="text1"/>
          <w:lang w:val="fr-FR"/>
        </w:rPr>
      </w:pPr>
      <w:r w:rsidRPr="001E1A95">
        <w:rPr>
          <w:rFonts w:cs="Calibri"/>
          <w:color w:val="000000" w:themeColor="text1"/>
          <w:lang w:val="fr-FR"/>
        </w:rPr>
        <w:t>Ceux qui proposent de nouvelles initiatives régionales seront encouragés à évaluer, dans un premier temps, les enseignements acquis par des IRR existantes pour éviter une répétition des efforts et des erreurs</w:t>
      </w:r>
      <w:r w:rsidR="007B7631" w:rsidRPr="001E1A95">
        <w:rPr>
          <w:rFonts w:cs="Calibri"/>
          <w:color w:val="000000" w:themeColor="text1"/>
          <w:lang w:val="fr-FR"/>
        </w:rPr>
        <w:t xml:space="preserve">. </w:t>
      </w:r>
      <w:r w:rsidRPr="001E1A95">
        <w:rPr>
          <w:rFonts w:cs="Calibri"/>
          <w:color w:val="000000" w:themeColor="text1"/>
          <w:lang w:val="fr-FR"/>
        </w:rPr>
        <w:t>Le modèle</w:t>
      </w:r>
      <w:r w:rsidR="00EA2595" w:rsidRPr="001E1A95">
        <w:rPr>
          <w:rFonts w:cs="Calibri"/>
          <w:color w:val="000000" w:themeColor="text1"/>
          <w:lang w:val="fr-FR"/>
        </w:rPr>
        <w:t xml:space="preserve"> de nouvelles IRR figure dans l’</w:t>
      </w:r>
      <w:r w:rsidR="001E1A95" w:rsidRPr="001E1A95">
        <w:rPr>
          <w:rFonts w:cs="Calibri"/>
          <w:color w:val="000000" w:themeColor="text1"/>
          <w:lang w:val="fr-FR"/>
        </w:rPr>
        <w:t>A</w:t>
      </w:r>
      <w:r w:rsidR="00EA2595" w:rsidRPr="001E1A95">
        <w:rPr>
          <w:rFonts w:cs="Calibri"/>
          <w:color w:val="000000" w:themeColor="text1"/>
          <w:lang w:val="fr-FR"/>
        </w:rPr>
        <w:t>nnexe 1 des présentes Directives opérationnelles</w:t>
      </w:r>
      <w:r w:rsidR="007B7631" w:rsidRPr="001E1A95">
        <w:rPr>
          <w:rFonts w:cs="Calibri"/>
          <w:color w:val="000000" w:themeColor="text1"/>
          <w:lang w:val="fr-FR"/>
        </w:rPr>
        <w:t>.</w:t>
      </w:r>
    </w:p>
    <w:p w14:paraId="7625901D" w14:textId="77777777" w:rsidR="007B7631" w:rsidRPr="00EA2595" w:rsidRDefault="007B7631" w:rsidP="007B7631">
      <w:pPr>
        <w:rPr>
          <w:rFonts w:cs="Calibri"/>
          <w:color w:val="000000" w:themeColor="text1"/>
          <w:lang w:val="fr-FR"/>
        </w:rPr>
      </w:pPr>
    </w:p>
    <w:p w14:paraId="1A16A1D9" w14:textId="32C5B78D" w:rsidR="007B7631" w:rsidRPr="001E1A95" w:rsidRDefault="00EA2595" w:rsidP="00A77D00">
      <w:pPr>
        <w:pStyle w:val="ListParagraph"/>
        <w:numPr>
          <w:ilvl w:val="0"/>
          <w:numId w:val="6"/>
        </w:numPr>
        <w:ind w:left="426" w:hanging="426"/>
        <w:rPr>
          <w:bCs/>
          <w:lang w:val="fr-FR"/>
        </w:rPr>
      </w:pPr>
      <w:r w:rsidRPr="001E1A95">
        <w:rPr>
          <w:bCs/>
          <w:lang w:val="fr-FR"/>
        </w:rPr>
        <w:t>Sachant qu’il y a deux types principaux de structure</w:t>
      </w:r>
      <w:r w:rsidR="009959E7">
        <w:rPr>
          <w:bCs/>
          <w:lang w:val="fr-FR"/>
        </w:rPr>
        <w:t>s</w:t>
      </w:r>
      <w:r w:rsidRPr="001E1A95">
        <w:rPr>
          <w:bCs/>
          <w:lang w:val="fr-FR"/>
        </w:rPr>
        <w:t xml:space="preserve"> de coordination</w:t>
      </w:r>
      <w:r w:rsidR="007B7631" w:rsidRPr="001E1A95">
        <w:rPr>
          <w:rStyle w:val="FootnoteReference"/>
          <w:bCs/>
        </w:rPr>
        <w:footnoteReference w:id="3"/>
      </w:r>
      <w:r w:rsidR="007B7631" w:rsidRPr="001E1A95">
        <w:rPr>
          <w:bCs/>
          <w:lang w:val="fr-FR"/>
        </w:rPr>
        <w:t xml:space="preserve"> </w:t>
      </w:r>
      <w:r w:rsidRPr="001E1A95">
        <w:rPr>
          <w:bCs/>
          <w:lang w:val="fr-FR"/>
        </w:rPr>
        <w:t>des IRR</w:t>
      </w:r>
      <w:r w:rsidR="007B7631" w:rsidRPr="001E1A95">
        <w:rPr>
          <w:bCs/>
          <w:lang w:val="fr-FR"/>
        </w:rPr>
        <w:t xml:space="preserve">, </w:t>
      </w:r>
      <w:r w:rsidRPr="001E1A95">
        <w:rPr>
          <w:bCs/>
          <w:lang w:val="fr-FR"/>
        </w:rPr>
        <w:t>les paragraphes spécifiques ne s’appliquant qu’aux IRR ayant des secrétariats indépendants figurent dans l’</w:t>
      </w:r>
      <w:r w:rsidR="001E1A95" w:rsidRPr="001E1A95">
        <w:rPr>
          <w:bCs/>
          <w:lang w:val="fr-FR"/>
        </w:rPr>
        <w:t>A</w:t>
      </w:r>
      <w:r w:rsidRPr="001E1A95">
        <w:rPr>
          <w:bCs/>
          <w:lang w:val="fr-FR"/>
        </w:rPr>
        <w:t>nnexe 2 des présentes Directives opérationnelles</w:t>
      </w:r>
      <w:r w:rsidR="007B7631" w:rsidRPr="001E1A95">
        <w:rPr>
          <w:bCs/>
          <w:lang w:val="fr-FR"/>
        </w:rPr>
        <w:t>.</w:t>
      </w:r>
    </w:p>
    <w:p w14:paraId="714BB84D" w14:textId="77777777" w:rsidR="007B7631" w:rsidRPr="00EA2595" w:rsidRDefault="007B7631" w:rsidP="007B7631">
      <w:pPr>
        <w:rPr>
          <w:lang w:val="fr-FR"/>
        </w:rPr>
      </w:pPr>
    </w:p>
    <w:p w14:paraId="5A5CC5FF" w14:textId="4D6E4BE1" w:rsidR="007B7631" w:rsidRPr="001E1A95" w:rsidRDefault="007B7631" w:rsidP="00876766">
      <w:pPr>
        <w:keepNext/>
        <w:keepLines/>
        <w:ind w:left="0" w:firstLine="0"/>
        <w:rPr>
          <w:rFonts w:cstheme="minorHAnsi"/>
          <w:b/>
          <w:lang w:val="fr-FR"/>
        </w:rPr>
      </w:pPr>
      <w:r w:rsidRPr="001E1A95">
        <w:rPr>
          <w:rFonts w:cstheme="minorHAnsi"/>
          <w:b/>
          <w:lang w:val="fr-FR"/>
        </w:rPr>
        <w:lastRenderedPageBreak/>
        <w:t>Chap</w:t>
      </w:r>
      <w:r w:rsidR="00597F39" w:rsidRPr="001E1A95">
        <w:rPr>
          <w:rFonts w:cstheme="minorHAnsi"/>
          <w:b/>
          <w:lang w:val="fr-FR"/>
        </w:rPr>
        <w:t>itre</w:t>
      </w:r>
      <w:r w:rsidRPr="001E1A95">
        <w:rPr>
          <w:rFonts w:cstheme="minorHAnsi"/>
          <w:b/>
          <w:lang w:val="fr-FR"/>
        </w:rPr>
        <w:t xml:space="preserve"> 1</w:t>
      </w:r>
      <w:r w:rsidR="00597F39" w:rsidRPr="001E1A95">
        <w:rPr>
          <w:rFonts w:cstheme="minorHAnsi"/>
          <w:b/>
          <w:lang w:val="fr-FR"/>
        </w:rPr>
        <w:t xml:space="preserve"> </w:t>
      </w:r>
      <w:r w:rsidRPr="001E1A95">
        <w:rPr>
          <w:rFonts w:cstheme="minorHAnsi"/>
          <w:b/>
          <w:lang w:val="fr-FR"/>
        </w:rPr>
        <w:t xml:space="preserve">: </w:t>
      </w:r>
      <w:r w:rsidR="00597F39" w:rsidRPr="001E1A95">
        <w:rPr>
          <w:rFonts w:cstheme="minorHAnsi"/>
          <w:b/>
          <w:lang w:val="fr-FR"/>
        </w:rPr>
        <w:t>But et champ d’action des Initiatives régionales Ramsar (IRR)</w:t>
      </w:r>
    </w:p>
    <w:p w14:paraId="3424A333" w14:textId="77777777" w:rsidR="007B7631" w:rsidRPr="001E1A95" w:rsidRDefault="007B7631" w:rsidP="00876766">
      <w:pPr>
        <w:keepNext/>
        <w:keepLines/>
        <w:ind w:left="709"/>
        <w:rPr>
          <w:rFonts w:cstheme="minorHAnsi"/>
          <w:lang w:val="fr-FR"/>
        </w:rPr>
      </w:pPr>
    </w:p>
    <w:p w14:paraId="7C95B404" w14:textId="111F2733" w:rsidR="007B7631" w:rsidRPr="001E1A95" w:rsidRDefault="00404A5F" w:rsidP="00876766">
      <w:pPr>
        <w:pStyle w:val="ListParagraph"/>
        <w:keepNext/>
        <w:keepLines/>
        <w:numPr>
          <w:ilvl w:val="0"/>
          <w:numId w:val="6"/>
        </w:numPr>
        <w:ind w:left="426" w:hanging="426"/>
        <w:rPr>
          <w:rFonts w:cstheme="minorHAnsi"/>
          <w:lang w:val="fr-FR"/>
        </w:rPr>
      </w:pPr>
      <w:r w:rsidRPr="001E1A95">
        <w:rPr>
          <w:rFonts w:cstheme="minorHAnsi"/>
          <w:lang w:val="fr-FR"/>
        </w:rPr>
        <w:t>Les Initiatives régionales Ramsar (IRR) doivent être approuvées (SE) par la Convention ou</w:t>
      </w:r>
      <w:r w:rsidR="007B7631" w:rsidRPr="001E1A95">
        <w:rPr>
          <w:rFonts w:cstheme="minorHAnsi"/>
          <w:lang w:val="fr-FR"/>
        </w:rPr>
        <w:t xml:space="preserve">, </w:t>
      </w:r>
      <w:r w:rsidRPr="001E1A95">
        <w:rPr>
          <w:rFonts w:cstheme="minorHAnsi"/>
          <w:lang w:val="fr-FR"/>
        </w:rPr>
        <w:t>dans l’intersessions, par le Comité permanent si elles sont nouvelles</w:t>
      </w:r>
      <w:r w:rsidR="007B7631" w:rsidRPr="001E1A95">
        <w:rPr>
          <w:rFonts w:cstheme="minorHAnsi"/>
          <w:lang w:val="fr-FR"/>
        </w:rPr>
        <w:t xml:space="preserve"> </w:t>
      </w:r>
      <w:r w:rsidRPr="001E1A95">
        <w:rPr>
          <w:rFonts w:cstheme="minorHAnsi"/>
          <w:lang w:val="fr-FR"/>
        </w:rPr>
        <w:t>et sont soumises à révision à chaque COP.</w:t>
      </w:r>
      <w:r w:rsidR="00BB3D89" w:rsidRPr="001E1A95">
        <w:rPr>
          <w:rFonts w:cstheme="minorHAnsi"/>
          <w:lang w:val="fr-FR"/>
        </w:rPr>
        <w:t xml:space="preserve"> </w:t>
      </w:r>
      <w:r w:rsidR="007B7631" w:rsidRPr="001E1A95">
        <w:rPr>
          <w:rFonts w:cstheme="minorHAnsi"/>
          <w:b/>
          <w:bCs/>
          <w:lang w:val="fr-FR"/>
        </w:rPr>
        <w:t xml:space="preserve"> </w:t>
      </w:r>
      <w:r w:rsidRPr="001E1A95">
        <w:rPr>
          <w:rFonts w:cstheme="minorHAnsi"/>
          <w:b/>
          <w:bCs/>
          <w:lang w:val="fr-FR"/>
        </w:rPr>
        <w:t>Les IRR</w:t>
      </w:r>
      <w:r w:rsidR="007B7631" w:rsidRPr="001E1A95">
        <w:rPr>
          <w:rFonts w:cstheme="minorHAnsi"/>
          <w:b/>
          <w:bCs/>
          <w:lang w:val="fr-FR"/>
        </w:rPr>
        <w:t xml:space="preserve"> </w:t>
      </w:r>
      <w:r w:rsidR="007B7631" w:rsidRPr="001E1A95">
        <w:rPr>
          <w:rFonts w:cstheme="minorHAnsi"/>
          <w:lang w:val="fr-FR"/>
        </w:rPr>
        <w:t>[</w:t>
      </w:r>
      <w:r w:rsidRPr="001E1A95">
        <w:rPr>
          <w:rFonts w:cstheme="minorHAnsi"/>
          <w:lang w:val="fr-FR"/>
        </w:rPr>
        <w:t>Elles</w:t>
      </w:r>
      <w:r w:rsidR="007B7631" w:rsidRPr="001E1A95">
        <w:rPr>
          <w:rFonts w:cstheme="minorHAnsi"/>
          <w:lang w:val="fr-FR"/>
        </w:rPr>
        <w:t xml:space="preserve">] </w:t>
      </w:r>
      <w:r w:rsidRPr="001E1A95">
        <w:rPr>
          <w:rFonts w:cstheme="minorHAnsi"/>
          <w:lang w:val="fr-FR"/>
        </w:rPr>
        <w:t xml:space="preserve">soutiennent l’application effective de la Convention et de son Plan stratégique dans la région géographique qu’elles couvrent. Les IRR améliorent l’application de la Convention grâce à la coopération internationale au niveau régional dans la région, pour des questions </w:t>
      </w:r>
      <w:r w:rsidR="001E1A95" w:rsidRPr="001E1A95">
        <w:rPr>
          <w:rFonts w:cstheme="minorHAnsi"/>
          <w:lang w:val="fr-FR"/>
        </w:rPr>
        <w:t xml:space="preserve">d’intérêt commun, </w:t>
      </w:r>
      <w:r w:rsidRPr="001E1A95">
        <w:rPr>
          <w:rFonts w:cstheme="minorHAnsi"/>
          <w:lang w:val="fr-FR"/>
        </w:rPr>
        <w:t>relatives aux zones humides, impliquant les acteurs pertinents</w:t>
      </w:r>
      <w:r w:rsidR="007B7631" w:rsidRPr="001E1A95">
        <w:rPr>
          <w:rFonts w:cstheme="minorHAnsi"/>
          <w:lang w:val="fr-FR"/>
        </w:rPr>
        <w:t xml:space="preserve">. </w:t>
      </w:r>
    </w:p>
    <w:p w14:paraId="1627EB27" w14:textId="77777777" w:rsidR="007B7631" w:rsidRPr="00404A5F" w:rsidRDefault="007B7631" w:rsidP="007B7631">
      <w:pPr>
        <w:pStyle w:val="ListParagraph"/>
        <w:ind w:left="426"/>
        <w:rPr>
          <w:rFonts w:cstheme="minorHAnsi"/>
          <w:lang w:val="fr-FR"/>
        </w:rPr>
      </w:pPr>
    </w:p>
    <w:p w14:paraId="1474E7A6" w14:textId="014A582E" w:rsidR="007B7631" w:rsidRPr="001E1A95" w:rsidRDefault="001A15A3" w:rsidP="00A77D00">
      <w:pPr>
        <w:pStyle w:val="ListParagraph"/>
        <w:numPr>
          <w:ilvl w:val="0"/>
          <w:numId w:val="6"/>
        </w:numPr>
        <w:ind w:left="426" w:hanging="426"/>
        <w:rPr>
          <w:rFonts w:cstheme="minorHAnsi"/>
          <w:lang w:val="fr-FR"/>
        </w:rPr>
      </w:pPr>
      <w:r w:rsidRPr="001E1A95">
        <w:rPr>
          <w:rFonts w:cstheme="minorHAnsi"/>
          <w:lang w:val="fr-FR"/>
        </w:rPr>
        <w:t>Les IRR peuvent être des centres établis physiquement, qui ont un programme régional de renforcement des capacités ou de formation</w:t>
      </w:r>
      <w:r w:rsidR="007B7631" w:rsidRPr="001E1A95">
        <w:rPr>
          <w:rFonts w:cstheme="minorHAnsi"/>
          <w:lang w:val="fr-FR"/>
        </w:rPr>
        <w:t xml:space="preserve">, </w:t>
      </w:r>
      <w:r w:rsidRPr="001E1A95">
        <w:rPr>
          <w:rFonts w:cstheme="minorHAnsi"/>
          <w:lang w:val="fr-FR"/>
        </w:rPr>
        <w:t>des réseaux de coopération régionale sans établissement physique</w:t>
      </w:r>
      <w:r w:rsidR="007B7631" w:rsidRPr="001E1A95">
        <w:rPr>
          <w:rFonts w:cstheme="minorHAnsi"/>
          <w:lang w:val="fr-FR"/>
        </w:rPr>
        <w:t xml:space="preserve">, </w:t>
      </w:r>
      <w:r w:rsidRPr="001E1A95">
        <w:rPr>
          <w:rFonts w:cstheme="minorHAnsi"/>
          <w:lang w:val="fr-FR"/>
        </w:rPr>
        <w:t>ou une combinaison des deux</w:t>
      </w:r>
      <w:r w:rsidR="007B7631" w:rsidRPr="001E1A95">
        <w:rPr>
          <w:rFonts w:cstheme="minorHAnsi"/>
          <w:lang w:val="fr-FR"/>
        </w:rPr>
        <w:t xml:space="preserve">. </w:t>
      </w:r>
    </w:p>
    <w:p w14:paraId="63E792C9" w14:textId="77777777" w:rsidR="007B7631" w:rsidRPr="001A15A3" w:rsidRDefault="007B7631" w:rsidP="007B7631">
      <w:pPr>
        <w:pStyle w:val="ListParagraph"/>
        <w:ind w:left="426" w:hanging="426"/>
        <w:rPr>
          <w:rFonts w:cstheme="minorHAnsi"/>
          <w:lang w:val="fr-FR"/>
        </w:rPr>
      </w:pPr>
    </w:p>
    <w:p w14:paraId="45F70DCC" w14:textId="6A7C9A49" w:rsidR="007B7631" w:rsidRPr="001E1A95" w:rsidRDefault="00404A5F" w:rsidP="00A77D00">
      <w:pPr>
        <w:pStyle w:val="ListParagraph"/>
        <w:numPr>
          <w:ilvl w:val="0"/>
          <w:numId w:val="6"/>
        </w:numPr>
        <w:ind w:left="426" w:hanging="426"/>
        <w:rPr>
          <w:rFonts w:cstheme="minorHAnsi"/>
          <w:lang w:val="fr-FR"/>
        </w:rPr>
      </w:pPr>
      <w:r w:rsidRPr="001E1A95">
        <w:rPr>
          <w:rFonts w:cstheme="minorHAnsi"/>
          <w:lang w:val="fr-FR"/>
        </w:rPr>
        <w:t>Les régions géographiques couvertes par les IRR sont définies selon les besoins relatifs aux zones humides des acteurs pertinents de la région. Les IRR visent à fournir un appui durable, structurel et opérationnel pour faciliter et améliorer l’application de la Convention dans la région concernée</w:t>
      </w:r>
      <w:r w:rsidR="007B7631" w:rsidRPr="001E1A95">
        <w:rPr>
          <w:rFonts w:cstheme="minorHAnsi"/>
          <w:lang w:val="fr-FR"/>
        </w:rPr>
        <w:t xml:space="preserve">. </w:t>
      </w:r>
    </w:p>
    <w:p w14:paraId="31D930B7" w14:textId="77777777" w:rsidR="007B7631" w:rsidRPr="00404A5F" w:rsidRDefault="007B7631" w:rsidP="007B7631">
      <w:pPr>
        <w:tabs>
          <w:tab w:val="left" w:pos="284"/>
          <w:tab w:val="left" w:pos="426"/>
        </w:tabs>
        <w:ind w:left="426" w:hanging="426"/>
        <w:rPr>
          <w:rFonts w:cstheme="minorHAnsi"/>
          <w:lang w:val="fr-FR"/>
        </w:rPr>
      </w:pPr>
    </w:p>
    <w:p w14:paraId="742E9BA4" w14:textId="69DF7765" w:rsidR="007B7631" w:rsidRPr="001E1A95" w:rsidRDefault="007B7631" w:rsidP="007B7631">
      <w:pPr>
        <w:tabs>
          <w:tab w:val="left" w:pos="284"/>
          <w:tab w:val="left" w:pos="426"/>
        </w:tabs>
        <w:ind w:left="426" w:hanging="426"/>
        <w:rPr>
          <w:rFonts w:cstheme="minorHAnsi"/>
          <w:b/>
          <w:lang w:val="fr-FR"/>
        </w:rPr>
      </w:pPr>
      <w:r w:rsidRPr="001E1A95">
        <w:rPr>
          <w:rFonts w:cstheme="minorHAnsi"/>
          <w:b/>
          <w:lang w:val="fr-FR"/>
        </w:rPr>
        <w:t>Chap</w:t>
      </w:r>
      <w:r w:rsidR="001A15A3" w:rsidRPr="001E1A95">
        <w:rPr>
          <w:rFonts w:cstheme="minorHAnsi"/>
          <w:b/>
          <w:lang w:val="fr-FR"/>
        </w:rPr>
        <w:t>itre</w:t>
      </w:r>
      <w:r w:rsidRPr="001E1A95">
        <w:rPr>
          <w:rFonts w:cstheme="minorHAnsi"/>
          <w:b/>
          <w:lang w:val="fr-FR"/>
        </w:rPr>
        <w:t xml:space="preserve"> 2</w:t>
      </w:r>
      <w:r w:rsidR="001A15A3" w:rsidRPr="001E1A95">
        <w:rPr>
          <w:rFonts w:cstheme="minorHAnsi"/>
          <w:b/>
          <w:lang w:val="fr-FR"/>
        </w:rPr>
        <w:t xml:space="preserve"> </w:t>
      </w:r>
      <w:r w:rsidRPr="001E1A95">
        <w:rPr>
          <w:rFonts w:cstheme="minorHAnsi"/>
          <w:b/>
          <w:lang w:val="fr-FR"/>
        </w:rPr>
        <w:t xml:space="preserve">: </w:t>
      </w:r>
      <w:r w:rsidR="001A15A3" w:rsidRPr="001E1A95">
        <w:rPr>
          <w:rFonts w:cstheme="minorHAnsi"/>
          <w:b/>
          <w:lang w:val="fr-FR"/>
        </w:rPr>
        <w:t>Gouvernance et fonctionnement des IRR</w:t>
      </w:r>
    </w:p>
    <w:p w14:paraId="3B15E780" w14:textId="77777777" w:rsidR="007B7631" w:rsidRPr="009D5F38" w:rsidRDefault="007B7631" w:rsidP="007B7631">
      <w:pPr>
        <w:tabs>
          <w:tab w:val="left" w:pos="284"/>
          <w:tab w:val="left" w:pos="426"/>
        </w:tabs>
        <w:ind w:left="426" w:hanging="426"/>
        <w:rPr>
          <w:rFonts w:cstheme="minorHAnsi"/>
          <w:b/>
          <w:highlight w:val="cyan"/>
          <w:lang w:val="fr-FR"/>
        </w:rPr>
      </w:pPr>
    </w:p>
    <w:p w14:paraId="525EFC54" w14:textId="1F5D33E1" w:rsidR="007B7631" w:rsidRPr="004C5CB6" w:rsidRDefault="00026791" w:rsidP="00A77D00">
      <w:pPr>
        <w:pStyle w:val="ListParagraph"/>
        <w:numPr>
          <w:ilvl w:val="0"/>
          <w:numId w:val="6"/>
        </w:numPr>
        <w:spacing w:after="200" w:line="276" w:lineRule="auto"/>
        <w:ind w:left="426" w:hanging="426"/>
        <w:rPr>
          <w:rFonts w:cstheme="minorHAnsi"/>
          <w:lang w:val="fr-FR"/>
        </w:rPr>
      </w:pPr>
      <w:r w:rsidRPr="004C5CB6">
        <w:rPr>
          <w:rFonts w:cstheme="minorHAnsi"/>
          <w:lang w:val="fr-FR"/>
        </w:rPr>
        <w:t>Les Parties contractantes sont responsables de créer, gérer, développer, superviser et coordonner le fonctionnement de l’IRR et d’établir son unité de coordination. Une bonne partie de cette responsabilité peut être déléguée à un centre, par exemple.</w:t>
      </w:r>
    </w:p>
    <w:p w14:paraId="210312C3" w14:textId="77777777" w:rsidR="007B7631" w:rsidRPr="00026791" w:rsidRDefault="007B7631" w:rsidP="007B7631">
      <w:pPr>
        <w:pStyle w:val="ListParagraph"/>
        <w:ind w:left="426"/>
        <w:rPr>
          <w:rFonts w:cstheme="minorHAnsi"/>
          <w:lang w:val="fr-FR"/>
        </w:rPr>
      </w:pPr>
    </w:p>
    <w:p w14:paraId="0DF37A11" w14:textId="46A7EA3E" w:rsidR="007B7631" w:rsidRPr="004C5CB6" w:rsidRDefault="00534FC3" w:rsidP="00A77D00">
      <w:pPr>
        <w:pStyle w:val="ListParagraph"/>
        <w:numPr>
          <w:ilvl w:val="0"/>
          <w:numId w:val="6"/>
        </w:numPr>
        <w:ind w:left="426" w:hanging="426"/>
        <w:rPr>
          <w:rFonts w:cstheme="minorHAnsi"/>
          <w:b/>
          <w:bCs/>
          <w:lang w:val="fr-FR"/>
        </w:rPr>
      </w:pPr>
      <w:r w:rsidRPr="004C5CB6">
        <w:rPr>
          <w:rFonts w:cstheme="minorHAnsi"/>
          <w:color w:val="000000" w:themeColor="text1"/>
          <w:lang w:val="fr-FR"/>
        </w:rPr>
        <w:t>Toutes les Parties contractantes membres d’une IRR donnée doivent participer aux activités réalisées durant l’année, selon le plan de travail établi. Si ce n’est pas le cas, l’organe de coordination de l’IRR conduit un processus visant à promouvoir la participation active des Parties contractantes</w:t>
      </w:r>
      <w:r w:rsidR="007B7631" w:rsidRPr="004C5CB6">
        <w:rPr>
          <w:rFonts w:cstheme="minorHAnsi"/>
          <w:color w:val="000000" w:themeColor="text1"/>
          <w:lang w:val="fr-FR"/>
        </w:rPr>
        <w:t>.</w:t>
      </w:r>
      <w:r w:rsidR="007B7631" w:rsidRPr="004C5CB6">
        <w:rPr>
          <w:rFonts w:cstheme="minorHAnsi"/>
          <w:b/>
          <w:bCs/>
          <w:color w:val="000000" w:themeColor="text1"/>
          <w:lang w:val="fr-FR"/>
        </w:rPr>
        <w:t xml:space="preserve"> </w:t>
      </w:r>
    </w:p>
    <w:p w14:paraId="509E8CA1" w14:textId="77777777" w:rsidR="007B7631" w:rsidRPr="00534FC3" w:rsidRDefault="007B7631" w:rsidP="007B7631">
      <w:pPr>
        <w:pStyle w:val="ListParagraph"/>
        <w:ind w:left="426" w:hanging="426"/>
        <w:rPr>
          <w:rFonts w:cstheme="minorHAnsi"/>
          <w:highlight w:val="cyan"/>
          <w:lang w:val="fr-FR"/>
        </w:rPr>
      </w:pPr>
    </w:p>
    <w:p w14:paraId="6D85EE01" w14:textId="58BCFD58" w:rsidR="007B7631" w:rsidRPr="004C5CB6" w:rsidRDefault="00534FC3" w:rsidP="00A77D00">
      <w:pPr>
        <w:pStyle w:val="ListParagraph"/>
        <w:numPr>
          <w:ilvl w:val="0"/>
          <w:numId w:val="6"/>
        </w:numPr>
        <w:ind w:left="426" w:hanging="426"/>
        <w:rPr>
          <w:rFonts w:cstheme="minorHAnsi"/>
          <w:lang w:val="fr-FR"/>
        </w:rPr>
      </w:pPr>
      <w:r w:rsidRPr="004C5CB6">
        <w:rPr>
          <w:rFonts w:cstheme="minorHAnsi"/>
          <w:lang w:val="fr-FR"/>
        </w:rPr>
        <w:t xml:space="preserve">Les IRR créent leurs propres mécanismes de gouvernance et consultatifs pour assurer le leadership, la coordination, l’orientation et la responsabilité de manière transparente et équitable. Pour cela, chaque IRR doit établir un organe </w:t>
      </w:r>
      <w:r w:rsidR="004C5CB6" w:rsidRPr="004C5CB6">
        <w:rPr>
          <w:rFonts w:cstheme="minorHAnsi"/>
          <w:lang w:val="fr-FR"/>
        </w:rPr>
        <w:t>directeur</w:t>
      </w:r>
      <w:r w:rsidRPr="004C5CB6">
        <w:rPr>
          <w:rFonts w:cstheme="minorHAnsi"/>
          <w:lang w:val="fr-FR"/>
        </w:rPr>
        <w:t xml:space="preserve"> composé des Parties contractantes participantes et autres acteurs pertinents, et un organe de coordination. Les mécanisme</w:t>
      </w:r>
      <w:r w:rsidR="004C5CB6" w:rsidRPr="004C5CB6">
        <w:rPr>
          <w:rFonts w:cstheme="minorHAnsi"/>
          <w:lang w:val="fr-FR"/>
        </w:rPr>
        <w:t xml:space="preserve"> directeur et l’organe de</w:t>
      </w:r>
      <w:r w:rsidRPr="004C5CB6">
        <w:rPr>
          <w:rFonts w:cstheme="minorHAnsi"/>
          <w:lang w:val="fr-FR"/>
        </w:rPr>
        <w:t xml:space="preserve"> coordination de chaque IRR sont définis dans </w:t>
      </w:r>
      <w:r w:rsidR="004C5CB6" w:rsidRPr="004C5CB6">
        <w:rPr>
          <w:rFonts w:cstheme="minorHAnsi"/>
          <w:lang w:val="fr-FR"/>
        </w:rPr>
        <w:t>les</w:t>
      </w:r>
      <w:r w:rsidRPr="004C5CB6">
        <w:rPr>
          <w:rFonts w:cstheme="minorHAnsi"/>
          <w:lang w:val="fr-FR"/>
        </w:rPr>
        <w:t xml:space="preserve"> règlements opérationnels et [sont encouragés à avoir] d</w:t>
      </w:r>
      <w:r w:rsidR="004C5CB6" w:rsidRPr="004C5CB6">
        <w:rPr>
          <w:rFonts w:cstheme="minorHAnsi"/>
          <w:lang w:val="fr-FR"/>
        </w:rPr>
        <w:t>evraient</w:t>
      </w:r>
      <w:r w:rsidRPr="004C5CB6">
        <w:rPr>
          <w:rFonts w:cstheme="minorHAnsi"/>
          <w:lang w:val="fr-FR"/>
        </w:rPr>
        <w:t xml:space="preserve"> encourager la participation active de toutes les Parties contractantes membres de l’</w:t>
      </w:r>
      <w:r w:rsidR="004C5CB6" w:rsidRPr="004C5CB6">
        <w:rPr>
          <w:rFonts w:cstheme="minorHAnsi"/>
          <w:lang w:val="fr-FR"/>
        </w:rPr>
        <w:t>IRR</w:t>
      </w:r>
      <w:r w:rsidR="007B7631" w:rsidRPr="004C5CB6">
        <w:rPr>
          <w:rFonts w:cstheme="minorHAnsi"/>
          <w:lang w:val="fr-FR"/>
        </w:rPr>
        <w:t xml:space="preserve">. </w:t>
      </w:r>
    </w:p>
    <w:p w14:paraId="46087D52" w14:textId="77777777" w:rsidR="007B7631" w:rsidRPr="00534FC3" w:rsidRDefault="007B7631" w:rsidP="007B7631">
      <w:pPr>
        <w:pStyle w:val="ListParagraph"/>
        <w:ind w:left="426"/>
        <w:rPr>
          <w:rFonts w:cstheme="minorHAnsi"/>
          <w:lang w:val="fr-FR"/>
        </w:rPr>
      </w:pPr>
    </w:p>
    <w:p w14:paraId="4EBC8E6D" w14:textId="73F03909" w:rsidR="007B7631" w:rsidRPr="004C5CB6" w:rsidRDefault="00CA08D5" w:rsidP="00A77D00">
      <w:pPr>
        <w:pStyle w:val="ListParagraph"/>
        <w:numPr>
          <w:ilvl w:val="0"/>
          <w:numId w:val="6"/>
        </w:numPr>
        <w:ind w:left="426" w:hanging="426"/>
        <w:rPr>
          <w:rFonts w:cstheme="minorHAnsi"/>
          <w:lang w:val="fr-FR"/>
        </w:rPr>
      </w:pPr>
      <w:r w:rsidRPr="004C5CB6">
        <w:rPr>
          <w:rFonts w:cstheme="minorHAnsi"/>
          <w:lang w:val="fr-FR"/>
        </w:rPr>
        <w:t xml:space="preserve">L’organe </w:t>
      </w:r>
      <w:r w:rsidR="004C5CB6" w:rsidRPr="004C5CB6">
        <w:rPr>
          <w:rFonts w:cstheme="minorHAnsi"/>
          <w:lang w:val="fr-FR"/>
        </w:rPr>
        <w:t>directeur</w:t>
      </w:r>
      <w:r w:rsidRPr="004C5CB6">
        <w:rPr>
          <w:rFonts w:cstheme="minorHAnsi"/>
          <w:lang w:val="fr-FR"/>
        </w:rPr>
        <w:t xml:space="preserve"> se réunit régulièrement, donne des orientations, définit les mandats, règlements et principes de procédure, décide de la </w:t>
      </w:r>
      <w:r w:rsidR="004C5CB6" w:rsidRPr="004C5CB6">
        <w:rPr>
          <w:rFonts w:cstheme="minorHAnsi"/>
          <w:lang w:val="fr-FR"/>
        </w:rPr>
        <w:t>répartition</w:t>
      </w:r>
      <w:r w:rsidRPr="004C5CB6">
        <w:rPr>
          <w:rFonts w:cstheme="minorHAnsi"/>
          <w:lang w:val="fr-FR"/>
        </w:rPr>
        <w:t xml:space="preserve"> des différentes tâches permettant de réaliser les activités de l’IRR, surveille les activités, le programme de travail de l’</w:t>
      </w:r>
      <w:r w:rsidR="004C5CB6" w:rsidRPr="004C5CB6">
        <w:rPr>
          <w:rFonts w:cstheme="minorHAnsi"/>
          <w:lang w:val="fr-FR"/>
        </w:rPr>
        <w:t>IRR</w:t>
      </w:r>
      <w:r w:rsidRPr="004C5CB6">
        <w:rPr>
          <w:rFonts w:cstheme="minorHAnsi"/>
          <w:lang w:val="fr-FR"/>
        </w:rPr>
        <w:t xml:space="preserve"> et ses ressources et fournit publiquement à tous ses membres les informations pertinentes. Les procédures opérationnelles sont mises à la disposition du public, par exemple sur le site web de chaque IRR ou sur la page de l’IRR qui se trouve sur le site web de la Convention</w:t>
      </w:r>
      <w:r w:rsidR="007B7631" w:rsidRPr="004C5CB6">
        <w:rPr>
          <w:rFonts w:cstheme="minorHAnsi"/>
          <w:lang w:val="fr-FR"/>
        </w:rPr>
        <w:t xml:space="preserve">. </w:t>
      </w:r>
    </w:p>
    <w:p w14:paraId="32B0CB0F" w14:textId="77777777" w:rsidR="007B7631" w:rsidRPr="00CA08D5" w:rsidRDefault="007B7631" w:rsidP="007B7631">
      <w:pPr>
        <w:pStyle w:val="ListParagraph"/>
        <w:ind w:left="0"/>
        <w:rPr>
          <w:rFonts w:cstheme="minorHAnsi"/>
          <w:lang w:val="fr-FR"/>
        </w:rPr>
      </w:pPr>
    </w:p>
    <w:p w14:paraId="436AC1A9" w14:textId="59431CCD" w:rsidR="007B7631" w:rsidRPr="00876766" w:rsidRDefault="00876766" w:rsidP="00A77D00">
      <w:pPr>
        <w:pStyle w:val="ListParagraph"/>
        <w:numPr>
          <w:ilvl w:val="0"/>
          <w:numId w:val="6"/>
        </w:numPr>
        <w:ind w:left="426" w:hanging="426"/>
        <w:rPr>
          <w:rFonts w:cstheme="minorHAnsi"/>
          <w:color w:val="000000" w:themeColor="text1"/>
          <w:lang w:val="fr-CH"/>
        </w:rPr>
      </w:pPr>
      <w:r>
        <w:rPr>
          <w:rFonts w:cstheme="minorHAnsi"/>
          <w:color w:val="000000" w:themeColor="text1"/>
          <w:lang w:val="fr-CH"/>
        </w:rPr>
        <w:t xml:space="preserve">Toutes les Parties contractantes membres d’une IRR sont encouragées à contribuer </w:t>
      </w:r>
      <w:r w:rsidR="007C1FF6">
        <w:rPr>
          <w:rFonts w:cstheme="minorHAnsi"/>
          <w:color w:val="000000" w:themeColor="text1"/>
          <w:lang w:val="fr-CH"/>
        </w:rPr>
        <w:t>à</w:t>
      </w:r>
      <w:r w:rsidR="006902D3">
        <w:rPr>
          <w:rFonts w:cstheme="minorHAnsi"/>
          <w:color w:val="000000" w:themeColor="text1"/>
          <w:lang w:val="fr-CH"/>
        </w:rPr>
        <w:t xml:space="preserve"> </w:t>
      </w:r>
      <w:r>
        <w:rPr>
          <w:rFonts w:cstheme="minorHAnsi"/>
          <w:color w:val="000000" w:themeColor="text1"/>
          <w:lang w:val="fr-CH"/>
        </w:rPr>
        <w:t xml:space="preserve">cette IRR par des ressources financières et/ou en nature à chaque période triennale, </w:t>
      </w:r>
      <w:r w:rsidR="006168D9">
        <w:rPr>
          <w:rFonts w:cstheme="minorHAnsi"/>
          <w:color w:val="000000" w:themeColor="text1"/>
          <w:lang w:val="fr-CH"/>
        </w:rPr>
        <w:t>selon qu’</w:t>
      </w:r>
      <w:r>
        <w:rPr>
          <w:rFonts w:cstheme="minorHAnsi"/>
          <w:color w:val="000000" w:themeColor="text1"/>
          <w:lang w:val="fr-CH"/>
        </w:rPr>
        <w:t>il convient.</w:t>
      </w:r>
      <w:r w:rsidR="007B7631" w:rsidRPr="00876766">
        <w:rPr>
          <w:rFonts w:cstheme="minorHAnsi"/>
          <w:color w:val="000000" w:themeColor="text1"/>
          <w:lang w:val="fr-CH"/>
        </w:rPr>
        <w:t xml:space="preserve"> </w:t>
      </w:r>
    </w:p>
    <w:p w14:paraId="7194479C" w14:textId="77777777" w:rsidR="007B7631" w:rsidRPr="00876766" w:rsidRDefault="007B7631" w:rsidP="007B7631">
      <w:pPr>
        <w:rPr>
          <w:rFonts w:cstheme="minorHAnsi"/>
          <w:lang w:val="fr-CH"/>
        </w:rPr>
      </w:pPr>
    </w:p>
    <w:p w14:paraId="608C15FE" w14:textId="7D77D36F" w:rsidR="007B7631" w:rsidRPr="004C5CB6" w:rsidRDefault="00017FAF" w:rsidP="00A77D00">
      <w:pPr>
        <w:pStyle w:val="ListParagraph"/>
        <w:numPr>
          <w:ilvl w:val="0"/>
          <w:numId w:val="6"/>
        </w:numPr>
        <w:ind w:left="426" w:hanging="426"/>
        <w:rPr>
          <w:rFonts w:cstheme="minorHAnsi"/>
          <w:strike/>
          <w:lang w:val="fr-FR"/>
        </w:rPr>
      </w:pPr>
      <w:r w:rsidRPr="004C5CB6">
        <w:rPr>
          <w:rFonts w:cstheme="minorHAnsi"/>
          <w:lang w:val="fr-FR"/>
        </w:rPr>
        <w:t xml:space="preserve">Les IRR peuvent demander l’aide du Secrétariat de la Convention pour renforcer leurs capacités et leur efficacité, notamment par la mobilisation de ressources supplémentaires. La COP doit </w:t>
      </w:r>
      <w:r w:rsidRPr="004C5CB6">
        <w:rPr>
          <w:rFonts w:cstheme="minorHAnsi"/>
          <w:lang w:val="fr-FR"/>
        </w:rPr>
        <w:lastRenderedPageBreak/>
        <w:t>être informée de toutes les activités d’appui demandées ou peut-être reçues par les IRR au cours de la période triennale.</w:t>
      </w:r>
    </w:p>
    <w:p w14:paraId="7934A7E2" w14:textId="77777777" w:rsidR="007B7631" w:rsidRPr="00017FAF" w:rsidRDefault="007B7631" w:rsidP="007B7631">
      <w:pPr>
        <w:pStyle w:val="ListParagraph"/>
        <w:ind w:left="426"/>
        <w:rPr>
          <w:rFonts w:cstheme="minorHAnsi"/>
          <w:lang w:val="fr-FR"/>
        </w:rPr>
      </w:pPr>
    </w:p>
    <w:p w14:paraId="7419778B" w14:textId="55C51F71" w:rsidR="007B7631" w:rsidRPr="004C5CB6" w:rsidRDefault="00017FAF" w:rsidP="00A77D00">
      <w:pPr>
        <w:pStyle w:val="ListParagraph"/>
        <w:numPr>
          <w:ilvl w:val="0"/>
          <w:numId w:val="6"/>
        </w:numPr>
        <w:ind w:left="426" w:hanging="426"/>
        <w:rPr>
          <w:rFonts w:cstheme="minorHAnsi"/>
          <w:lang w:val="fr-FR"/>
        </w:rPr>
      </w:pPr>
      <w:r w:rsidRPr="004C5CB6">
        <w:rPr>
          <w:rFonts w:cstheme="minorHAnsi"/>
          <w:lang w:val="fr-FR"/>
        </w:rPr>
        <w:t xml:space="preserve">Les IRR sont encouragées à utiliser les meilleurs outils dont elles disposent (ce qui inclut les outils existants de la Convention et en particulier, les annexes techniques des Résolutions, les </w:t>
      </w:r>
      <w:r w:rsidR="004C5CB6" w:rsidRPr="004C5CB6">
        <w:rPr>
          <w:rFonts w:cstheme="minorHAnsi"/>
          <w:lang w:val="fr-FR"/>
        </w:rPr>
        <w:t>M</w:t>
      </w:r>
      <w:r w:rsidRPr="004C5CB6">
        <w:rPr>
          <w:rFonts w:cstheme="minorHAnsi"/>
          <w:lang w:val="fr-FR"/>
        </w:rPr>
        <w:t xml:space="preserve">anuels, lignes directrices, méthodes, etc.). Elles doivent établir des contacts, si jugé utile, avec les Correspondants nationaux Ramsar, notamment ceux de la CESP et du GEST, </w:t>
      </w:r>
      <w:r w:rsidR="004C5CB6">
        <w:rPr>
          <w:rFonts w:cstheme="minorHAnsi"/>
          <w:lang w:val="fr-FR"/>
        </w:rPr>
        <w:t>d</w:t>
      </w:r>
      <w:r w:rsidRPr="004C5CB6">
        <w:rPr>
          <w:rFonts w:cstheme="minorHAnsi"/>
          <w:lang w:val="fr-FR"/>
        </w:rPr>
        <w:t>es Parties contractantes concernées et, le cas échéant, faire participer activement ces correspondants à leurs travaux.</w:t>
      </w:r>
      <w:r w:rsidR="007B7631" w:rsidRPr="004C5CB6">
        <w:rPr>
          <w:rFonts w:cstheme="minorHAnsi"/>
          <w:lang w:val="fr-FR"/>
        </w:rPr>
        <w:t xml:space="preserve"> </w:t>
      </w:r>
    </w:p>
    <w:p w14:paraId="100C05D0" w14:textId="77777777" w:rsidR="007B7631" w:rsidRPr="00017FAF" w:rsidRDefault="007B7631" w:rsidP="007B7631">
      <w:pPr>
        <w:ind w:left="426" w:hanging="426"/>
        <w:rPr>
          <w:rFonts w:cstheme="minorHAnsi"/>
          <w:lang w:val="fr-FR"/>
        </w:rPr>
      </w:pPr>
    </w:p>
    <w:p w14:paraId="3847A8D9" w14:textId="2963290B" w:rsidR="007B7631" w:rsidRPr="004C5CB6" w:rsidRDefault="00017FAF" w:rsidP="00A77D00">
      <w:pPr>
        <w:pStyle w:val="ListParagraph"/>
        <w:numPr>
          <w:ilvl w:val="0"/>
          <w:numId w:val="6"/>
        </w:numPr>
        <w:ind w:left="425" w:hanging="426"/>
        <w:rPr>
          <w:rFonts w:cstheme="minorHAnsi"/>
          <w:color w:val="000000" w:themeColor="text1"/>
          <w:lang w:val="fr-FR"/>
        </w:rPr>
      </w:pPr>
      <w:r w:rsidRPr="004C5CB6">
        <w:rPr>
          <w:rFonts w:eastAsiaTheme="minorEastAsia" w:cstheme="minorHAnsi"/>
          <w:lang w:val="fr-FR" w:eastAsia="ko-KR"/>
        </w:rPr>
        <w:t xml:space="preserve">Le Secrétariat de la Convention et le </w:t>
      </w:r>
      <w:r w:rsidR="009F59C4" w:rsidRPr="004C5CB6">
        <w:rPr>
          <w:rFonts w:eastAsiaTheme="minorEastAsia" w:cstheme="minorHAnsi"/>
          <w:lang w:val="fr-FR" w:eastAsia="ko-KR"/>
        </w:rPr>
        <w:t>Groupe d’évaluation scientifique et technique (</w:t>
      </w:r>
      <w:r w:rsidRPr="004C5CB6">
        <w:rPr>
          <w:rFonts w:eastAsiaTheme="minorEastAsia" w:cstheme="minorHAnsi"/>
          <w:lang w:val="fr-FR" w:eastAsia="ko-KR"/>
        </w:rPr>
        <w:t>GEST</w:t>
      </w:r>
      <w:r w:rsidR="009F59C4" w:rsidRPr="004C5CB6">
        <w:rPr>
          <w:rFonts w:eastAsiaTheme="minorEastAsia" w:cstheme="minorHAnsi"/>
          <w:lang w:val="fr-FR" w:eastAsia="ko-KR"/>
        </w:rPr>
        <w:t>)</w:t>
      </w:r>
      <w:r w:rsidRPr="004C5CB6">
        <w:rPr>
          <w:rFonts w:eastAsiaTheme="minorEastAsia" w:cstheme="minorHAnsi"/>
          <w:lang w:val="fr-FR" w:eastAsia="ko-KR"/>
        </w:rPr>
        <w:t xml:space="preserve"> </w:t>
      </w:r>
      <w:r w:rsidR="009F59C4" w:rsidRPr="004C5CB6">
        <w:rPr>
          <w:rFonts w:eastAsiaTheme="minorEastAsia" w:cstheme="minorHAnsi"/>
          <w:lang w:val="fr-FR" w:eastAsia="ko-KR"/>
        </w:rPr>
        <w:t xml:space="preserve">peuvent être invités à </w:t>
      </w:r>
      <w:r w:rsidRPr="004C5CB6">
        <w:rPr>
          <w:rFonts w:eastAsiaTheme="minorEastAsia" w:cstheme="minorHAnsi"/>
          <w:lang w:val="fr-FR" w:eastAsia="ko-KR"/>
        </w:rPr>
        <w:t>contribue</w:t>
      </w:r>
      <w:r w:rsidR="009F59C4" w:rsidRPr="004C5CB6">
        <w:rPr>
          <w:rFonts w:eastAsiaTheme="minorEastAsia" w:cstheme="minorHAnsi"/>
          <w:lang w:val="fr-FR" w:eastAsia="ko-KR"/>
        </w:rPr>
        <w:t>r</w:t>
      </w:r>
      <w:r w:rsidRPr="004C5CB6">
        <w:rPr>
          <w:rFonts w:eastAsiaTheme="minorEastAsia" w:cstheme="minorHAnsi"/>
          <w:lang w:val="fr-FR" w:eastAsia="ko-KR"/>
        </w:rPr>
        <w:t xml:space="preserve"> à l’examen des modules élaborés par les IRR pour garantir leur qualité, veiller à ce que le contenu reflète les outils généraux approuvés et s’assurer qu’ils sont bien adaptés aux contextes régionaux. </w:t>
      </w:r>
      <w:r w:rsidR="009F59C4" w:rsidRPr="004C5CB6">
        <w:rPr>
          <w:rFonts w:eastAsiaTheme="minorEastAsia" w:cstheme="minorHAnsi"/>
          <w:lang w:val="fr-FR" w:eastAsia="ko-KR"/>
        </w:rPr>
        <w:t>L</w:t>
      </w:r>
      <w:r w:rsidRPr="004C5CB6">
        <w:rPr>
          <w:rFonts w:eastAsiaTheme="minorEastAsia" w:cstheme="minorHAnsi"/>
          <w:lang w:val="fr-FR" w:eastAsia="ko-KR"/>
        </w:rPr>
        <w:t xml:space="preserve">es IRR peuvent solliciter l’aide d’experts et de </w:t>
      </w:r>
      <w:r w:rsidR="009F59C4" w:rsidRPr="004C5CB6">
        <w:rPr>
          <w:rFonts w:eastAsiaTheme="minorEastAsia" w:cstheme="minorHAnsi"/>
          <w:lang w:val="fr-FR" w:eastAsia="ko-KR"/>
        </w:rPr>
        <w:t>praticiens</w:t>
      </w:r>
      <w:r w:rsidRPr="004C5CB6">
        <w:rPr>
          <w:rFonts w:eastAsiaTheme="minorEastAsia" w:cstheme="minorHAnsi"/>
          <w:lang w:val="fr-FR" w:eastAsia="ko-KR"/>
        </w:rPr>
        <w:t xml:space="preserve"> des zones humides pour l’examen des modules de formation et des publications connexes</w:t>
      </w:r>
      <w:r w:rsidR="007B7631" w:rsidRPr="004C5CB6">
        <w:rPr>
          <w:rFonts w:eastAsiaTheme="minorEastAsia" w:cstheme="minorHAnsi"/>
          <w:lang w:val="fr-FR" w:eastAsia="ko-KR"/>
        </w:rPr>
        <w:t xml:space="preserve">. </w:t>
      </w:r>
      <w:r w:rsidR="009F59C4" w:rsidRPr="004C5CB6">
        <w:rPr>
          <w:rFonts w:cstheme="minorHAnsi"/>
          <w:color w:val="000000" w:themeColor="text1"/>
          <w:lang w:val="fr-FR"/>
        </w:rPr>
        <w:t>Pour d’autres activités de renforcement des capacités, il serait bon de préciser clairement le nombre de personnes ou d’organisations ayant bénéficié des activités entreprises et les résultats de toute évaluation entreprise, pour que l’on puisse évaluer l’impact au niveau régional</w:t>
      </w:r>
      <w:r w:rsidR="007B7631" w:rsidRPr="004C5CB6">
        <w:rPr>
          <w:rFonts w:cstheme="minorHAnsi"/>
          <w:color w:val="000000" w:themeColor="text1"/>
          <w:lang w:val="fr-FR"/>
        </w:rPr>
        <w:t>.</w:t>
      </w:r>
    </w:p>
    <w:p w14:paraId="22237139" w14:textId="77777777" w:rsidR="007B7631" w:rsidRPr="009F59C4" w:rsidRDefault="007B7631" w:rsidP="007B7631">
      <w:pPr>
        <w:pStyle w:val="CommentText"/>
        <w:rPr>
          <w:rFonts w:eastAsiaTheme="minorEastAsia" w:cstheme="minorHAnsi"/>
          <w:sz w:val="22"/>
          <w:szCs w:val="22"/>
          <w:lang w:val="fr-FR" w:eastAsia="ko-KR"/>
        </w:rPr>
      </w:pPr>
    </w:p>
    <w:p w14:paraId="44BB6854" w14:textId="18A01AA6" w:rsidR="007B7631" w:rsidRPr="004C5CB6" w:rsidRDefault="009F59C4" w:rsidP="00A77D00">
      <w:pPr>
        <w:pStyle w:val="ListParagraph"/>
        <w:numPr>
          <w:ilvl w:val="0"/>
          <w:numId w:val="6"/>
        </w:numPr>
        <w:ind w:left="426" w:hanging="426"/>
        <w:rPr>
          <w:rFonts w:cstheme="minorHAnsi"/>
          <w:color w:val="000000" w:themeColor="text1"/>
          <w:lang w:val="fr-FR"/>
        </w:rPr>
      </w:pPr>
      <w:r w:rsidRPr="004C5CB6">
        <w:rPr>
          <w:rFonts w:cstheme="minorHAnsi"/>
          <w:color w:val="000000" w:themeColor="text1"/>
          <w:lang w:val="fr-FR"/>
        </w:rPr>
        <w:t>Les IRR sont encouragées à travailler en synergie avec d’autres initiatives et/ou projets et/ou programmes d’autres accords internationaux (Convention sur la diversité biologique, Convention des Nations Unies sur la lutte contre la désertification, Convention sur la conservation des espèces migratrices appartenant à la faune sauvage, Convention sur le commerce international des espèces de faune et de flore menacées d’extinction, entre autres), et à veiller au respect des activités décrites dans les plans annuels afin de renforcer les liens régionaux et d’optimiser les ressources institutionnelles</w:t>
      </w:r>
      <w:r w:rsidR="007B7631" w:rsidRPr="004C5CB6">
        <w:rPr>
          <w:rFonts w:cstheme="minorHAnsi"/>
          <w:color w:val="000000" w:themeColor="text1"/>
          <w:lang w:val="fr-FR"/>
        </w:rPr>
        <w:t>.</w:t>
      </w:r>
    </w:p>
    <w:p w14:paraId="649E4970" w14:textId="77777777" w:rsidR="007B7631" w:rsidRPr="009F59C4" w:rsidRDefault="007B7631" w:rsidP="007B7631">
      <w:pPr>
        <w:rPr>
          <w:rFonts w:cstheme="minorHAnsi"/>
          <w:b/>
          <w:lang w:val="fr-FR"/>
        </w:rPr>
      </w:pPr>
    </w:p>
    <w:p w14:paraId="27742F3F" w14:textId="01595F48" w:rsidR="007B7631" w:rsidRPr="004C5CB6" w:rsidRDefault="007B7631" w:rsidP="007B7631">
      <w:pPr>
        <w:rPr>
          <w:rFonts w:cstheme="minorHAnsi"/>
          <w:b/>
          <w:lang w:val="fr-CH"/>
        </w:rPr>
      </w:pPr>
      <w:r w:rsidRPr="004C5CB6">
        <w:rPr>
          <w:rFonts w:cstheme="minorHAnsi"/>
          <w:b/>
          <w:lang w:val="fr-CH"/>
        </w:rPr>
        <w:t>Chap</w:t>
      </w:r>
      <w:r w:rsidR="009F59C4" w:rsidRPr="004C5CB6">
        <w:rPr>
          <w:rFonts w:cstheme="minorHAnsi"/>
          <w:b/>
          <w:lang w:val="fr-CH"/>
        </w:rPr>
        <w:t>itre</w:t>
      </w:r>
      <w:r w:rsidRPr="004C5CB6">
        <w:rPr>
          <w:rFonts w:cstheme="minorHAnsi"/>
          <w:b/>
          <w:lang w:val="fr-CH"/>
        </w:rPr>
        <w:t xml:space="preserve"> 3</w:t>
      </w:r>
      <w:r w:rsidR="009F59C4" w:rsidRPr="004C5CB6">
        <w:rPr>
          <w:rFonts w:cstheme="minorHAnsi"/>
          <w:b/>
          <w:lang w:val="fr-CH"/>
        </w:rPr>
        <w:t xml:space="preserve"> </w:t>
      </w:r>
      <w:r w:rsidRPr="004C5CB6">
        <w:rPr>
          <w:rFonts w:cstheme="minorHAnsi"/>
          <w:b/>
          <w:lang w:val="fr-CH"/>
        </w:rPr>
        <w:t>: Statu</w:t>
      </w:r>
      <w:r w:rsidR="009F59C4" w:rsidRPr="004C5CB6">
        <w:rPr>
          <w:rFonts w:cstheme="minorHAnsi"/>
          <w:b/>
          <w:lang w:val="fr-CH"/>
        </w:rPr>
        <w:t>t</w:t>
      </w:r>
      <w:r w:rsidRPr="004C5CB6">
        <w:rPr>
          <w:rFonts w:cstheme="minorHAnsi"/>
          <w:b/>
          <w:lang w:val="fr-CH"/>
        </w:rPr>
        <w:t xml:space="preserve"> </w:t>
      </w:r>
      <w:r w:rsidR="009F59C4" w:rsidRPr="004C5CB6">
        <w:rPr>
          <w:rFonts w:cstheme="minorHAnsi"/>
          <w:b/>
          <w:lang w:val="fr-CH"/>
        </w:rPr>
        <w:t>des IRR</w:t>
      </w:r>
    </w:p>
    <w:p w14:paraId="2F454A65" w14:textId="77777777" w:rsidR="007B7631" w:rsidRPr="002842CA" w:rsidRDefault="007B7631" w:rsidP="007B7631">
      <w:pPr>
        <w:rPr>
          <w:rFonts w:cstheme="minorHAnsi"/>
          <w:b/>
          <w:highlight w:val="cyan"/>
          <w:lang w:val="fr-CH"/>
        </w:rPr>
      </w:pPr>
    </w:p>
    <w:p w14:paraId="1043DB9D" w14:textId="556D9951" w:rsidR="007B7631" w:rsidRPr="004C5CB6" w:rsidRDefault="009F59C4" w:rsidP="00A77D00">
      <w:pPr>
        <w:pStyle w:val="ListParagraph"/>
        <w:numPr>
          <w:ilvl w:val="0"/>
          <w:numId w:val="6"/>
        </w:numPr>
        <w:ind w:left="426" w:hanging="426"/>
        <w:rPr>
          <w:rFonts w:cstheme="minorHAnsi"/>
          <w:lang w:val="fr-CH"/>
        </w:rPr>
      </w:pPr>
      <w:r w:rsidRPr="004C5CB6">
        <w:rPr>
          <w:rFonts w:cstheme="minorHAnsi"/>
          <w:lang w:val="fr-CH"/>
        </w:rPr>
        <w:t>Les IRR existantes sont approuvées par la COP</w:t>
      </w:r>
      <w:r w:rsidR="007B7631" w:rsidRPr="004C5CB6">
        <w:rPr>
          <w:rFonts w:cstheme="minorHAnsi"/>
          <w:lang w:val="fr-CH"/>
        </w:rPr>
        <w:t>.</w:t>
      </w:r>
      <w:r w:rsidR="00BB3D89" w:rsidRPr="004C5CB6">
        <w:rPr>
          <w:rFonts w:cstheme="minorHAnsi"/>
          <w:lang w:val="fr-CH"/>
        </w:rPr>
        <w:t xml:space="preserve"> </w:t>
      </w:r>
      <w:r w:rsidR="007B7631" w:rsidRPr="004C5CB6">
        <w:rPr>
          <w:rFonts w:cstheme="minorHAnsi"/>
          <w:lang w:val="fr-CH"/>
        </w:rPr>
        <w:t>[</w:t>
      </w:r>
      <w:r w:rsidRPr="004C5CB6">
        <w:rPr>
          <w:rFonts w:cstheme="minorHAnsi"/>
          <w:lang w:val="fr-CH"/>
        </w:rPr>
        <w:t>Les Nouvelles IRR</w:t>
      </w:r>
      <w:r w:rsidR="007B7631" w:rsidRPr="004C5CB6">
        <w:rPr>
          <w:rFonts w:cstheme="minorHAnsi"/>
          <w:lang w:val="fr-CH"/>
        </w:rPr>
        <w:t xml:space="preserve"> </w:t>
      </w:r>
      <w:r w:rsidR="00BC6349" w:rsidRPr="004C5CB6">
        <w:rPr>
          <w:rFonts w:cstheme="minorHAnsi"/>
          <w:lang w:val="fr-CH"/>
        </w:rPr>
        <w:t xml:space="preserve">sont approuvées </w:t>
      </w:r>
      <w:r w:rsidR="004C5CB6" w:rsidRPr="004C5CB6">
        <w:rPr>
          <w:rFonts w:cstheme="minorHAnsi"/>
          <w:lang w:val="fr-CH"/>
        </w:rPr>
        <w:t>par</w:t>
      </w:r>
      <w:r w:rsidR="00BC6349" w:rsidRPr="004C5CB6">
        <w:rPr>
          <w:rFonts w:cstheme="minorHAnsi"/>
          <w:lang w:val="fr-CH"/>
        </w:rPr>
        <w:t xml:space="preserve"> la</w:t>
      </w:r>
      <w:r w:rsidR="007B7631" w:rsidRPr="004C5CB6">
        <w:rPr>
          <w:rFonts w:cstheme="minorHAnsi"/>
          <w:lang w:val="fr-CH"/>
        </w:rPr>
        <w:t xml:space="preserve"> COP o</w:t>
      </w:r>
      <w:r w:rsidR="00BC6349" w:rsidRPr="004C5CB6">
        <w:rPr>
          <w:rFonts w:cstheme="minorHAnsi"/>
          <w:lang w:val="fr-CH"/>
        </w:rPr>
        <w:t>u, dans l’intersessions, par le Comité permanent</w:t>
      </w:r>
      <w:r w:rsidR="007B7631" w:rsidRPr="004C5CB6">
        <w:rPr>
          <w:rFonts w:cstheme="minorHAnsi"/>
          <w:lang w:val="fr-CH"/>
        </w:rPr>
        <w:t xml:space="preserve">, </w:t>
      </w:r>
      <w:r w:rsidRPr="004C5CB6">
        <w:rPr>
          <w:rFonts w:cstheme="minorHAnsi"/>
          <w:lang w:val="fr-CH"/>
        </w:rPr>
        <w:t xml:space="preserve">pour autant que leur création </w:t>
      </w:r>
      <w:r w:rsidR="004C5CB6" w:rsidRPr="004C5CB6">
        <w:rPr>
          <w:rFonts w:cstheme="minorHAnsi"/>
          <w:lang w:val="fr-CH"/>
        </w:rPr>
        <w:t xml:space="preserve">soit justifiée, </w:t>
      </w:r>
      <w:r w:rsidRPr="004C5CB6">
        <w:rPr>
          <w:rFonts w:cstheme="minorHAnsi"/>
          <w:lang w:val="fr-CH"/>
        </w:rPr>
        <w:t>en réponse aux besoins de la région</w:t>
      </w:r>
      <w:r w:rsidR="004C5CB6" w:rsidRPr="004C5CB6">
        <w:rPr>
          <w:rFonts w:cstheme="minorHAnsi"/>
          <w:lang w:val="fr-CH"/>
        </w:rPr>
        <w:t>,</w:t>
      </w:r>
      <w:r w:rsidRPr="004C5CB6">
        <w:rPr>
          <w:rFonts w:cstheme="minorHAnsi"/>
          <w:lang w:val="fr-CH"/>
        </w:rPr>
        <w:t xml:space="preserve"> et qu’elles satisfassent aux Résolutions/</w:t>
      </w:r>
      <w:r w:rsidR="00BC6349" w:rsidRPr="004C5CB6">
        <w:rPr>
          <w:rFonts w:cstheme="minorHAnsi"/>
          <w:lang w:val="fr-CH"/>
        </w:rPr>
        <w:t>Décisions</w:t>
      </w:r>
      <w:r w:rsidRPr="004C5CB6">
        <w:rPr>
          <w:rFonts w:cstheme="minorHAnsi"/>
          <w:lang w:val="fr-CH"/>
        </w:rPr>
        <w:t xml:space="preserve"> relati</w:t>
      </w:r>
      <w:r w:rsidR="00BC6349" w:rsidRPr="004C5CB6">
        <w:rPr>
          <w:rFonts w:cstheme="minorHAnsi"/>
          <w:lang w:val="fr-CH"/>
        </w:rPr>
        <w:t>ve</w:t>
      </w:r>
      <w:r w:rsidRPr="004C5CB6">
        <w:rPr>
          <w:rFonts w:cstheme="minorHAnsi"/>
          <w:lang w:val="fr-CH"/>
        </w:rPr>
        <w:t>s aux IRR</w:t>
      </w:r>
      <w:r w:rsidR="007B7631" w:rsidRPr="004C5CB6">
        <w:rPr>
          <w:rFonts w:cstheme="minorHAnsi"/>
          <w:color w:val="000000" w:themeColor="text1"/>
          <w:lang w:val="fr-CH"/>
        </w:rPr>
        <w:t>]</w:t>
      </w:r>
      <w:r w:rsidR="007B7631" w:rsidRPr="004C5CB6">
        <w:rPr>
          <w:rFonts w:cstheme="minorHAnsi"/>
          <w:lang w:val="fr-CH"/>
        </w:rPr>
        <w:t>.</w:t>
      </w:r>
      <w:r w:rsidR="007B7631" w:rsidRPr="004C5CB6">
        <w:rPr>
          <w:rFonts w:cstheme="minorHAnsi"/>
          <w:b/>
          <w:bCs/>
          <w:lang w:val="fr-CH"/>
        </w:rPr>
        <w:t xml:space="preserve"> </w:t>
      </w:r>
    </w:p>
    <w:p w14:paraId="164CBE20" w14:textId="77777777" w:rsidR="007B7631" w:rsidRPr="002842CA" w:rsidRDefault="007B7631" w:rsidP="007B7631">
      <w:pPr>
        <w:pStyle w:val="ListParagraph"/>
        <w:ind w:left="426"/>
        <w:rPr>
          <w:rFonts w:cstheme="minorHAnsi"/>
          <w:lang w:val="fr-CH"/>
        </w:rPr>
      </w:pPr>
    </w:p>
    <w:p w14:paraId="19268BEC" w14:textId="08DEA405" w:rsidR="007B7631" w:rsidRPr="002842CA" w:rsidRDefault="002842CA" w:rsidP="007B7631">
      <w:pPr>
        <w:pStyle w:val="ListParagraph"/>
        <w:ind w:left="426"/>
        <w:rPr>
          <w:rFonts w:cstheme="minorHAnsi"/>
          <w:lang w:val="fr-CH"/>
        </w:rPr>
      </w:pPr>
      <w:r>
        <w:rPr>
          <w:rFonts w:cstheme="minorHAnsi"/>
          <w:lang w:val="fr-CH"/>
        </w:rPr>
        <w:t>[Les nouvelles IRR doivent être présentées à la COP ou, dans l’intersessions</w:t>
      </w:r>
      <w:r w:rsidR="00AA3D34">
        <w:rPr>
          <w:rFonts w:cstheme="minorHAnsi"/>
          <w:lang w:val="fr-CH"/>
        </w:rPr>
        <w:t>,</w:t>
      </w:r>
      <w:r>
        <w:rPr>
          <w:rFonts w:cstheme="minorHAnsi"/>
          <w:lang w:val="fr-CH"/>
        </w:rPr>
        <w:t xml:space="preserve"> </w:t>
      </w:r>
      <w:r w:rsidR="003D7287">
        <w:rPr>
          <w:rFonts w:cstheme="minorHAnsi"/>
          <w:lang w:val="fr-CH"/>
        </w:rPr>
        <w:t>au</w:t>
      </w:r>
      <w:r>
        <w:rPr>
          <w:rFonts w:cstheme="minorHAnsi"/>
          <w:lang w:val="fr-CH"/>
        </w:rPr>
        <w:t xml:space="preserve"> Comité permanent, par une Partie contractante à la Convention sur les zones humides, qui fait partie </w:t>
      </w:r>
      <w:r w:rsidR="003D7287">
        <w:rPr>
          <w:rFonts w:cstheme="minorHAnsi"/>
          <w:lang w:val="fr-CH"/>
        </w:rPr>
        <w:t xml:space="preserve">de </w:t>
      </w:r>
      <w:r>
        <w:rPr>
          <w:rFonts w:cstheme="minorHAnsi"/>
          <w:lang w:val="fr-CH"/>
        </w:rPr>
        <w:t>cette nouvelle IRR</w:t>
      </w:r>
      <w:r w:rsidR="003D7287" w:rsidRPr="003D7287">
        <w:rPr>
          <w:rFonts w:cstheme="minorHAnsi"/>
          <w:lang w:val="fr-CH"/>
        </w:rPr>
        <w:t xml:space="preserve"> </w:t>
      </w:r>
      <w:r w:rsidR="003D7287">
        <w:rPr>
          <w:rFonts w:cstheme="minorHAnsi"/>
          <w:lang w:val="fr-CH"/>
        </w:rPr>
        <w:t>et qui la représente</w:t>
      </w:r>
      <w:r>
        <w:rPr>
          <w:rFonts w:cstheme="minorHAnsi"/>
          <w:lang w:val="fr-CH"/>
        </w:rPr>
        <w:t xml:space="preserve">, afin d’officialiser son approbation et son fonctionnement. La création de cette IRR doit être justifiée en tant que réponse aux besoins régionaux et selon les </w:t>
      </w:r>
      <w:r w:rsidR="00AA3D34">
        <w:rPr>
          <w:rFonts w:cstheme="minorHAnsi"/>
          <w:lang w:val="fr-CH"/>
        </w:rPr>
        <w:t>R</w:t>
      </w:r>
      <w:r>
        <w:rPr>
          <w:rFonts w:cstheme="minorHAnsi"/>
          <w:lang w:val="fr-CH"/>
        </w:rPr>
        <w:t>ésolutions/documents existants sur l’IRR.</w:t>
      </w:r>
      <w:r w:rsidR="007B7631" w:rsidRPr="002842CA">
        <w:rPr>
          <w:rFonts w:cstheme="minorHAnsi"/>
          <w:lang w:val="fr-CH"/>
        </w:rPr>
        <w:t>]</w:t>
      </w:r>
    </w:p>
    <w:p w14:paraId="76D29C58" w14:textId="77777777" w:rsidR="007B7631" w:rsidRPr="002842CA" w:rsidRDefault="007B7631" w:rsidP="007B7631">
      <w:pPr>
        <w:pStyle w:val="ListParagraph"/>
        <w:ind w:left="426"/>
        <w:rPr>
          <w:rFonts w:cstheme="minorHAnsi"/>
          <w:lang w:val="fr-CH"/>
        </w:rPr>
      </w:pPr>
    </w:p>
    <w:p w14:paraId="08C4E458" w14:textId="20F236E8" w:rsidR="007B7631" w:rsidRPr="00AA3D34" w:rsidRDefault="00BC6349" w:rsidP="00A77D00">
      <w:pPr>
        <w:pStyle w:val="ListParagraph"/>
        <w:numPr>
          <w:ilvl w:val="0"/>
          <w:numId w:val="6"/>
        </w:numPr>
        <w:ind w:left="426" w:hanging="426"/>
        <w:rPr>
          <w:rFonts w:cstheme="minorHAnsi"/>
          <w:lang w:val="fr-CH"/>
        </w:rPr>
      </w:pPr>
      <w:r w:rsidRPr="00AA3D34">
        <w:rPr>
          <w:rFonts w:cstheme="minorHAnsi"/>
          <w:lang w:val="fr-CH"/>
        </w:rPr>
        <w:t>Les IRR ne font pas partie du Secrétariat de la Convention ou d’une autorité nationale ou organisation qui pourrait leur fournir un appui ou des dispositions d’accueil. Les IRR sont encouragées à se doter de leur propre identité, spécifiant leur indépendance, leur statut et leur rôle. Elles appliquent les dispositions pertinentes de la législation nationale et cherchent à obtenir une reconnaissance officielle dans leur pays hôte</w:t>
      </w:r>
      <w:r w:rsidR="007B7631" w:rsidRPr="00AA3D34">
        <w:rPr>
          <w:rFonts w:cstheme="minorHAnsi"/>
          <w:lang w:val="fr-CH"/>
        </w:rPr>
        <w:t xml:space="preserve">. </w:t>
      </w:r>
    </w:p>
    <w:p w14:paraId="0478A790" w14:textId="77777777" w:rsidR="007B7631" w:rsidRPr="002842CA" w:rsidRDefault="007B7631" w:rsidP="007B7631">
      <w:pPr>
        <w:pStyle w:val="ListParagraph"/>
        <w:ind w:left="426" w:hanging="426"/>
        <w:rPr>
          <w:rFonts w:cstheme="minorHAnsi"/>
          <w:lang w:val="fr-CH"/>
        </w:rPr>
      </w:pPr>
    </w:p>
    <w:p w14:paraId="23C0FD81" w14:textId="718D0EE2" w:rsidR="007B7631" w:rsidRPr="00AA3D34" w:rsidRDefault="00BC6349" w:rsidP="00A77D00">
      <w:pPr>
        <w:pStyle w:val="ListParagraph"/>
        <w:numPr>
          <w:ilvl w:val="0"/>
          <w:numId w:val="6"/>
        </w:numPr>
        <w:ind w:left="426" w:hanging="426"/>
        <w:rPr>
          <w:rFonts w:cstheme="minorHAnsi"/>
          <w:b/>
          <w:bCs/>
          <w:lang w:val="fr-CH"/>
        </w:rPr>
      </w:pPr>
      <w:r w:rsidRPr="00AA3D34">
        <w:rPr>
          <w:rFonts w:cstheme="minorHAnsi"/>
          <w:lang w:val="fr-CH"/>
        </w:rPr>
        <w:t>Les IRR se composent de Parties contractantes, ne peuvent agir en leur nom que sur mandat explicite de leurs membres. Une IRR n’est en aucun cas considérée comme un bureau régional de la Convention ou un porte-parole ou un représentant du Secrétariat de la Convention.</w:t>
      </w:r>
    </w:p>
    <w:p w14:paraId="3DCA0E90" w14:textId="77777777" w:rsidR="007B7631" w:rsidRPr="002842CA" w:rsidRDefault="007B7631" w:rsidP="007B7631">
      <w:pPr>
        <w:pStyle w:val="ListParagraph"/>
        <w:ind w:left="426" w:hanging="426"/>
        <w:rPr>
          <w:rFonts w:cstheme="minorHAnsi"/>
          <w:b/>
          <w:bCs/>
          <w:highlight w:val="cyan"/>
          <w:lang w:val="fr-CH"/>
        </w:rPr>
      </w:pPr>
    </w:p>
    <w:p w14:paraId="0B9D75D8" w14:textId="7D67EB9B" w:rsidR="007B7631" w:rsidRPr="00AA3D34" w:rsidRDefault="00BC6349" w:rsidP="00A77D00">
      <w:pPr>
        <w:pStyle w:val="ListParagraph"/>
        <w:numPr>
          <w:ilvl w:val="0"/>
          <w:numId w:val="6"/>
        </w:numPr>
        <w:ind w:left="426" w:hanging="426"/>
        <w:rPr>
          <w:rFonts w:cstheme="minorHAnsi"/>
          <w:b/>
          <w:bCs/>
          <w:color w:val="000000" w:themeColor="text1"/>
          <w:lang w:val="fr-CH"/>
        </w:rPr>
      </w:pPr>
      <w:r w:rsidRPr="00AA3D34">
        <w:rPr>
          <w:rFonts w:eastAsiaTheme="minorEastAsia" w:cstheme="minorHAnsi"/>
          <w:lang w:val="fr-CH" w:eastAsia="ko-KR"/>
        </w:rPr>
        <w:lastRenderedPageBreak/>
        <w:t>Les IRR sont priées d’adopter un logo spécifique et de l’utiliser simultanément avec le logo Ramsar, conformément aux lignes directrices actuelles</w:t>
      </w:r>
      <w:r w:rsidR="007B7631" w:rsidRPr="00AA3D34">
        <w:rPr>
          <w:rFonts w:cstheme="minorHAnsi"/>
          <w:lang w:val="fr-CH"/>
        </w:rPr>
        <w:t>.</w:t>
      </w:r>
    </w:p>
    <w:p w14:paraId="32BE968B" w14:textId="77777777" w:rsidR="007B7631" w:rsidRPr="002842CA" w:rsidRDefault="007B7631" w:rsidP="007B7631">
      <w:pPr>
        <w:ind w:left="426" w:hanging="426"/>
        <w:rPr>
          <w:rFonts w:cstheme="minorHAnsi"/>
          <w:b/>
          <w:bCs/>
          <w:color w:val="000000" w:themeColor="text1"/>
          <w:lang w:val="fr-CH"/>
        </w:rPr>
      </w:pPr>
    </w:p>
    <w:p w14:paraId="54A21961" w14:textId="08A5D63C" w:rsidR="007B7631" w:rsidRPr="002842CA" w:rsidRDefault="002842CA" w:rsidP="00A77D00">
      <w:pPr>
        <w:pStyle w:val="ListParagraph"/>
        <w:numPr>
          <w:ilvl w:val="0"/>
          <w:numId w:val="6"/>
        </w:numPr>
        <w:ind w:left="426" w:hanging="426"/>
        <w:rPr>
          <w:rFonts w:cstheme="minorHAnsi"/>
          <w:color w:val="000000" w:themeColor="text1"/>
          <w:lang w:val="fr-CH"/>
        </w:rPr>
      </w:pPr>
      <w:r>
        <w:rPr>
          <w:rFonts w:cstheme="minorHAnsi"/>
          <w:color w:val="000000" w:themeColor="text1"/>
          <w:lang w:val="fr-CH"/>
        </w:rPr>
        <w:t>Un site web actif de l’IRR pourrait être utile car il donnerait de la visibilité à l’IRR et il serait bénéfique d’inclure</w:t>
      </w:r>
      <w:r w:rsidR="003D7287">
        <w:rPr>
          <w:rFonts w:cstheme="minorHAnsi"/>
          <w:color w:val="000000" w:themeColor="text1"/>
          <w:lang w:val="fr-CH"/>
        </w:rPr>
        <w:t>,</w:t>
      </w:r>
      <w:r w:rsidR="003D7287" w:rsidRPr="003D7287">
        <w:rPr>
          <w:rFonts w:cstheme="minorHAnsi"/>
          <w:color w:val="000000" w:themeColor="text1"/>
          <w:lang w:val="fr-CH"/>
        </w:rPr>
        <w:t xml:space="preserve"> </w:t>
      </w:r>
      <w:r w:rsidR="003D7287">
        <w:rPr>
          <w:rFonts w:cstheme="minorHAnsi"/>
          <w:color w:val="000000" w:themeColor="text1"/>
          <w:lang w:val="fr-CH"/>
        </w:rPr>
        <w:t>dans les rapports annuels,</w:t>
      </w:r>
      <w:r>
        <w:rPr>
          <w:rFonts w:cstheme="minorHAnsi"/>
          <w:color w:val="000000" w:themeColor="text1"/>
          <w:lang w:val="fr-CH"/>
        </w:rPr>
        <w:t xml:space="preserve"> des preuves des efforts de communication accomplis l’année précédente.</w:t>
      </w:r>
      <w:r w:rsidR="007B7631" w:rsidRPr="002842CA">
        <w:rPr>
          <w:rFonts w:cstheme="minorHAnsi"/>
          <w:b/>
          <w:bCs/>
          <w:lang w:val="fr-CH"/>
        </w:rPr>
        <w:t xml:space="preserve"> </w:t>
      </w:r>
    </w:p>
    <w:p w14:paraId="69B471A2" w14:textId="77777777" w:rsidR="007B7631" w:rsidRPr="002842CA" w:rsidRDefault="007B7631" w:rsidP="007B7631">
      <w:pPr>
        <w:rPr>
          <w:rFonts w:cstheme="minorHAnsi"/>
          <w:lang w:val="fr-CH"/>
        </w:rPr>
      </w:pPr>
    </w:p>
    <w:p w14:paraId="4A78340F" w14:textId="51A6A703" w:rsidR="007B7631" w:rsidRPr="002842CA" w:rsidRDefault="007B7631" w:rsidP="007B7631">
      <w:pPr>
        <w:rPr>
          <w:rFonts w:cstheme="minorHAnsi"/>
          <w:b/>
          <w:lang w:val="fr-CH"/>
        </w:rPr>
      </w:pPr>
      <w:r w:rsidRPr="002842CA">
        <w:rPr>
          <w:rFonts w:cstheme="minorHAnsi"/>
          <w:b/>
          <w:lang w:val="fr-CH"/>
        </w:rPr>
        <w:t>Chap</w:t>
      </w:r>
      <w:r w:rsidR="00BC6349" w:rsidRPr="002842CA">
        <w:rPr>
          <w:rFonts w:cstheme="minorHAnsi"/>
          <w:b/>
          <w:lang w:val="fr-CH"/>
        </w:rPr>
        <w:t>itre</w:t>
      </w:r>
      <w:r w:rsidRPr="002842CA">
        <w:rPr>
          <w:rFonts w:cstheme="minorHAnsi"/>
          <w:b/>
          <w:lang w:val="fr-CH"/>
        </w:rPr>
        <w:t xml:space="preserve"> 4</w:t>
      </w:r>
      <w:r w:rsidR="00BC6349" w:rsidRPr="002842CA">
        <w:rPr>
          <w:rFonts w:cstheme="minorHAnsi"/>
          <w:b/>
          <w:lang w:val="fr-CH"/>
        </w:rPr>
        <w:t xml:space="preserve"> </w:t>
      </w:r>
      <w:r w:rsidRPr="002842CA">
        <w:rPr>
          <w:rFonts w:cstheme="minorHAnsi"/>
          <w:b/>
          <w:lang w:val="fr-CH"/>
        </w:rPr>
        <w:t xml:space="preserve">: Participation </w:t>
      </w:r>
      <w:r w:rsidR="002842CA">
        <w:rPr>
          <w:rFonts w:cstheme="minorHAnsi"/>
          <w:b/>
          <w:lang w:val="fr-CH"/>
        </w:rPr>
        <w:t>aux IRR</w:t>
      </w:r>
    </w:p>
    <w:p w14:paraId="007205FC" w14:textId="77777777" w:rsidR="007B7631" w:rsidRPr="002842CA" w:rsidRDefault="007B7631" w:rsidP="007B7631">
      <w:pPr>
        <w:rPr>
          <w:rFonts w:cstheme="minorHAnsi"/>
          <w:b/>
          <w:lang w:val="fr-CH"/>
        </w:rPr>
      </w:pPr>
    </w:p>
    <w:p w14:paraId="315C428E" w14:textId="6251BF34" w:rsidR="007B7631" w:rsidRPr="00AA3D34" w:rsidRDefault="00BC6349" w:rsidP="00A77D00">
      <w:pPr>
        <w:pStyle w:val="ListParagraph"/>
        <w:numPr>
          <w:ilvl w:val="0"/>
          <w:numId w:val="6"/>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Times New Roman" w:cstheme="minorHAnsi"/>
          <w:color w:val="212121"/>
          <w:lang w:val="fr-CH" w:eastAsia="en-GB"/>
        </w:rPr>
      </w:pPr>
      <w:r w:rsidRPr="00AA3D34">
        <w:rPr>
          <w:rFonts w:eastAsia="Times New Roman" w:cstheme="minorHAnsi"/>
          <w:color w:val="212121"/>
          <w:lang w:val="fr-CH" w:eastAsia="en-GB"/>
        </w:rPr>
        <w:t>L’organe de c</w:t>
      </w:r>
      <w:r w:rsidR="007B7631" w:rsidRPr="00AA3D34">
        <w:rPr>
          <w:rFonts w:eastAsia="Times New Roman" w:cstheme="minorHAnsi"/>
          <w:color w:val="212121"/>
          <w:lang w:val="fr-CH" w:eastAsia="en-GB"/>
        </w:rPr>
        <w:t xml:space="preserve">oordination </w:t>
      </w:r>
      <w:r w:rsidRPr="00AA3D34">
        <w:rPr>
          <w:rFonts w:eastAsia="Times New Roman" w:cstheme="minorHAnsi"/>
          <w:color w:val="212121"/>
          <w:lang w:val="fr-CH" w:eastAsia="en-GB"/>
        </w:rPr>
        <w:t>est</w:t>
      </w:r>
      <w:r w:rsidR="007B7631" w:rsidRPr="00AA3D34">
        <w:rPr>
          <w:rFonts w:eastAsia="Times New Roman" w:cstheme="minorHAnsi"/>
          <w:color w:val="212121"/>
          <w:lang w:val="fr-CH" w:eastAsia="en-GB"/>
        </w:rPr>
        <w:t xml:space="preserve"> </w:t>
      </w:r>
      <w:r w:rsidR="007B7631" w:rsidRPr="00AA3D34">
        <w:rPr>
          <w:rFonts w:eastAsiaTheme="minorEastAsia" w:cstheme="minorHAnsi"/>
          <w:lang w:val="fr-CH" w:eastAsia="ko-KR"/>
        </w:rPr>
        <w:t>encourag</w:t>
      </w:r>
      <w:r w:rsidRPr="00AA3D34">
        <w:rPr>
          <w:rFonts w:eastAsiaTheme="minorEastAsia" w:cstheme="minorHAnsi"/>
          <w:lang w:val="fr-CH" w:eastAsia="ko-KR"/>
        </w:rPr>
        <w:t>é à</w:t>
      </w:r>
      <w:r w:rsidR="007B7631" w:rsidRPr="00AA3D34">
        <w:rPr>
          <w:rFonts w:eastAsiaTheme="minorEastAsia" w:cstheme="minorHAnsi"/>
          <w:lang w:val="fr-CH" w:eastAsia="ko-KR"/>
        </w:rPr>
        <w:t xml:space="preserve"> </w:t>
      </w:r>
      <w:r w:rsidRPr="00AA3D34">
        <w:rPr>
          <w:rFonts w:eastAsiaTheme="minorEastAsia" w:cstheme="minorHAnsi"/>
          <w:lang w:val="fr-CH" w:eastAsia="ko-KR"/>
        </w:rPr>
        <w:t xml:space="preserve">organiser des réunions périodiques en veillant à une planification opportune et à une participation pleine et entière </w:t>
      </w:r>
      <w:r w:rsidR="00F65790" w:rsidRPr="00AA3D34">
        <w:rPr>
          <w:rFonts w:eastAsiaTheme="minorEastAsia" w:cstheme="minorHAnsi"/>
          <w:lang w:val="fr-CH" w:eastAsia="ko-KR"/>
        </w:rPr>
        <w:t xml:space="preserve">des Parties contractantes membres et </w:t>
      </w:r>
      <w:r w:rsidRPr="00AA3D34">
        <w:rPr>
          <w:rFonts w:eastAsiaTheme="minorEastAsia" w:cstheme="minorHAnsi"/>
          <w:lang w:val="fr-CH" w:eastAsia="ko-KR"/>
        </w:rPr>
        <w:t>du Secrétariat</w:t>
      </w:r>
      <w:r w:rsidR="007B7631" w:rsidRPr="00AA3D34">
        <w:rPr>
          <w:rFonts w:eastAsia="Times New Roman" w:cstheme="minorHAnsi"/>
          <w:color w:val="212121"/>
          <w:lang w:val="fr-CH" w:eastAsia="en-GB"/>
        </w:rPr>
        <w:t xml:space="preserve"> </w:t>
      </w:r>
      <w:r w:rsidR="00F65790" w:rsidRPr="00AA3D34">
        <w:rPr>
          <w:rFonts w:eastAsia="Times New Roman" w:cstheme="minorHAnsi"/>
          <w:color w:val="212121"/>
          <w:lang w:val="fr-CH" w:eastAsia="en-GB"/>
        </w:rPr>
        <w:t>de la</w:t>
      </w:r>
      <w:r w:rsidR="007B7631" w:rsidRPr="00AA3D34">
        <w:rPr>
          <w:rFonts w:eastAsia="Times New Roman" w:cstheme="minorHAnsi"/>
          <w:color w:val="212121"/>
          <w:lang w:val="fr-CH" w:eastAsia="en-GB"/>
        </w:rPr>
        <w:t xml:space="preserve"> Convention. </w:t>
      </w:r>
    </w:p>
    <w:p w14:paraId="3B72094B" w14:textId="77777777" w:rsidR="007B7631" w:rsidRPr="002842CA" w:rsidRDefault="007B7631" w:rsidP="007B7631">
      <w:pPr>
        <w:pStyle w:val="ListParagraph"/>
        <w:shd w:val="clear" w:color="auto" w:fill="FFFFFF"/>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cstheme="minorHAnsi"/>
          <w:lang w:val="fr-CH"/>
        </w:rPr>
      </w:pPr>
    </w:p>
    <w:p w14:paraId="20DB6112" w14:textId="60A50164" w:rsidR="007B7631" w:rsidRPr="00AA3D34" w:rsidRDefault="007B7631" w:rsidP="00A77D00">
      <w:pPr>
        <w:pStyle w:val="ListParagraph"/>
        <w:numPr>
          <w:ilvl w:val="0"/>
          <w:numId w:val="6"/>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Times New Roman" w:cstheme="minorHAnsi"/>
          <w:color w:val="212121"/>
          <w:lang w:val="fr-CH" w:eastAsia="en-GB"/>
        </w:rPr>
      </w:pPr>
      <w:r w:rsidRPr="00AA3D34">
        <w:rPr>
          <w:rFonts w:eastAsia="Times New Roman" w:cstheme="minorHAnsi"/>
          <w:color w:val="212121"/>
          <w:lang w:val="fr-CH" w:eastAsia="en-GB"/>
        </w:rPr>
        <w:t>[</w:t>
      </w:r>
      <w:r w:rsidR="00F65790" w:rsidRPr="00AA3D34">
        <w:rPr>
          <w:rFonts w:eastAsia="Times New Roman" w:cstheme="minorHAnsi"/>
          <w:color w:val="212121"/>
          <w:lang w:val="fr-CH" w:eastAsia="en-GB"/>
        </w:rPr>
        <w:t xml:space="preserve">Des rencontres </w:t>
      </w:r>
      <w:r w:rsidR="00F17E55" w:rsidRPr="00AA3D34">
        <w:rPr>
          <w:rFonts w:eastAsia="Times New Roman" w:cstheme="minorHAnsi"/>
          <w:color w:val="212121"/>
          <w:lang w:val="fr-CH" w:eastAsia="en-GB"/>
        </w:rPr>
        <w:t>aux</w:t>
      </w:r>
      <w:r w:rsidR="00F65790" w:rsidRPr="00AA3D34">
        <w:rPr>
          <w:rFonts w:eastAsia="Times New Roman" w:cstheme="minorHAnsi"/>
          <w:color w:val="212121"/>
          <w:lang w:val="fr-CH" w:eastAsia="en-GB"/>
        </w:rPr>
        <w:t xml:space="preserve"> fins d’échange d’expérience devraient avoir lieu tous les deux ou trois ans, avec l’assistance et l’avis du Secrétariat Ramsar. Les réunions devraient rassembler tous les membres des IRR et d’autres acteurs pertinents (ministères, organisations non gouvernementales, Organisations internationales partenaires (OIP) de Ramsar), d’autres organisations gouvernementales et la société civile, le secteur universitaire, les communautés locales et le secteur privé, en plus des correspondants nationaux CESP et GEST de la Convention. Ces rencontres devraient être préparées et annoncées, en temps voulu, aux membres de l’IRR et au Secrétariat de la Convention, avec des objectifs concrets et des résultats escomptés.</w:t>
      </w:r>
      <w:r w:rsidRPr="00AA3D34">
        <w:rPr>
          <w:rFonts w:eastAsia="Times New Roman" w:cstheme="minorHAnsi"/>
          <w:color w:val="212121"/>
          <w:lang w:val="fr-CH" w:eastAsia="en-GB"/>
        </w:rPr>
        <w:t>]</w:t>
      </w:r>
    </w:p>
    <w:p w14:paraId="1B27B107" w14:textId="77777777" w:rsidR="007B7631" w:rsidRPr="002842CA" w:rsidRDefault="007B7631" w:rsidP="007B7631">
      <w:pPr>
        <w:rPr>
          <w:rFonts w:eastAsia="Times New Roman" w:cstheme="minorHAnsi"/>
          <w:color w:val="212121"/>
          <w:lang w:val="fr-CH" w:eastAsia="en-GB"/>
        </w:rPr>
      </w:pPr>
    </w:p>
    <w:p w14:paraId="5CBF29F1" w14:textId="2B2C1FFB" w:rsidR="007B7631" w:rsidRPr="00AA3D34" w:rsidRDefault="0090081F" w:rsidP="00A77D00">
      <w:pPr>
        <w:pStyle w:val="ListParagraph"/>
        <w:numPr>
          <w:ilvl w:val="0"/>
          <w:numId w:val="6"/>
        </w:numPr>
        <w:ind w:left="426" w:hanging="426"/>
        <w:rPr>
          <w:rFonts w:cstheme="minorHAnsi"/>
          <w:lang w:val="fr-CH"/>
        </w:rPr>
      </w:pPr>
      <w:r w:rsidRPr="00AA3D34">
        <w:rPr>
          <w:rFonts w:cstheme="minorHAnsi"/>
          <w:color w:val="000000" w:themeColor="text1"/>
          <w:lang w:val="fr-CH"/>
        </w:rPr>
        <w:t xml:space="preserve">Il convient de promouvoir des partenariats effectifs avec les OIP Ramsar et autres institutions régionales ou mondiales pertinentes. L’organe directeur devrait faire en sorte que les partenaires concernés par le rapport annuel soumis au Secrétariat participent à la planification du plan de travail annuel et du plan stratégique. </w:t>
      </w:r>
    </w:p>
    <w:p w14:paraId="2CB8D892" w14:textId="77777777" w:rsidR="007B7631" w:rsidRPr="002842CA" w:rsidRDefault="007B7631" w:rsidP="007B7631">
      <w:pPr>
        <w:pStyle w:val="ListParagraph"/>
        <w:ind w:left="744"/>
        <w:rPr>
          <w:rFonts w:cstheme="minorHAnsi"/>
          <w:lang w:val="fr-CH"/>
        </w:rPr>
      </w:pPr>
    </w:p>
    <w:p w14:paraId="4A592098" w14:textId="449D0A3F" w:rsidR="007B7631" w:rsidRPr="00AA3D34" w:rsidRDefault="007B7631" w:rsidP="007B7631">
      <w:pPr>
        <w:rPr>
          <w:rFonts w:cstheme="minorHAnsi"/>
          <w:b/>
          <w:lang w:val="fr-CH"/>
        </w:rPr>
      </w:pPr>
      <w:r w:rsidRPr="00AA3D34">
        <w:rPr>
          <w:rFonts w:cstheme="minorHAnsi"/>
          <w:b/>
          <w:lang w:val="fr-CH"/>
        </w:rPr>
        <w:t>Chap</w:t>
      </w:r>
      <w:r w:rsidR="0090081F" w:rsidRPr="00AA3D34">
        <w:rPr>
          <w:rFonts w:cstheme="minorHAnsi"/>
          <w:b/>
          <w:lang w:val="fr-CH"/>
        </w:rPr>
        <w:t>itre</w:t>
      </w:r>
      <w:r w:rsidRPr="00AA3D34">
        <w:rPr>
          <w:rFonts w:cstheme="minorHAnsi"/>
          <w:b/>
          <w:lang w:val="fr-CH"/>
        </w:rPr>
        <w:t xml:space="preserve"> 5</w:t>
      </w:r>
      <w:r w:rsidR="0090081F" w:rsidRPr="00AA3D34">
        <w:rPr>
          <w:rFonts w:cstheme="minorHAnsi"/>
          <w:b/>
          <w:lang w:val="fr-CH"/>
        </w:rPr>
        <w:t xml:space="preserve"> </w:t>
      </w:r>
      <w:r w:rsidRPr="00AA3D34">
        <w:rPr>
          <w:rFonts w:cstheme="minorHAnsi"/>
          <w:b/>
          <w:lang w:val="fr-CH"/>
        </w:rPr>
        <w:t xml:space="preserve">: </w:t>
      </w:r>
      <w:r w:rsidR="0090081F" w:rsidRPr="00AA3D34">
        <w:rPr>
          <w:rFonts w:cstheme="minorHAnsi"/>
          <w:b/>
          <w:lang w:val="fr-CH"/>
        </w:rPr>
        <w:t>Relations entre le Secrétariat de la Convention sur les zones humides et les IRR</w:t>
      </w:r>
    </w:p>
    <w:p w14:paraId="584452F7" w14:textId="77777777" w:rsidR="007B7631" w:rsidRPr="002842CA" w:rsidRDefault="007B7631" w:rsidP="007B7631">
      <w:pPr>
        <w:rPr>
          <w:rFonts w:cstheme="minorHAnsi"/>
          <w:b/>
          <w:highlight w:val="cyan"/>
          <w:lang w:val="fr-CH"/>
        </w:rPr>
      </w:pPr>
    </w:p>
    <w:p w14:paraId="502FAF36" w14:textId="3E667DE7" w:rsidR="007B7631" w:rsidRPr="00AA3D34" w:rsidRDefault="00D73AF3" w:rsidP="00A77D00">
      <w:pPr>
        <w:pStyle w:val="ListParagraph"/>
        <w:numPr>
          <w:ilvl w:val="0"/>
          <w:numId w:val="6"/>
        </w:numPr>
        <w:ind w:left="426"/>
        <w:rPr>
          <w:rFonts w:cstheme="minorHAnsi"/>
          <w:lang w:val="fr-CH"/>
        </w:rPr>
      </w:pPr>
      <w:r w:rsidRPr="00AA3D34">
        <w:rPr>
          <w:rFonts w:cstheme="minorHAnsi"/>
          <w:color w:val="000000" w:themeColor="text1"/>
          <w:lang w:val="fr-CH"/>
        </w:rPr>
        <w:t xml:space="preserve">Il est impératif d’instaurer une communication et une coordination efficaces et fréquentes entre les IRR et le Secrétariat. </w:t>
      </w:r>
      <w:r w:rsidR="00C5611D" w:rsidRPr="00AA3D34">
        <w:rPr>
          <w:rFonts w:cstheme="minorHAnsi"/>
          <w:color w:val="000000" w:themeColor="text1"/>
          <w:lang w:val="fr-CH"/>
        </w:rPr>
        <w:t>Les IRR devraient impliquer le Secrétariat de la Convention et d’autres acteurs clés dans la planification du plan de travail annuel et du plan stratégique</w:t>
      </w:r>
      <w:r w:rsidR="007B7631" w:rsidRPr="00AA3D34">
        <w:rPr>
          <w:rFonts w:cstheme="minorHAnsi"/>
          <w:color w:val="000000" w:themeColor="text1"/>
          <w:lang w:val="fr-CH"/>
        </w:rPr>
        <w:t>.</w:t>
      </w:r>
    </w:p>
    <w:p w14:paraId="50619085" w14:textId="77777777" w:rsidR="007B7631" w:rsidRPr="00AA3D34" w:rsidRDefault="007B7631" w:rsidP="007B7631">
      <w:pPr>
        <w:pStyle w:val="ListParagraph"/>
        <w:ind w:left="-338"/>
        <w:rPr>
          <w:rFonts w:cstheme="minorHAnsi"/>
          <w:color w:val="000000" w:themeColor="text1"/>
          <w:lang w:val="fr-CH"/>
        </w:rPr>
      </w:pPr>
    </w:p>
    <w:p w14:paraId="49F2195B" w14:textId="1C93D51E" w:rsidR="007B7631" w:rsidRPr="00AA3D34" w:rsidRDefault="00C5611D" w:rsidP="00A77D00">
      <w:pPr>
        <w:pStyle w:val="ListParagraph"/>
        <w:numPr>
          <w:ilvl w:val="0"/>
          <w:numId w:val="6"/>
        </w:numPr>
        <w:ind w:left="426" w:hanging="426"/>
        <w:rPr>
          <w:rFonts w:cstheme="minorHAnsi"/>
          <w:lang w:val="fr-CH"/>
        </w:rPr>
      </w:pPr>
      <w:r w:rsidRPr="00AA3D34">
        <w:rPr>
          <w:rFonts w:cstheme="minorHAnsi"/>
          <w:lang w:val="fr-CH"/>
        </w:rPr>
        <w:t>Il est recommandé aux IRR qui ont inscrit dans leur mandat de soutenir la Journée mondiale des zones humides, d’informer le Secrétariat Ramsar des activités pertinentes organisées</w:t>
      </w:r>
      <w:r w:rsidR="007B7631" w:rsidRPr="00AA3D34">
        <w:rPr>
          <w:rFonts w:cstheme="minorHAnsi"/>
          <w:lang w:val="fr-CH"/>
        </w:rPr>
        <w:t xml:space="preserve">. </w:t>
      </w:r>
    </w:p>
    <w:p w14:paraId="67C38622" w14:textId="77777777" w:rsidR="007B7631" w:rsidRPr="00AA3D34" w:rsidRDefault="007B7631" w:rsidP="007B7631">
      <w:pPr>
        <w:rPr>
          <w:rFonts w:cstheme="minorHAnsi"/>
          <w:b/>
          <w:lang w:val="fr-CH"/>
        </w:rPr>
      </w:pPr>
    </w:p>
    <w:p w14:paraId="52FDAA88" w14:textId="1E14E533" w:rsidR="007B7631" w:rsidRPr="00AA3D34" w:rsidRDefault="007B7631" w:rsidP="007B7631">
      <w:pPr>
        <w:rPr>
          <w:rFonts w:cstheme="minorHAnsi"/>
          <w:b/>
          <w:lang w:val="fr-CH"/>
        </w:rPr>
      </w:pPr>
      <w:r w:rsidRPr="00AA3D34">
        <w:rPr>
          <w:rFonts w:cstheme="minorHAnsi"/>
          <w:b/>
          <w:lang w:val="fr-CH"/>
        </w:rPr>
        <w:t>Chap</w:t>
      </w:r>
      <w:r w:rsidR="00C5611D" w:rsidRPr="00AA3D34">
        <w:rPr>
          <w:rFonts w:cstheme="minorHAnsi"/>
          <w:b/>
          <w:lang w:val="fr-CH"/>
        </w:rPr>
        <w:t>itre</w:t>
      </w:r>
      <w:r w:rsidRPr="00AA3D34">
        <w:rPr>
          <w:rFonts w:cstheme="minorHAnsi"/>
          <w:b/>
          <w:lang w:val="fr-CH"/>
        </w:rPr>
        <w:t xml:space="preserve"> 6</w:t>
      </w:r>
      <w:r w:rsidR="00C5611D" w:rsidRPr="00AA3D34">
        <w:rPr>
          <w:rFonts w:cstheme="minorHAnsi"/>
          <w:b/>
          <w:lang w:val="fr-CH"/>
        </w:rPr>
        <w:t xml:space="preserve"> </w:t>
      </w:r>
      <w:r w:rsidRPr="00AA3D34">
        <w:rPr>
          <w:rFonts w:cstheme="minorHAnsi"/>
          <w:b/>
          <w:lang w:val="fr-CH"/>
        </w:rPr>
        <w:t xml:space="preserve">: </w:t>
      </w:r>
      <w:r w:rsidR="00FE70CA" w:rsidRPr="00AA3D34">
        <w:rPr>
          <w:rFonts w:cstheme="minorHAnsi"/>
          <w:b/>
          <w:lang w:val="fr-CH"/>
        </w:rPr>
        <w:t>Le rôle des IRR dans la mise en œuvre du Plan stratégique de la Convention sur les zones humides</w:t>
      </w:r>
    </w:p>
    <w:p w14:paraId="6883F7A0" w14:textId="77777777" w:rsidR="007B7631" w:rsidRPr="00AA3D34" w:rsidRDefault="007B7631" w:rsidP="007B7631">
      <w:pPr>
        <w:contextualSpacing/>
        <w:rPr>
          <w:rFonts w:cstheme="minorHAnsi"/>
          <w:b/>
          <w:lang w:val="fr-CH"/>
        </w:rPr>
      </w:pPr>
    </w:p>
    <w:p w14:paraId="29BF9542" w14:textId="7B5FB301" w:rsidR="007B7631" w:rsidRPr="00AA3D34" w:rsidRDefault="00FE70CA" w:rsidP="00A77D00">
      <w:pPr>
        <w:pStyle w:val="ListParagraph"/>
        <w:numPr>
          <w:ilvl w:val="0"/>
          <w:numId w:val="6"/>
        </w:numPr>
        <w:ind w:left="426" w:hanging="426"/>
        <w:rPr>
          <w:rFonts w:cstheme="minorHAnsi"/>
          <w:color w:val="000000" w:themeColor="text1"/>
          <w:lang w:val="fr-CH"/>
        </w:rPr>
      </w:pPr>
      <w:r w:rsidRPr="00AA3D34">
        <w:rPr>
          <w:rFonts w:cstheme="minorHAnsi"/>
          <w:lang w:val="fr-CH"/>
        </w:rPr>
        <w:t>Le programme de travail de chaque IRR est harmonisé avec le Plan stratégique de la Convention.</w:t>
      </w:r>
      <w:r w:rsidR="007B7631" w:rsidRPr="00AA3D34">
        <w:rPr>
          <w:rFonts w:cstheme="minorHAnsi"/>
          <w:color w:val="000000" w:themeColor="text1"/>
          <w:lang w:val="fr-CH"/>
        </w:rPr>
        <w:t xml:space="preserve"> </w:t>
      </w:r>
      <w:r w:rsidR="002842CA" w:rsidRPr="00AA3D34">
        <w:rPr>
          <w:rFonts w:cstheme="minorHAnsi"/>
          <w:color w:val="000000" w:themeColor="text1"/>
          <w:lang w:val="fr-CH"/>
        </w:rPr>
        <w:t>L’IRR garantit que les documents s’appuient sur la mise en œuvre du Plan stratégique de la Convention.</w:t>
      </w:r>
    </w:p>
    <w:p w14:paraId="35CDE08A" w14:textId="77777777" w:rsidR="007B7631" w:rsidRPr="00AA3D34" w:rsidRDefault="007B7631" w:rsidP="007B7631">
      <w:pPr>
        <w:pStyle w:val="ListParagraph"/>
        <w:rPr>
          <w:rFonts w:cstheme="minorHAnsi"/>
          <w:color w:val="000000" w:themeColor="text1"/>
          <w:lang w:val="fr-CH"/>
        </w:rPr>
      </w:pPr>
    </w:p>
    <w:p w14:paraId="362BE6A0" w14:textId="1D5C7639" w:rsidR="007B7631" w:rsidRPr="002842CA" w:rsidRDefault="007B7631" w:rsidP="007B7631">
      <w:pPr>
        <w:rPr>
          <w:rFonts w:cstheme="minorHAnsi"/>
          <w:color w:val="000000" w:themeColor="text1"/>
          <w:lang w:val="fr-CH"/>
        </w:rPr>
      </w:pPr>
      <w:r w:rsidRPr="00AA3D34">
        <w:rPr>
          <w:rFonts w:cstheme="minorHAnsi"/>
          <w:color w:val="000000" w:themeColor="text1"/>
          <w:lang w:val="fr-CH"/>
        </w:rPr>
        <w:t>[</w:t>
      </w:r>
      <w:r w:rsidR="00FE70CA" w:rsidRPr="00AA3D34">
        <w:rPr>
          <w:rFonts w:cstheme="minorHAnsi"/>
          <w:color w:val="000000" w:themeColor="text1"/>
          <w:lang w:val="fr-CH"/>
        </w:rPr>
        <w:t>Les IRR veillent à ce que des buts et objectifs spécifiques du Plan stratégique de la Convention figurent dans leurs plans de travail annuels et leurs plans stratégiques et précisent, dans leurs rapports annuels, comment l’initiative a contribué à la réalisation des buts/objectifs</w:t>
      </w:r>
      <w:r w:rsidRPr="00AA3D34">
        <w:rPr>
          <w:rFonts w:cstheme="minorHAnsi"/>
          <w:color w:val="000000" w:themeColor="text1"/>
          <w:lang w:val="fr-CH"/>
        </w:rPr>
        <w:t>].</w:t>
      </w:r>
    </w:p>
    <w:p w14:paraId="4D3B4F75" w14:textId="77777777" w:rsidR="007B7631" w:rsidRPr="002842CA" w:rsidRDefault="007B7631" w:rsidP="007B7631">
      <w:pPr>
        <w:pStyle w:val="ListParagraph"/>
        <w:ind w:left="426"/>
        <w:rPr>
          <w:rFonts w:cstheme="minorHAnsi"/>
          <w:color w:val="000000" w:themeColor="text1"/>
          <w:lang w:val="fr-CH"/>
        </w:rPr>
      </w:pPr>
    </w:p>
    <w:p w14:paraId="77641258" w14:textId="1799981F" w:rsidR="007B7631" w:rsidRPr="00AA3D34" w:rsidRDefault="007B7631" w:rsidP="00A77D00">
      <w:pPr>
        <w:pStyle w:val="CommentText"/>
        <w:numPr>
          <w:ilvl w:val="0"/>
          <w:numId w:val="6"/>
        </w:numPr>
        <w:spacing w:after="200"/>
        <w:ind w:left="426" w:hanging="426"/>
        <w:rPr>
          <w:rFonts w:eastAsiaTheme="minorEastAsia" w:cstheme="minorHAnsi"/>
          <w:sz w:val="22"/>
          <w:szCs w:val="22"/>
          <w:lang w:val="fr-CH" w:eastAsia="ko-KR"/>
        </w:rPr>
      </w:pPr>
      <w:r w:rsidRPr="002842CA" w:rsidDel="00CB2F7B">
        <w:rPr>
          <w:rFonts w:cstheme="minorHAnsi"/>
          <w:strike/>
          <w:color w:val="000000" w:themeColor="text1"/>
          <w:sz w:val="22"/>
          <w:szCs w:val="22"/>
          <w:lang w:val="fr-CH"/>
        </w:rPr>
        <w:t xml:space="preserve"> </w:t>
      </w:r>
      <w:r w:rsidRPr="00AA3D34">
        <w:rPr>
          <w:rFonts w:cstheme="minorHAnsi"/>
          <w:color w:val="000000" w:themeColor="text1"/>
          <w:sz w:val="22"/>
          <w:szCs w:val="22"/>
          <w:lang w:val="fr-CH"/>
        </w:rPr>
        <w:t>[</w:t>
      </w:r>
      <w:r w:rsidR="00AA142C" w:rsidRPr="00AA3D34">
        <w:rPr>
          <w:rFonts w:cstheme="minorHAnsi"/>
          <w:color w:val="000000" w:themeColor="text1"/>
          <w:sz w:val="22"/>
          <w:szCs w:val="22"/>
          <w:lang w:val="fr-CH"/>
        </w:rPr>
        <w:t>T</w:t>
      </w:r>
      <w:r w:rsidR="00FE70CA" w:rsidRPr="00AA3D34">
        <w:rPr>
          <w:rFonts w:cstheme="minorHAnsi"/>
          <w:color w:val="000000" w:themeColor="text1"/>
          <w:sz w:val="22"/>
          <w:szCs w:val="22"/>
          <w:lang w:val="fr-CH"/>
        </w:rPr>
        <w:t xml:space="preserve">oute IRR qui n’aura pas contribué efficacement à la réalisation des objectifs du Plan stratégique, dans une période triennale donnée, </w:t>
      </w:r>
      <w:r w:rsidR="00AA142C" w:rsidRPr="00AA3D34">
        <w:rPr>
          <w:rFonts w:cstheme="minorHAnsi"/>
          <w:color w:val="000000" w:themeColor="text1"/>
          <w:sz w:val="22"/>
          <w:szCs w:val="22"/>
          <w:lang w:val="fr-CH"/>
        </w:rPr>
        <w:t xml:space="preserve">se verra rappelée par le Comité permanent </w:t>
      </w:r>
      <w:r w:rsidR="00AA142C" w:rsidRPr="00AA3D34">
        <w:rPr>
          <w:rFonts w:cstheme="minorHAnsi"/>
          <w:color w:val="000000" w:themeColor="text1"/>
          <w:sz w:val="22"/>
          <w:szCs w:val="22"/>
          <w:lang w:val="fr-CH"/>
        </w:rPr>
        <w:lastRenderedPageBreak/>
        <w:t xml:space="preserve">qu’elle pourrait </w:t>
      </w:r>
      <w:r w:rsidR="003D286E" w:rsidRPr="00AA3D34">
        <w:rPr>
          <w:rFonts w:cstheme="minorHAnsi"/>
          <w:color w:val="000000" w:themeColor="text1"/>
          <w:sz w:val="22"/>
          <w:szCs w:val="22"/>
          <w:lang w:val="fr-CH"/>
        </w:rPr>
        <w:t>perdre son statut d’</w:t>
      </w:r>
      <w:r w:rsidR="00AA142C" w:rsidRPr="00AA3D34">
        <w:rPr>
          <w:rFonts w:cstheme="minorHAnsi"/>
          <w:color w:val="000000" w:themeColor="text1"/>
          <w:sz w:val="22"/>
          <w:szCs w:val="22"/>
          <w:lang w:val="fr-CH"/>
        </w:rPr>
        <w:t xml:space="preserve">IRR dans la période triennale suivante, si elle ne </w:t>
      </w:r>
      <w:r w:rsidR="003D286E" w:rsidRPr="00AA3D34">
        <w:rPr>
          <w:rFonts w:cstheme="minorHAnsi"/>
          <w:color w:val="000000" w:themeColor="text1"/>
          <w:sz w:val="22"/>
          <w:szCs w:val="22"/>
          <w:lang w:val="fr-CH"/>
        </w:rPr>
        <w:t>satisfait pas aux obligations</w:t>
      </w:r>
      <w:r w:rsidRPr="00AA3D34">
        <w:rPr>
          <w:rFonts w:cstheme="minorHAnsi"/>
          <w:color w:val="000000" w:themeColor="text1"/>
          <w:sz w:val="22"/>
          <w:szCs w:val="22"/>
          <w:lang w:val="fr-CH"/>
        </w:rPr>
        <w:t xml:space="preserve">].   </w:t>
      </w:r>
    </w:p>
    <w:p w14:paraId="5520A7D0" w14:textId="1AE305F2" w:rsidR="007B7631" w:rsidRPr="002842CA" w:rsidRDefault="00144454" w:rsidP="00A77D00">
      <w:pPr>
        <w:pStyle w:val="ListParagraph"/>
        <w:numPr>
          <w:ilvl w:val="0"/>
          <w:numId w:val="6"/>
        </w:numPr>
        <w:ind w:left="426" w:hanging="426"/>
        <w:rPr>
          <w:rFonts w:cstheme="minorHAnsi"/>
          <w:lang w:val="fr-CH"/>
        </w:rPr>
      </w:pPr>
      <w:r w:rsidRPr="00AA3D34">
        <w:rPr>
          <w:rFonts w:cstheme="minorHAnsi"/>
          <w:lang w:val="fr-CH"/>
        </w:rPr>
        <w:t>Les IRR sont encouragées à inclure des activités spécifiques relatives à la CESP dans leur programme de travail et/ou leurs projets.</w:t>
      </w:r>
      <w:r w:rsidR="007B7631" w:rsidRPr="00AA3D34">
        <w:rPr>
          <w:rFonts w:cstheme="minorHAnsi"/>
          <w:lang w:val="fr-CH"/>
        </w:rPr>
        <w:t xml:space="preserve"> </w:t>
      </w:r>
      <w:r w:rsidR="009575D2" w:rsidRPr="00AA3D34">
        <w:rPr>
          <w:rFonts w:cstheme="minorHAnsi"/>
          <w:lang w:val="fr-CH"/>
        </w:rPr>
        <w:t xml:space="preserve">Les IRR sont invitées à demander à différents experts de CESP un avis concernant leurs travaux qui ont trait à des </w:t>
      </w:r>
      <w:r w:rsidR="00AA3D34" w:rsidRPr="00AA3D34">
        <w:rPr>
          <w:rFonts w:cstheme="minorHAnsi"/>
          <w:lang w:val="fr-CH"/>
        </w:rPr>
        <w:t>buts</w:t>
      </w:r>
      <w:r w:rsidR="009575D2" w:rsidRPr="00AA3D34">
        <w:rPr>
          <w:rFonts w:cstheme="minorHAnsi"/>
          <w:lang w:val="fr-CH"/>
        </w:rPr>
        <w:t xml:space="preserve"> et </w:t>
      </w:r>
      <w:r w:rsidR="00AA3D34" w:rsidRPr="00AA3D34">
        <w:rPr>
          <w:rFonts w:cstheme="minorHAnsi"/>
          <w:lang w:val="fr-CH"/>
        </w:rPr>
        <w:t>objectifs</w:t>
      </w:r>
      <w:r w:rsidR="009575D2" w:rsidRPr="00AA3D34">
        <w:rPr>
          <w:rFonts w:cstheme="minorHAnsi"/>
          <w:lang w:val="fr-CH"/>
        </w:rPr>
        <w:t xml:space="preserve"> spécifiques du Plan</w:t>
      </w:r>
      <w:r w:rsidR="009575D2">
        <w:rPr>
          <w:rFonts w:cstheme="minorHAnsi"/>
          <w:lang w:val="fr-CH"/>
        </w:rPr>
        <w:t xml:space="preserve"> stratégique de la Convention et à </w:t>
      </w:r>
      <w:r w:rsidR="003D7287">
        <w:rPr>
          <w:rFonts w:cstheme="minorHAnsi"/>
          <w:lang w:val="fr-CH"/>
        </w:rPr>
        <w:t>vérifier</w:t>
      </w:r>
      <w:r w:rsidR="009575D2">
        <w:rPr>
          <w:rFonts w:cstheme="minorHAnsi"/>
          <w:lang w:val="fr-CH"/>
        </w:rPr>
        <w:t xml:space="preserve"> s’il y a des enseignements acquis par d’autres IRR ou Parties contractantes </w:t>
      </w:r>
      <w:r w:rsidR="00550AAA">
        <w:rPr>
          <w:rFonts w:cstheme="minorHAnsi"/>
          <w:lang w:val="fr-CH"/>
        </w:rPr>
        <w:t xml:space="preserve">dont les zones humides présentent </w:t>
      </w:r>
      <w:r w:rsidR="009575D2">
        <w:rPr>
          <w:rFonts w:cstheme="minorHAnsi"/>
          <w:lang w:val="fr-CH"/>
        </w:rPr>
        <w:t>des conditions semblables ou s’il y a des outils/informations de CESP pouvant être repris ou légèrement adaptés au lieu de commencer leurs activités de CESP de zéro.</w:t>
      </w:r>
    </w:p>
    <w:p w14:paraId="60D2BB7D" w14:textId="77777777" w:rsidR="007B7631" w:rsidRPr="002842CA" w:rsidRDefault="007B7631" w:rsidP="007B7631">
      <w:pPr>
        <w:ind w:left="426" w:hanging="426"/>
        <w:contextualSpacing/>
        <w:rPr>
          <w:rFonts w:cstheme="minorHAnsi"/>
          <w:lang w:val="fr-CH"/>
        </w:rPr>
      </w:pPr>
    </w:p>
    <w:p w14:paraId="0F6F9DF4" w14:textId="43564CDF" w:rsidR="007B7631" w:rsidRPr="00717118" w:rsidRDefault="007B7631" w:rsidP="007B7631">
      <w:pPr>
        <w:ind w:left="426" w:hanging="426"/>
        <w:rPr>
          <w:rFonts w:cstheme="minorHAnsi"/>
          <w:b/>
          <w:lang w:val="fr-FR"/>
        </w:rPr>
      </w:pPr>
      <w:r w:rsidRPr="00717118">
        <w:rPr>
          <w:rFonts w:cstheme="minorHAnsi"/>
          <w:b/>
          <w:lang w:val="fr-FR"/>
        </w:rPr>
        <w:t>Chap</w:t>
      </w:r>
      <w:r w:rsidR="00144454" w:rsidRPr="00717118">
        <w:rPr>
          <w:rFonts w:cstheme="minorHAnsi"/>
          <w:b/>
          <w:lang w:val="fr-FR"/>
        </w:rPr>
        <w:t>itre</w:t>
      </w:r>
      <w:r w:rsidRPr="00717118">
        <w:rPr>
          <w:rFonts w:cstheme="minorHAnsi"/>
          <w:b/>
          <w:lang w:val="fr-FR"/>
        </w:rPr>
        <w:t xml:space="preserve"> 7</w:t>
      </w:r>
      <w:r w:rsidR="00144454" w:rsidRPr="00717118">
        <w:rPr>
          <w:rFonts w:cstheme="minorHAnsi"/>
          <w:b/>
          <w:lang w:val="fr-FR"/>
        </w:rPr>
        <w:t xml:space="preserve"> </w:t>
      </w:r>
      <w:r w:rsidRPr="00717118">
        <w:rPr>
          <w:rFonts w:cstheme="minorHAnsi"/>
          <w:b/>
          <w:lang w:val="fr-FR"/>
        </w:rPr>
        <w:t>: Financ</w:t>
      </w:r>
      <w:r w:rsidR="00144454" w:rsidRPr="00717118">
        <w:rPr>
          <w:rFonts w:cstheme="minorHAnsi"/>
          <w:b/>
          <w:lang w:val="fr-FR"/>
        </w:rPr>
        <w:t>ement des IRR</w:t>
      </w:r>
    </w:p>
    <w:p w14:paraId="480B5090" w14:textId="77777777" w:rsidR="007B7631" w:rsidRPr="00717118" w:rsidRDefault="007B7631" w:rsidP="007B7631">
      <w:pPr>
        <w:ind w:left="426" w:hanging="426"/>
        <w:rPr>
          <w:rFonts w:cstheme="minorHAnsi"/>
          <w:b/>
          <w:lang w:val="fr-FR"/>
        </w:rPr>
      </w:pPr>
    </w:p>
    <w:p w14:paraId="751E839E" w14:textId="4B1410B5" w:rsidR="007B7631" w:rsidRPr="00144454" w:rsidRDefault="007B7631" w:rsidP="007B7631">
      <w:pPr>
        <w:ind w:left="426" w:hanging="426"/>
        <w:rPr>
          <w:rFonts w:cstheme="minorHAnsi"/>
          <w:lang w:val="fr-FR"/>
        </w:rPr>
      </w:pPr>
      <w:r w:rsidRPr="00717118">
        <w:rPr>
          <w:rFonts w:cstheme="minorHAnsi"/>
          <w:lang w:val="fr-FR"/>
        </w:rPr>
        <w:t xml:space="preserve">35. </w:t>
      </w:r>
      <w:r w:rsidR="00BB3D89">
        <w:rPr>
          <w:rFonts w:cstheme="minorHAnsi"/>
          <w:lang w:val="fr-FR"/>
        </w:rPr>
        <w:tab/>
      </w:r>
      <w:r w:rsidR="00144454" w:rsidRPr="00153719">
        <w:rPr>
          <w:rFonts w:cstheme="minorHAnsi"/>
          <w:lang w:val="fr-FR"/>
        </w:rPr>
        <w:t>Les IRR ont leurs propres systèmes de comptabilité et de présentation des rapports, supervisés par leurs organes directeurs, ou font partie de l’un ou de plusieurs systèmes de comptabilité et de rapport de Parties contractantes</w:t>
      </w:r>
      <w:r w:rsidRPr="00153719">
        <w:rPr>
          <w:rFonts w:cstheme="minorHAnsi"/>
          <w:lang w:val="fr-FR"/>
        </w:rPr>
        <w:t>.</w:t>
      </w:r>
    </w:p>
    <w:p w14:paraId="2EAC4667" w14:textId="77777777" w:rsidR="007B7631" w:rsidRPr="00144454" w:rsidRDefault="007B7631" w:rsidP="007B7631">
      <w:pPr>
        <w:ind w:left="426" w:hanging="426"/>
        <w:contextualSpacing/>
        <w:rPr>
          <w:rFonts w:cstheme="minorHAnsi"/>
          <w:b/>
          <w:lang w:val="fr-FR"/>
        </w:rPr>
      </w:pPr>
    </w:p>
    <w:p w14:paraId="590F526B" w14:textId="1C93E259" w:rsidR="00144454" w:rsidRPr="00144454" w:rsidRDefault="007B7631" w:rsidP="00144454">
      <w:pPr>
        <w:rPr>
          <w:rFonts w:cstheme="minorHAnsi"/>
          <w:lang w:val="fr-FR"/>
        </w:rPr>
      </w:pPr>
      <w:r w:rsidRPr="00717118">
        <w:rPr>
          <w:rFonts w:cstheme="minorHAnsi"/>
          <w:lang w:val="fr-FR"/>
        </w:rPr>
        <w:t xml:space="preserve">36. </w:t>
      </w:r>
      <w:r w:rsidR="00BB3D89">
        <w:rPr>
          <w:rFonts w:cstheme="minorHAnsi"/>
          <w:lang w:val="fr-FR"/>
        </w:rPr>
        <w:tab/>
      </w:r>
      <w:r w:rsidR="00144454" w:rsidRPr="00153719">
        <w:rPr>
          <w:rFonts w:cstheme="minorHAnsi"/>
          <w:lang w:val="fr-FR"/>
        </w:rPr>
        <w:t>Toutes les Parties contractantes participantes sont encouragées à apporter une aide aux IRR et les donateurs sont encouragés à verser des fonds pour leurs activités, par exemple en finançant des projets ou programmes spécifiques.</w:t>
      </w:r>
    </w:p>
    <w:p w14:paraId="313EE909" w14:textId="77777777" w:rsidR="007B7631" w:rsidRPr="00717118" w:rsidRDefault="007B7631" w:rsidP="007B7631">
      <w:pPr>
        <w:pStyle w:val="ListParagraph"/>
        <w:ind w:left="426"/>
        <w:rPr>
          <w:rFonts w:cstheme="minorHAnsi"/>
          <w:b/>
          <w:bCs/>
          <w:lang w:val="fr-FR"/>
        </w:rPr>
      </w:pPr>
    </w:p>
    <w:p w14:paraId="557ED15D" w14:textId="1C94EE01" w:rsidR="007B7631" w:rsidRPr="00144454" w:rsidRDefault="007B7631" w:rsidP="007B7631">
      <w:pPr>
        <w:ind w:left="426" w:hanging="426"/>
        <w:rPr>
          <w:rFonts w:cstheme="minorHAnsi"/>
          <w:i/>
          <w:iCs/>
          <w:lang w:val="fr-FR"/>
        </w:rPr>
      </w:pPr>
      <w:r w:rsidRPr="00153719">
        <w:rPr>
          <w:rFonts w:eastAsia="Times New Roman" w:cstheme="minorHAnsi"/>
          <w:lang w:val="fr-FR" w:eastAsia="en-GB"/>
        </w:rPr>
        <w:t xml:space="preserve">37. </w:t>
      </w:r>
      <w:r w:rsidR="00BB3D89" w:rsidRPr="00153719">
        <w:rPr>
          <w:rFonts w:eastAsia="Times New Roman" w:cstheme="minorHAnsi"/>
          <w:lang w:val="fr-FR" w:eastAsia="en-GB"/>
        </w:rPr>
        <w:tab/>
      </w:r>
      <w:r w:rsidR="00144454" w:rsidRPr="00153719">
        <w:rPr>
          <w:rFonts w:eastAsia="Times New Roman" w:cstheme="minorHAnsi"/>
          <w:lang w:val="fr-FR" w:eastAsia="en-GB"/>
        </w:rPr>
        <w:t xml:space="preserve">La section financière du rapport annuel comprend des informations sur le nombre de Parties contractantes apportant des ressources financières ou en nature pour le fonctionnement de </w:t>
      </w:r>
      <w:r w:rsidR="00153719" w:rsidRPr="00153719">
        <w:rPr>
          <w:rFonts w:eastAsia="Times New Roman" w:cstheme="minorHAnsi"/>
          <w:lang w:val="fr-FR" w:eastAsia="en-GB"/>
        </w:rPr>
        <w:t>l’IRR</w:t>
      </w:r>
      <w:r w:rsidR="00144454" w:rsidRPr="00153719">
        <w:rPr>
          <w:rFonts w:eastAsia="Times New Roman" w:cstheme="minorHAnsi"/>
          <w:lang w:val="fr-FR" w:eastAsia="en-GB"/>
        </w:rPr>
        <w:t xml:space="preserve"> ; le nombre d’autres partenaires contribuant à </w:t>
      </w:r>
      <w:r w:rsidR="00153719" w:rsidRPr="00153719">
        <w:rPr>
          <w:rFonts w:eastAsia="Times New Roman" w:cstheme="minorHAnsi"/>
          <w:lang w:val="fr-FR" w:eastAsia="en-GB"/>
        </w:rPr>
        <w:t>l’IRR</w:t>
      </w:r>
      <w:r w:rsidR="00144454" w:rsidRPr="00153719">
        <w:rPr>
          <w:rFonts w:eastAsia="Times New Roman" w:cstheme="minorHAnsi"/>
          <w:lang w:val="fr-FR" w:eastAsia="en-GB"/>
        </w:rPr>
        <w:t xml:space="preserve"> ; les dépenses </w:t>
      </w:r>
      <w:r w:rsidR="00366075" w:rsidRPr="00153719">
        <w:rPr>
          <w:rFonts w:eastAsia="Times New Roman" w:cstheme="minorHAnsi"/>
          <w:lang w:val="fr-FR" w:eastAsia="en-GB"/>
        </w:rPr>
        <w:t>pour chaque activité</w:t>
      </w:r>
      <w:r w:rsidR="00144454" w:rsidRPr="00153719">
        <w:rPr>
          <w:rFonts w:eastAsia="Times New Roman" w:cstheme="minorHAnsi"/>
          <w:lang w:val="fr-FR" w:eastAsia="en-GB"/>
        </w:rPr>
        <w:t xml:space="preserve"> et les résultats, ainsi que le montant des contributions financières.</w:t>
      </w:r>
      <w:r w:rsidRPr="00144454">
        <w:rPr>
          <w:rFonts w:eastAsia="Times New Roman" w:cstheme="minorHAnsi"/>
          <w:i/>
          <w:iCs/>
          <w:bdr w:val="none" w:sz="0" w:space="0" w:color="auto" w:frame="1"/>
          <w:lang w:val="fr-FR" w:eastAsia="en-GB"/>
        </w:rPr>
        <w:t xml:space="preserve"> </w:t>
      </w:r>
    </w:p>
    <w:p w14:paraId="7D32C77B" w14:textId="77777777" w:rsidR="007B7631" w:rsidRPr="00144454" w:rsidRDefault="007B7631" w:rsidP="007B7631">
      <w:pPr>
        <w:pStyle w:val="ListParagraph"/>
        <w:ind w:left="426"/>
        <w:rPr>
          <w:rFonts w:cstheme="minorHAnsi"/>
          <w:strike/>
          <w:lang w:val="fr-FR"/>
        </w:rPr>
      </w:pPr>
    </w:p>
    <w:p w14:paraId="201BACB3" w14:textId="15313B6E" w:rsidR="007B7631" w:rsidRPr="00D26669" w:rsidRDefault="007B7631" w:rsidP="00146A8B">
      <w:pPr>
        <w:ind w:left="426" w:hanging="426"/>
        <w:rPr>
          <w:rFonts w:cstheme="minorHAnsi"/>
          <w:lang w:val="fr-FR"/>
        </w:rPr>
      </w:pPr>
      <w:r w:rsidRPr="00D26669">
        <w:rPr>
          <w:rFonts w:cstheme="minorHAnsi"/>
          <w:lang w:val="fr-FR"/>
        </w:rPr>
        <w:t xml:space="preserve">38. </w:t>
      </w:r>
      <w:r w:rsidR="00146A8B" w:rsidRPr="00D26669">
        <w:rPr>
          <w:rFonts w:cstheme="minorHAnsi"/>
          <w:lang w:val="fr-FR"/>
        </w:rPr>
        <w:tab/>
      </w:r>
      <w:r w:rsidR="00717118" w:rsidRPr="00D26669">
        <w:rPr>
          <w:rFonts w:cstheme="minorHAnsi"/>
          <w:lang w:val="fr-FR"/>
        </w:rPr>
        <w:t>Les IRR prennent les mesures nécessaires pour assurer la viabilité de leurs ressources financières, permettant le développement à long terme de leurs activités</w:t>
      </w:r>
      <w:r w:rsidRPr="00D26669">
        <w:rPr>
          <w:rFonts w:cstheme="minorHAnsi"/>
          <w:lang w:val="fr-FR"/>
        </w:rPr>
        <w:t>.</w:t>
      </w:r>
    </w:p>
    <w:p w14:paraId="60BD21F9" w14:textId="77777777" w:rsidR="007B7631" w:rsidRPr="00D26669" w:rsidRDefault="007B7631" w:rsidP="00146A8B">
      <w:pPr>
        <w:pStyle w:val="ListParagraph"/>
        <w:ind w:left="426" w:hanging="426"/>
        <w:rPr>
          <w:rFonts w:eastAsia="Times New Roman" w:cstheme="minorHAnsi"/>
          <w:i/>
          <w:iCs/>
          <w:lang w:val="fr-FR" w:eastAsia="en-GB"/>
        </w:rPr>
      </w:pPr>
    </w:p>
    <w:p w14:paraId="52CD2A38" w14:textId="7F5DD8B1" w:rsidR="007B7631" w:rsidRPr="009575D2" w:rsidRDefault="007B7631" w:rsidP="00146A8B">
      <w:pPr>
        <w:ind w:left="426" w:hanging="426"/>
        <w:rPr>
          <w:rFonts w:eastAsia="Times New Roman" w:cstheme="minorHAnsi"/>
          <w:i/>
          <w:iCs/>
          <w:lang w:val="fr-CH" w:eastAsia="en-GB"/>
        </w:rPr>
      </w:pPr>
      <w:r w:rsidRPr="00D26669">
        <w:rPr>
          <w:rFonts w:eastAsia="Times New Roman" w:cstheme="minorHAnsi"/>
          <w:lang w:val="fr-FR" w:eastAsia="en-GB"/>
        </w:rPr>
        <w:t xml:space="preserve">39. </w:t>
      </w:r>
      <w:r w:rsidR="00146A8B" w:rsidRPr="00D26669">
        <w:rPr>
          <w:rFonts w:eastAsia="Times New Roman" w:cstheme="minorHAnsi"/>
          <w:lang w:val="fr-FR" w:eastAsia="en-GB"/>
        </w:rPr>
        <w:tab/>
      </w:r>
      <w:r w:rsidR="00717118" w:rsidRPr="00D26669">
        <w:rPr>
          <w:rFonts w:eastAsia="Times New Roman" w:cstheme="minorHAnsi"/>
          <w:lang w:val="fr-FR" w:eastAsia="en-GB"/>
        </w:rPr>
        <w:t>Si elles n’ont pas assez de ressources fiables, les IRR sont encouragées à préparer une stratégie de mobilisation des ressources pour faciliter l’application de leurs plans de travail annuels</w:t>
      </w:r>
      <w:r w:rsidRPr="00D26669">
        <w:rPr>
          <w:rFonts w:eastAsia="Times New Roman" w:cstheme="minorHAnsi"/>
          <w:i/>
          <w:iCs/>
          <w:lang w:val="fr-FR" w:eastAsia="en-GB"/>
        </w:rPr>
        <w:t xml:space="preserve">. </w:t>
      </w:r>
      <w:r w:rsidR="009575D2" w:rsidRPr="00D26669">
        <w:rPr>
          <w:rFonts w:eastAsia="Times New Roman" w:cstheme="minorHAnsi"/>
          <w:iCs/>
          <w:lang w:val="fr-CH" w:eastAsia="en-GB"/>
        </w:rPr>
        <w:t>Les IRR peuvent demander un appui au Secrétariat Ramsar pour leurs efforts déployés en vue de trouver des ressources financières externes.</w:t>
      </w:r>
      <w:r w:rsidRPr="009575D2">
        <w:rPr>
          <w:rFonts w:eastAsia="Times New Roman" w:cstheme="minorHAnsi"/>
          <w:i/>
          <w:iCs/>
          <w:lang w:val="fr-CH" w:eastAsia="en-GB"/>
        </w:rPr>
        <w:t xml:space="preserve"> </w:t>
      </w:r>
    </w:p>
    <w:p w14:paraId="23D97B3D" w14:textId="77777777" w:rsidR="007B7631" w:rsidRPr="00CF4177" w:rsidRDefault="007B7631" w:rsidP="00146A8B">
      <w:pPr>
        <w:pStyle w:val="ListParagraph"/>
        <w:ind w:left="426" w:hanging="426"/>
        <w:rPr>
          <w:rFonts w:cstheme="minorHAnsi"/>
          <w:strike/>
          <w:lang w:val="fr-FR"/>
        </w:rPr>
      </w:pPr>
    </w:p>
    <w:p w14:paraId="6959A548" w14:textId="1EFEB166" w:rsidR="007B7631" w:rsidRPr="00D26669" w:rsidRDefault="007B7631" w:rsidP="00146A8B">
      <w:pPr>
        <w:pStyle w:val="ListParagraph"/>
        <w:ind w:left="426" w:hanging="426"/>
        <w:rPr>
          <w:rFonts w:cstheme="minorHAnsi"/>
          <w:lang w:val="fr-FR"/>
        </w:rPr>
      </w:pPr>
      <w:r w:rsidRPr="00D26669">
        <w:rPr>
          <w:rFonts w:cstheme="minorHAnsi"/>
          <w:lang w:val="fr-FR"/>
        </w:rPr>
        <w:t xml:space="preserve">40. </w:t>
      </w:r>
      <w:r w:rsidR="00146A8B" w:rsidRPr="00D26669">
        <w:rPr>
          <w:rFonts w:cstheme="minorHAnsi"/>
          <w:lang w:val="fr-FR"/>
        </w:rPr>
        <w:tab/>
      </w:r>
      <w:r w:rsidRPr="00D26669">
        <w:rPr>
          <w:rFonts w:cstheme="minorHAnsi"/>
          <w:lang w:val="fr-FR"/>
        </w:rPr>
        <w:t>[</w:t>
      </w:r>
      <w:r w:rsidR="00717118" w:rsidRPr="00D26669">
        <w:rPr>
          <w:rFonts w:cstheme="minorHAnsi"/>
          <w:u w:val="single"/>
          <w:lang w:val="fr-FR"/>
        </w:rPr>
        <w:t>Les IRR qui reçoivent des fonds du budget administratif de la Convention, sont priées de soumettre des rapports financiers vérifiés au Comité permanent, dans le cadre du rapport annuel.]</w:t>
      </w:r>
    </w:p>
    <w:p w14:paraId="2F2697FE" w14:textId="77777777" w:rsidR="007B7631" w:rsidRPr="00D26669" w:rsidRDefault="007B7631" w:rsidP="00146A8B">
      <w:pPr>
        <w:pStyle w:val="ListParagraph"/>
        <w:ind w:left="426" w:hanging="426"/>
        <w:rPr>
          <w:rFonts w:cstheme="minorHAnsi"/>
          <w:lang w:val="fr-FR"/>
        </w:rPr>
      </w:pPr>
    </w:p>
    <w:p w14:paraId="76A1C722" w14:textId="3988CC60" w:rsidR="007B7631" w:rsidRPr="00717118" w:rsidRDefault="007B7631" w:rsidP="00146A8B">
      <w:pPr>
        <w:tabs>
          <w:tab w:val="left" w:pos="426"/>
        </w:tabs>
        <w:ind w:left="426" w:hanging="426"/>
        <w:rPr>
          <w:rFonts w:cstheme="minorHAnsi"/>
          <w:lang w:val="fr-FR"/>
        </w:rPr>
      </w:pPr>
      <w:r w:rsidRPr="00D26669">
        <w:rPr>
          <w:rFonts w:cstheme="minorHAnsi"/>
          <w:lang w:val="fr-FR"/>
        </w:rPr>
        <w:t xml:space="preserve">41. </w:t>
      </w:r>
      <w:r w:rsidR="00146A8B" w:rsidRPr="00D26669">
        <w:rPr>
          <w:rFonts w:cstheme="minorHAnsi"/>
          <w:lang w:val="fr-FR"/>
        </w:rPr>
        <w:tab/>
      </w:r>
      <w:r w:rsidR="00717118" w:rsidRPr="00D26669">
        <w:rPr>
          <w:rFonts w:cstheme="minorHAnsi"/>
          <w:lang w:val="fr-FR"/>
        </w:rPr>
        <w:t>Chaque COP établit une ligne budgétaire dans le budget administratif pour soutenir les IRR dans la période triennale suivante. Chaque année, le Comité permanent attribue ces fonds, sur demande spécifique, à des IRR qui satisfont aux Directives opérationnelles</w:t>
      </w:r>
      <w:r w:rsidRPr="00D26669">
        <w:rPr>
          <w:rFonts w:cstheme="minorHAnsi"/>
          <w:lang w:val="fr-FR"/>
        </w:rPr>
        <w:t>.</w:t>
      </w:r>
    </w:p>
    <w:p w14:paraId="376157B7" w14:textId="77777777" w:rsidR="007B7631" w:rsidRPr="00717118" w:rsidRDefault="007B7631" w:rsidP="00146A8B">
      <w:pPr>
        <w:ind w:left="426" w:hanging="426"/>
        <w:rPr>
          <w:rFonts w:cstheme="minorHAnsi"/>
          <w:lang w:val="fr-FR"/>
        </w:rPr>
      </w:pPr>
    </w:p>
    <w:p w14:paraId="2C6EE4C5" w14:textId="690F1B93" w:rsidR="007B7631" w:rsidRPr="009575D2" w:rsidRDefault="007B7631" w:rsidP="00146A8B">
      <w:pPr>
        <w:ind w:left="426" w:hanging="426"/>
        <w:rPr>
          <w:rFonts w:cstheme="minorHAnsi"/>
          <w:lang w:val="fr-CH"/>
        </w:rPr>
      </w:pPr>
      <w:r w:rsidRPr="00CF4177">
        <w:rPr>
          <w:rFonts w:cstheme="minorHAnsi"/>
          <w:lang w:val="fr-FR"/>
        </w:rPr>
        <w:t xml:space="preserve">42. </w:t>
      </w:r>
      <w:r w:rsidR="00146A8B" w:rsidRPr="00CF4177">
        <w:rPr>
          <w:rFonts w:cstheme="minorHAnsi"/>
          <w:lang w:val="fr-FR"/>
        </w:rPr>
        <w:tab/>
      </w:r>
      <w:r w:rsidR="009575D2">
        <w:rPr>
          <w:rFonts w:cstheme="minorHAnsi"/>
          <w:lang w:val="fr-CH"/>
        </w:rPr>
        <w:t xml:space="preserve">Une IRR est censée devenir autosuffisante quelques années après avoir reçu une assistance financière du budget administratif de la </w:t>
      </w:r>
      <w:r w:rsidRPr="009575D2">
        <w:rPr>
          <w:rFonts w:cstheme="minorHAnsi"/>
          <w:lang w:val="fr-CH"/>
        </w:rPr>
        <w:t>Convention.</w:t>
      </w:r>
    </w:p>
    <w:p w14:paraId="354B1283" w14:textId="77777777" w:rsidR="007B7631" w:rsidRPr="009575D2" w:rsidRDefault="007B7631" w:rsidP="00146A8B">
      <w:pPr>
        <w:ind w:left="426" w:hanging="426"/>
        <w:rPr>
          <w:rFonts w:cstheme="minorHAnsi"/>
          <w:lang w:val="fr-CH"/>
        </w:rPr>
      </w:pPr>
    </w:p>
    <w:p w14:paraId="1C12073B" w14:textId="4B604DDB" w:rsidR="007B7631" w:rsidRPr="00717118" w:rsidRDefault="007B7631" w:rsidP="00146A8B">
      <w:pPr>
        <w:ind w:left="426" w:hanging="426"/>
        <w:rPr>
          <w:rFonts w:cstheme="minorHAnsi"/>
          <w:lang w:val="fr-FR"/>
        </w:rPr>
      </w:pPr>
      <w:r w:rsidRPr="00D26669">
        <w:rPr>
          <w:rFonts w:cstheme="minorHAnsi"/>
          <w:lang w:val="fr-FR"/>
        </w:rPr>
        <w:t xml:space="preserve">43. </w:t>
      </w:r>
      <w:r w:rsidR="00146A8B" w:rsidRPr="00D26669">
        <w:rPr>
          <w:rFonts w:cstheme="minorHAnsi"/>
          <w:lang w:val="fr-FR"/>
        </w:rPr>
        <w:tab/>
      </w:r>
      <w:r w:rsidR="00717118" w:rsidRPr="00D26669">
        <w:rPr>
          <w:rFonts w:cstheme="minorHAnsi"/>
          <w:lang w:val="fr-FR"/>
        </w:rPr>
        <w:t>Dans le cadre de leur</w:t>
      </w:r>
      <w:r w:rsidR="00D26669" w:rsidRPr="00D26669">
        <w:rPr>
          <w:rFonts w:cstheme="minorHAnsi"/>
          <w:lang w:val="fr-FR"/>
        </w:rPr>
        <w:t>s</w:t>
      </w:r>
      <w:r w:rsidR="00717118" w:rsidRPr="00D26669">
        <w:rPr>
          <w:rFonts w:cstheme="minorHAnsi"/>
          <w:lang w:val="fr-FR"/>
        </w:rPr>
        <w:t xml:space="preserve"> plan</w:t>
      </w:r>
      <w:r w:rsidR="00D26669" w:rsidRPr="00D26669">
        <w:rPr>
          <w:rFonts w:cstheme="minorHAnsi"/>
          <w:lang w:val="fr-FR"/>
        </w:rPr>
        <w:t>s</w:t>
      </w:r>
      <w:r w:rsidR="00717118" w:rsidRPr="00D26669">
        <w:rPr>
          <w:rFonts w:cstheme="minorHAnsi"/>
          <w:lang w:val="fr-FR"/>
        </w:rPr>
        <w:t xml:space="preserve"> de travail, les IRR aident les Parties contractantes à élaborer des propositions de projets pour l’application du Plan stratégique, afin d’obtenir un appui financier de donateurs</w:t>
      </w:r>
      <w:r w:rsidRPr="00D26669">
        <w:rPr>
          <w:rFonts w:cstheme="minorHAnsi"/>
          <w:lang w:val="fr-FR"/>
        </w:rPr>
        <w:t>.</w:t>
      </w:r>
      <w:r w:rsidRPr="00717118">
        <w:rPr>
          <w:rFonts w:cstheme="minorHAnsi"/>
          <w:lang w:val="fr-FR"/>
        </w:rPr>
        <w:t xml:space="preserve"> </w:t>
      </w:r>
    </w:p>
    <w:p w14:paraId="7AAC1B87" w14:textId="77777777" w:rsidR="007B7631" w:rsidRPr="00717118" w:rsidRDefault="007B7631" w:rsidP="007B7631">
      <w:pPr>
        <w:ind w:left="426" w:hanging="426"/>
        <w:contextualSpacing/>
        <w:rPr>
          <w:rFonts w:cstheme="minorHAnsi"/>
          <w:lang w:val="fr-FR"/>
        </w:rPr>
      </w:pPr>
    </w:p>
    <w:p w14:paraId="37A8F39E" w14:textId="27FDDF83" w:rsidR="007B7631" w:rsidRPr="002963E7" w:rsidRDefault="007B7631" w:rsidP="009575D2">
      <w:pPr>
        <w:keepNext/>
        <w:keepLines/>
        <w:rPr>
          <w:rFonts w:cstheme="minorHAnsi"/>
          <w:b/>
          <w:lang w:val="fr-FR"/>
        </w:rPr>
      </w:pPr>
      <w:r w:rsidRPr="00D26669">
        <w:rPr>
          <w:rFonts w:cstheme="minorHAnsi"/>
          <w:b/>
          <w:lang w:val="fr-FR"/>
        </w:rPr>
        <w:lastRenderedPageBreak/>
        <w:t>Chap</w:t>
      </w:r>
      <w:r w:rsidR="002963E7" w:rsidRPr="00D26669">
        <w:rPr>
          <w:rFonts w:cstheme="minorHAnsi"/>
          <w:b/>
          <w:lang w:val="fr-FR"/>
        </w:rPr>
        <w:t>itre</w:t>
      </w:r>
      <w:r w:rsidRPr="00D26669">
        <w:rPr>
          <w:rFonts w:cstheme="minorHAnsi"/>
          <w:b/>
          <w:lang w:val="fr-FR"/>
        </w:rPr>
        <w:t xml:space="preserve"> 8</w:t>
      </w:r>
      <w:r w:rsidR="002963E7" w:rsidRPr="00D26669">
        <w:rPr>
          <w:rFonts w:cstheme="minorHAnsi"/>
          <w:b/>
          <w:lang w:val="fr-FR"/>
        </w:rPr>
        <w:t xml:space="preserve"> </w:t>
      </w:r>
      <w:r w:rsidRPr="00D26669">
        <w:rPr>
          <w:rFonts w:cstheme="minorHAnsi"/>
          <w:b/>
          <w:lang w:val="fr-FR"/>
        </w:rPr>
        <w:t xml:space="preserve">: </w:t>
      </w:r>
      <w:r w:rsidR="002963E7" w:rsidRPr="00D26669">
        <w:rPr>
          <w:rFonts w:cstheme="minorHAnsi"/>
          <w:b/>
          <w:lang w:val="fr-FR"/>
        </w:rPr>
        <w:t>Rapport et évaluation des IRR</w:t>
      </w:r>
    </w:p>
    <w:p w14:paraId="6796CBB0" w14:textId="77777777" w:rsidR="007B7631" w:rsidRPr="002963E7" w:rsidRDefault="007B7631" w:rsidP="009575D2">
      <w:pPr>
        <w:keepNext/>
        <w:keepLines/>
        <w:contextualSpacing/>
        <w:rPr>
          <w:rFonts w:cstheme="minorHAnsi"/>
          <w:lang w:val="fr-FR"/>
        </w:rPr>
      </w:pPr>
    </w:p>
    <w:p w14:paraId="1F11103B" w14:textId="49417A46" w:rsidR="007B7631" w:rsidRPr="009575D2" w:rsidRDefault="007B7631" w:rsidP="009575D2">
      <w:pPr>
        <w:keepNext/>
        <w:keepLines/>
        <w:rPr>
          <w:rFonts w:cstheme="minorHAnsi"/>
          <w:lang w:val="fr-CH"/>
        </w:rPr>
      </w:pPr>
      <w:r w:rsidRPr="00551945">
        <w:rPr>
          <w:rFonts w:cstheme="minorHAnsi"/>
          <w:lang w:val="fr-FR"/>
        </w:rPr>
        <w:t xml:space="preserve">44. </w:t>
      </w:r>
      <w:r w:rsidR="00146A8B" w:rsidRPr="00551945">
        <w:rPr>
          <w:rFonts w:cstheme="minorHAnsi"/>
          <w:lang w:val="fr-FR"/>
        </w:rPr>
        <w:tab/>
      </w:r>
      <w:r w:rsidR="00823BF9" w:rsidRPr="00551945">
        <w:rPr>
          <w:rFonts w:cstheme="minorHAnsi"/>
          <w:lang w:val="fr-FR"/>
        </w:rPr>
        <w:t>Les IRR sont priées de présenter au Secrétariat Ramsar des rapports annuels sur les progrès de leurs travaux et leur état financier dans l’année écoulée, accompagnés de plans de travail et plans financiers pour l’année suivante, en respectant la présentation adoptée par le Comité permanent</w:t>
      </w:r>
      <w:r w:rsidRPr="00551945">
        <w:rPr>
          <w:rFonts w:cstheme="minorHAnsi"/>
          <w:lang w:val="fr-FR"/>
        </w:rPr>
        <w:t xml:space="preserve">. </w:t>
      </w:r>
      <w:r w:rsidR="006F3CBC" w:rsidRPr="00551945">
        <w:rPr>
          <w:rFonts w:cstheme="minorHAnsi"/>
          <w:lang w:val="fr-FR"/>
        </w:rPr>
        <w:t>Les IRR qui reçoivent un appui financier de la Convention, sont priées de soumettre la mise en œuvre du plan de travail et les frais encourus dans l’année écoulée</w:t>
      </w:r>
      <w:r w:rsidRPr="00551945">
        <w:rPr>
          <w:rFonts w:cstheme="minorHAnsi"/>
          <w:lang w:val="fr-FR"/>
        </w:rPr>
        <w:t xml:space="preserve">, </w:t>
      </w:r>
      <w:r w:rsidR="006F3CBC" w:rsidRPr="00551945">
        <w:rPr>
          <w:rFonts w:cstheme="minorHAnsi"/>
          <w:lang w:val="fr-FR"/>
        </w:rPr>
        <w:t>avec les estimations de coûts, les éventuelles sources de financement et les plans de travail pour l’année suivante, dans la présentation adoptée par le Comité permanent</w:t>
      </w:r>
      <w:r w:rsidRPr="00551945">
        <w:rPr>
          <w:rFonts w:cstheme="minorHAnsi"/>
          <w:lang w:val="fr-FR"/>
        </w:rPr>
        <w:t>.</w:t>
      </w:r>
      <w:r w:rsidRPr="006F3CBC">
        <w:rPr>
          <w:rFonts w:cstheme="minorHAnsi"/>
          <w:lang w:val="fr-FR"/>
        </w:rPr>
        <w:t xml:space="preserve"> </w:t>
      </w:r>
      <w:r w:rsidR="009575D2">
        <w:rPr>
          <w:rFonts w:cstheme="minorHAnsi"/>
          <w:lang w:val="fr-CH"/>
        </w:rPr>
        <w:t xml:space="preserve">Un résumé des sources de financement, notamment de la Convention, est fourni. Les rapports annuels doivent parvenir au Secrétariat à temps pour la préparation des documents pour la réunion annuelle du Comité permanent. </w:t>
      </w:r>
      <w:r w:rsidRPr="009575D2">
        <w:rPr>
          <w:rFonts w:cstheme="minorHAnsi"/>
          <w:lang w:val="fr-CH"/>
        </w:rPr>
        <w:t xml:space="preserve">  </w:t>
      </w:r>
    </w:p>
    <w:p w14:paraId="6CA8737C" w14:textId="77777777" w:rsidR="007B7631" w:rsidRPr="009575D2" w:rsidRDefault="007B7631" w:rsidP="00146A8B">
      <w:pPr>
        <w:pStyle w:val="ListParagraph"/>
        <w:ind w:left="426" w:hanging="426"/>
        <w:rPr>
          <w:rFonts w:cstheme="minorHAnsi"/>
          <w:color w:val="000000" w:themeColor="text1"/>
          <w:lang w:val="fr-CH"/>
        </w:rPr>
      </w:pPr>
    </w:p>
    <w:p w14:paraId="156343E7" w14:textId="084D1C75" w:rsidR="007B7631" w:rsidRPr="009575D2" w:rsidRDefault="007B7631" w:rsidP="00146A8B">
      <w:pPr>
        <w:ind w:left="426" w:hanging="426"/>
        <w:rPr>
          <w:rFonts w:cstheme="minorHAnsi"/>
          <w:color w:val="000000" w:themeColor="text1"/>
          <w:lang w:val="fr-CH"/>
        </w:rPr>
      </w:pPr>
      <w:r w:rsidRPr="009575D2">
        <w:rPr>
          <w:rFonts w:cstheme="minorHAnsi"/>
          <w:color w:val="000000" w:themeColor="text1"/>
          <w:lang w:val="fr-CH"/>
        </w:rPr>
        <w:t xml:space="preserve">45. </w:t>
      </w:r>
      <w:r w:rsidR="00146A8B" w:rsidRPr="009575D2">
        <w:rPr>
          <w:rFonts w:cstheme="minorHAnsi"/>
          <w:color w:val="000000" w:themeColor="text1"/>
          <w:lang w:val="fr-CH"/>
        </w:rPr>
        <w:tab/>
      </w:r>
      <w:r w:rsidR="009575D2">
        <w:rPr>
          <w:rFonts w:cstheme="minorHAnsi"/>
          <w:color w:val="000000" w:themeColor="text1"/>
          <w:lang w:val="fr-CH"/>
        </w:rPr>
        <w:t xml:space="preserve">Le projet de rapport annuel et de programme de travail pour l’année à venir doit être approuvé par toutes les Autorités administratives des Parties contractantes membres de l’IRR pour consultation, en vue d’être communiqué au Secrétariat. </w:t>
      </w:r>
    </w:p>
    <w:p w14:paraId="1C309F1B" w14:textId="77777777" w:rsidR="007B7631" w:rsidRPr="009575D2" w:rsidRDefault="007B7631" w:rsidP="00146A8B">
      <w:pPr>
        <w:pStyle w:val="ListParagraph"/>
        <w:ind w:left="426" w:hanging="426"/>
        <w:rPr>
          <w:rFonts w:cstheme="minorHAnsi"/>
          <w:i/>
          <w:iCs/>
          <w:strike/>
          <w:color w:val="000000" w:themeColor="text1"/>
          <w:lang w:val="fr-CH"/>
        </w:rPr>
      </w:pPr>
    </w:p>
    <w:p w14:paraId="10548C67" w14:textId="6FC73A06" w:rsidR="007B7631" w:rsidRPr="00CF4177" w:rsidRDefault="007B7631" w:rsidP="00146A8B">
      <w:pPr>
        <w:ind w:left="426" w:hanging="426"/>
        <w:rPr>
          <w:rFonts w:cstheme="minorHAnsi"/>
          <w:b/>
          <w:bCs/>
          <w:lang w:val="fr-FR"/>
        </w:rPr>
      </w:pPr>
      <w:r w:rsidRPr="009575D2">
        <w:rPr>
          <w:rFonts w:cstheme="minorHAnsi"/>
          <w:lang w:val="fr-CH"/>
        </w:rPr>
        <w:t>4</w:t>
      </w:r>
      <w:r w:rsidR="006F3CBC" w:rsidRPr="009575D2">
        <w:rPr>
          <w:rFonts w:cstheme="minorHAnsi"/>
          <w:lang w:val="fr-CH"/>
        </w:rPr>
        <w:t>6</w:t>
      </w:r>
      <w:r w:rsidRPr="009575D2">
        <w:rPr>
          <w:rFonts w:cstheme="minorHAnsi"/>
          <w:lang w:val="fr-CH"/>
        </w:rPr>
        <w:t xml:space="preserve">. </w:t>
      </w:r>
      <w:r w:rsidR="00146A8B" w:rsidRPr="009575D2">
        <w:rPr>
          <w:rFonts w:cstheme="minorHAnsi"/>
          <w:lang w:val="fr-CH"/>
        </w:rPr>
        <w:tab/>
      </w:r>
      <w:r w:rsidR="009575D2">
        <w:rPr>
          <w:rFonts w:cstheme="minorHAnsi"/>
          <w:lang w:val="fr-CH"/>
        </w:rPr>
        <w:t>La présentation pour le rapport an</w:t>
      </w:r>
      <w:r w:rsidR="00B86089">
        <w:rPr>
          <w:rFonts w:cstheme="minorHAnsi"/>
          <w:lang w:val="fr-CH"/>
        </w:rPr>
        <w:t>nuel est jointe en A</w:t>
      </w:r>
      <w:r w:rsidR="009575D2">
        <w:rPr>
          <w:rFonts w:cstheme="minorHAnsi"/>
          <w:lang w:val="fr-CH"/>
        </w:rPr>
        <w:t xml:space="preserve">nnexe 3 (cette annexe sera jointe lorsque le Comité permanent aura approuvé le modèle de rapport dans le document du Comité permanent </w:t>
      </w:r>
      <w:r w:rsidRPr="009575D2">
        <w:rPr>
          <w:rFonts w:cstheme="minorHAnsi"/>
          <w:lang w:val="fr-CH"/>
        </w:rPr>
        <w:t>SC58-22.2</w:t>
      </w:r>
      <w:r w:rsidR="009575D2">
        <w:rPr>
          <w:rFonts w:cstheme="minorHAnsi"/>
          <w:lang w:val="fr-CH"/>
        </w:rPr>
        <w:t xml:space="preserve">. </w:t>
      </w:r>
      <w:r w:rsidR="00F5039D">
        <w:rPr>
          <w:lang w:val="fr-CH"/>
        </w:rPr>
        <w:t>Voir</w:t>
      </w:r>
      <w:r w:rsidRPr="00CF4177">
        <w:rPr>
          <w:lang w:val="fr-FR"/>
        </w:rPr>
        <w:t xml:space="preserve"> </w:t>
      </w:r>
      <w:hyperlink r:id="rId14" w:history="1">
        <w:r w:rsidR="002340EA">
          <w:rPr>
            <w:rStyle w:val="Hyperlink"/>
            <w:lang w:val="fr-FR"/>
          </w:rPr>
          <w:t>https://www.ramsar.org/sites/default/files/documents/library/sc58-22.2_secretariat_repo</w:t>
        </w:r>
        <w:r w:rsidR="002340EA">
          <w:rPr>
            <w:rStyle w:val="Hyperlink"/>
            <w:lang w:val="fr-FR"/>
          </w:rPr>
          <w:t>r</w:t>
        </w:r>
        <w:r w:rsidR="002340EA">
          <w:rPr>
            <w:rStyle w:val="Hyperlink"/>
            <w:lang w:val="fr-FR"/>
          </w:rPr>
          <w:t>t_rris_f.pdf</w:t>
        </w:r>
      </w:hyperlink>
      <w:r w:rsidRPr="00CF4177">
        <w:rPr>
          <w:rStyle w:val="Hyperlink"/>
          <w:lang w:val="fr-FR"/>
        </w:rPr>
        <w:t>)</w:t>
      </w:r>
      <w:r w:rsidRPr="00CF4177">
        <w:rPr>
          <w:rFonts w:cstheme="minorHAnsi"/>
          <w:lang w:val="fr-FR"/>
        </w:rPr>
        <w:t xml:space="preserve">  </w:t>
      </w:r>
    </w:p>
    <w:p w14:paraId="169B0ABC" w14:textId="77777777" w:rsidR="007B7631" w:rsidRPr="00CF4177" w:rsidRDefault="007B7631" w:rsidP="007B7631">
      <w:pPr>
        <w:spacing w:after="160" w:line="259" w:lineRule="auto"/>
        <w:ind w:left="426" w:hanging="426"/>
        <w:rPr>
          <w:rFonts w:cstheme="minorHAnsi"/>
          <w:b/>
          <w:bCs/>
          <w:lang w:val="fr-FR"/>
        </w:rPr>
      </w:pPr>
      <w:r w:rsidRPr="00CF4177">
        <w:rPr>
          <w:rFonts w:cstheme="minorHAnsi"/>
          <w:b/>
          <w:bCs/>
          <w:lang w:val="fr-FR"/>
        </w:rPr>
        <w:br w:type="page"/>
      </w:r>
    </w:p>
    <w:p w14:paraId="54F7946E" w14:textId="2F87F461" w:rsidR="007B7631" w:rsidRPr="009878C9" w:rsidRDefault="00146A8B" w:rsidP="007B7631">
      <w:pPr>
        <w:pStyle w:val="ListParagraph"/>
        <w:ind w:left="426"/>
        <w:jc w:val="center"/>
        <w:rPr>
          <w:b/>
          <w:lang w:val="fr-FR"/>
        </w:rPr>
      </w:pPr>
      <w:r w:rsidRPr="009878C9">
        <w:rPr>
          <w:b/>
          <w:lang w:val="fr-FR"/>
        </w:rPr>
        <w:lastRenderedPageBreak/>
        <w:t>Append</w:t>
      </w:r>
      <w:r w:rsidR="003A223D" w:rsidRPr="009878C9">
        <w:rPr>
          <w:b/>
          <w:lang w:val="fr-FR"/>
        </w:rPr>
        <w:t>ice</w:t>
      </w:r>
      <w:r w:rsidR="007B7631" w:rsidRPr="009878C9">
        <w:rPr>
          <w:b/>
          <w:lang w:val="fr-FR"/>
        </w:rPr>
        <w:t xml:space="preserve"> 1</w:t>
      </w:r>
      <w:r w:rsidRPr="009878C9">
        <w:rPr>
          <w:b/>
          <w:lang w:val="fr-FR"/>
        </w:rPr>
        <w:t xml:space="preserve"> </w:t>
      </w:r>
      <w:r w:rsidR="003A223D" w:rsidRPr="009878C9">
        <w:rPr>
          <w:b/>
          <w:lang w:val="fr-FR"/>
        </w:rPr>
        <w:t xml:space="preserve">des </w:t>
      </w:r>
      <w:r w:rsidR="003A223D" w:rsidRPr="009878C9">
        <w:rPr>
          <w:b/>
          <w:i/>
          <w:iCs/>
          <w:lang w:val="fr-FR"/>
        </w:rPr>
        <w:t>Directives opérationnelles</w:t>
      </w:r>
    </w:p>
    <w:p w14:paraId="39061A66" w14:textId="4B113F4C" w:rsidR="007B7631" w:rsidRPr="009878C9" w:rsidRDefault="003A223D" w:rsidP="007B7631">
      <w:pPr>
        <w:pStyle w:val="ListParagraph"/>
        <w:ind w:left="426"/>
        <w:jc w:val="center"/>
        <w:rPr>
          <w:b/>
          <w:bCs/>
          <w:lang w:val="fr-FR"/>
        </w:rPr>
      </w:pPr>
      <w:r w:rsidRPr="009878C9">
        <w:rPr>
          <w:rFonts w:cs="Calibri"/>
          <w:b/>
          <w:bCs/>
          <w:color w:val="000000" w:themeColor="text1"/>
          <w:lang w:val="fr-FR"/>
        </w:rPr>
        <w:t>Modèle pour les nouvelles Initiatives régionales Ramsar</w:t>
      </w:r>
    </w:p>
    <w:p w14:paraId="4FD176F5" w14:textId="5D2CC5BC" w:rsidR="007B7631" w:rsidRPr="009878C9" w:rsidRDefault="007B7631" w:rsidP="007B7631">
      <w:pPr>
        <w:pStyle w:val="ListParagraph"/>
        <w:ind w:left="567" w:hanging="567"/>
        <w:rPr>
          <w:rFonts w:cstheme="minorHAnsi"/>
          <w:color w:val="000000" w:themeColor="text1"/>
          <w:lang w:val="fr-FR"/>
        </w:rPr>
      </w:pPr>
    </w:p>
    <w:p w14:paraId="4221381E" w14:textId="75C5335C" w:rsidR="00F87D80" w:rsidRPr="002340EA" w:rsidRDefault="00F87D80" w:rsidP="002340EA">
      <w:pPr>
        <w:ind w:left="426" w:hanging="491"/>
        <w:rPr>
          <w:rFonts w:cstheme="minorHAnsi"/>
          <w:color w:val="000000" w:themeColor="text1"/>
          <w:lang w:val="fr-CH"/>
        </w:rPr>
      </w:pPr>
      <w:r w:rsidRPr="002340EA">
        <w:rPr>
          <w:rFonts w:cstheme="minorHAnsi"/>
          <w:color w:val="000000" w:themeColor="text1"/>
          <w:lang w:val="fr-CH"/>
        </w:rPr>
        <w:t>1.</w:t>
      </w:r>
      <w:r w:rsidRPr="002340EA">
        <w:rPr>
          <w:rFonts w:cstheme="minorHAnsi"/>
          <w:color w:val="000000" w:themeColor="text1"/>
          <w:lang w:val="fr-CH"/>
        </w:rPr>
        <w:tab/>
        <w:t>Nom de l’IRR</w:t>
      </w:r>
    </w:p>
    <w:p w14:paraId="0F72B011" w14:textId="2988DE27" w:rsidR="00F87D80" w:rsidRPr="002340EA" w:rsidRDefault="00F87D80" w:rsidP="002340EA">
      <w:pPr>
        <w:ind w:left="426" w:hanging="491"/>
        <w:rPr>
          <w:rFonts w:cstheme="minorHAnsi"/>
          <w:color w:val="000000" w:themeColor="text1"/>
          <w:lang w:val="fr-CH"/>
        </w:rPr>
      </w:pPr>
      <w:r w:rsidRPr="002340EA">
        <w:rPr>
          <w:rFonts w:cstheme="minorHAnsi"/>
          <w:color w:val="000000" w:themeColor="text1"/>
          <w:lang w:val="fr-CH"/>
        </w:rPr>
        <w:t>2.</w:t>
      </w:r>
      <w:r w:rsidRPr="002340EA">
        <w:rPr>
          <w:rFonts w:cstheme="minorHAnsi"/>
          <w:color w:val="000000" w:themeColor="text1"/>
          <w:lang w:val="fr-CH"/>
        </w:rPr>
        <w:tab/>
        <w:t>Les Parties contractantes membres de l’initiative fournissent une lettre d’engagement avant chaque session de la COP, indiquant leur contribution financière à l’Initiative et en nommant le fonctionnaire qui sera le correspondant à cet effet, pour la période triennale suivante</w:t>
      </w:r>
    </w:p>
    <w:p w14:paraId="3DD9357F" w14:textId="475EF6A9" w:rsidR="00F87D80" w:rsidRPr="002340EA" w:rsidRDefault="00F87D80" w:rsidP="002340EA">
      <w:pPr>
        <w:ind w:left="426" w:hanging="491"/>
        <w:rPr>
          <w:rFonts w:cstheme="minorHAnsi"/>
          <w:color w:val="000000" w:themeColor="text1"/>
          <w:lang w:val="fr-CH"/>
        </w:rPr>
      </w:pPr>
      <w:r w:rsidRPr="002340EA">
        <w:rPr>
          <w:rFonts w:cstheme="minorHAnsi"/>
          <w:color w:val="000000" w:themeColor="text1"/>
          <w:lang w:val="fr-CH"/>
        </w:rPr>
        <w:t>3.</w:t>
      </w:r>
      <w:r w:rsidRPr="002340EA">
        <w:rPr>
          <w:rFonts w:cstheme="minorHAnsi"/>
          <w:color w:val="000000" w:themeColor="text1"/>
          <w:lang w:val="fr-CH"/>
        </w:rPr>
        <w:tab/>
        <w:t>Description des mécanismes de coordination prévus et de l’hôte potentiel.</w:t>
      </w:r>
    </w:p>
    <w:p w14:paraId="05E4D625" w14:textId="696B9262" w:rsidR="00F87D80" w:rsidRPr="002340EA" w:rsidRDefault="00F87D80" w:rsidP="002340EA">
      <w:pPr>
        <w:ind w:left="426" w:hanging="491"/>
        <w:rPr>
          <w:rFonts w:cstheme="minorHAnsi"/>
          <w:color w:val="000000" w:themeColor="text1"/>
          <w:lang w:val="fr-CH"/>
        </w:rPr>
      </w:pPr>
      <w:r w:rsidRPr="002340EA">
        <w:rPr>
          <w:rFonts w:cstheme="minorHAnsi"/>
          <w:color w:val="000000" w:themeColor="text1"/>
          <w:lang w:val="fr-CH"/>
        </w:rPr>
        <w:t>4.</w:t>
      </w:r>
      <w:r w:rsidRPr="002340EA">
        <w:rPr>
          <w:rFonts w:cstheme="minorHAnsi"/>
          <w:color w:val="000000" w:themeColor="text1"/>
          <w:lang w:val="fr-CH"/>
        </w:rPr>
        <w:tab/>
        <w:t>Type d’IRR : centre régional ou réseau régional, ou une combinaison des deux -dans ce cas, avec une brève description</w:t>
      </w:r>
    </w:p>
    <w:p w14:paraId="50E62140" w14:textId="5EDB98FC" w:rsidR="00F87D80" w:rsidRPr="002340EA" w:rsidRDefault="00F87D80" w:rsidP="002340EA">
      <w:pPr>
        <w:ind w:left="426" w:hanging="491"/>
        <w:rPr>
          <w:rFonts w:cstheme="minorHAnsi"/>
          <w:color w:val="000000" w:themeColor="text1"/>
          <w:lang w:val="fr-CH"/>
        </w:rPr>
      </w:pPr>
      <w:r w:rsidRPr="002340EA">
        <w:rPr>
          <w:rFonts w:cstheme="minorHAnsi"/>
          <w:color w:val="000000" w:themeColor="text1"/>
          <w:lang w:val="fr-CH"/>
        </w:rPr>
        <w:t>5.</w:t>
      </w:r>
      <w:r w:rsidRPr="002340EA">
        <w:rPr>
          <w:rFonts w:cstheme="minorHAnsi"/>
          <w:color w:val="000000" w:themeColor="text1"/>
          <w:lang w:val="fr-CH"/>
        </w:rPr>
        <w:tab/>
        <w:t>Objectifs de l’IRR</w:t>
      </w:r>
    </w:p>
    <w:p w14:paraId="27968578" w14:textId="557B7AC2" w:rsidR="00F87D80" w:rsidRPr="002340EA" w:rsidRDefault="00F87D80" w:rsidP="002340EA">
      <w:pPr>
        <w:ind w:left="426" w:hanging="491"/>
        <w:rPr>
          <w:rFonts w:cstheme="minorHAnsi"/>
          <w:color w:val="000000" w:themeColor="text1"/>
          <w:lang w:val="fr-CH"/>
        </w:rPr>
      </w:pPr>
      <w:r w:rsidRPr="002340EA">
        <w:rPr>
          <w:rFonts w:cstheme="minorHAnsi"/>
          <w:color w:val="000000" w:themeColor="text1"/>
          <w:lang w:val="fr-CH"/>
        </w:rPr>
        <w:t>6.</w:t>
      </w:r>
      <w:r w:rsidRPr="002340EA">
        <w:rPr>
          <w:rFonts w:cstheme="minorHAnsi"/>
          <w:color w:val="000000" w:themeColor="text1"/>
          <w:lang w:val="fr-CH"/>
        </w:rPr>
        <w:tab/>
        <w:t xml:space="preserve">Description du principal objectif que doit atteindre l’IRR en précisant la zone, la région ou l’écosystème visés </w:t>
      </w:r>
    </w:p>
    <w:p w14:paraId="548B11AD" w14:textId="2007E4C7" w:rsidR="00F87D80" w:rsidRPr="002340EA" w:rsidRDefault="00F87D80" w:rsidP="002340EA">
      <w:pPr>
        <w:ind w:left="426" w:hanging="491"/>
        <w:rPr>
          <w:rFonts w:cstheme="minorHAnsi"/>
          <w:color w:val="000000" w:themeColor="text1"/>
          <w:lang w:val="fr-CH"/>
        </w:rPr>
      </w:pPr>
      <w:r w:rsidRPr="002340EA">
        <w:rPr>
          <w:rFonts w:cstheme="minorHAnsi"/>
          <w:color w:val="000000" w:themeColor="text1"/>
          <w:lang w:val="fr-CH"/>
        </w:rPr>
        <w:t>7.</w:t>
      </w:r>
      <w:r w:rsidRPr="002340EA">
        <w:rPr>
          <w:rFonts w:cstheme="minorHAnsi"/>
          <w:color w:val="000000" w:themeColor="text1"/>
          <w:lang w:val="fr-CH"/>
        </w:rPr>
        <w:tab/>
        <w:t>Identification claire des buts et objectifs du Plan stratégique de la Convention qui seront soutenus par l’IRR</w:t>
      </w:r>
    </w:p>
    <w:p w14:paraId="763205D1" w14:textId="725F3B38" w:rsidR="00F87D80" w:rsidRPr="002340EA" w:rsidRDefault="00F87D80" w:rsidP="002340EA">
      <w:pPr>
        <w:ind w:left="426" w:hanging="491"/>
        <w:rPr>
          <w:rFonts w:cstheme="minorHAnsi"/>
          <w:color w:val="000000" w:themeColor="text1"/>
          <w:lang w:val="fr-CH"/>
        </w:rPr>
      </w:pPr>
      <w:r w:rsidRPr="002340EA">
        <w:rPr>
          <w:rFonts w:cstheme="minorHAnsi"/>
          <w:color w:val="000000" w:themeColor="text1"/>
          <w:lang w:val="fr-CH"/>
        </w:rPr>
        <w:t>8.</w:t>
      </w:r>
      <w:r w:rsidRPr="002340EA">
        <w:rPr>
          <w:rFonts w:cstheme="minorHAnsi"/>
          <w:color w:val="000000" w:themeColor="text1"/>
          <w:lang w:val="fr-CH"/>
        </w:rPr>
        <w:tab/>
        <w:t xml:space="preserve">Noms des OIP pertinentes et autres ONG qui souhaitent participer à l’initiative </w:t>
      </w:r>
    </w:p>
    <w:p w14:paraId="7816194F" w14:textId="42D4A232" w:rsidR="00F87D80" w:rsidRPr="002340EA" w:rsidRDefault="00F87D80" w:rsidP="002340EA">
      <w:pPr>
        <w:ind w:left="426" w:hanging="491"/>
        <w:rPr>
          <w:rFonts w:cstheme="minorHAnsi"/>
          <w:color w:val="000000" w:themeColor="text1"/>
          <w:lang w:val="fr-CH"/>
        </w:rPr>
      </w:pPr>
      <w:r w:rsidRPr="002340EA">
        <w:rPr>
          <w:rFonts w:cstheme="minorHAnsi"/>
          <w:color w:val="000000" w:themeColor="text1"/>
          <w:lang w:val="fr-CH"/>
        </w:rPr>
        <w:t>9.</w:t>
      </w:r>
      <w:r w:rsidRPr="002340EA">
        <w:rPr>
          <w:rFonts w:cstheme="minorHAnsi"/>
          <w:color w:val="000000" w:themeColor="text1"/>
          <w:lang w:val="fr-CH"/>
        </w:rPr>
        <w:tab/>
        <w:t>Noms d’autres partenaires pertinents potentiels et description de la manière dont ils ont participé à la préparation du plan de travail, et du rôle qu’ils devraient remplir si l’IRR est approuvée.</w:t>
      </w:r>
    </w:p>
    <w:p w14:paraId="02D5EB9B" w14:textId="4C5B065F" w:rsidR="00F87D80" w:rsidRPr="002340EA" w:rsidRDefault="00F87D80" w:rsidP="002340EA">
      <w:pPr>
        <w:ind w:left="426" w:hanging="491"/>
        <w:rPr>
          <w:rFonts w:cstheme="minorHAnsi"/>
          <w:color w:val="000000" w:themeColor="text1"/>
          <w:lang w:val="fr-CH"/>
        </w:rPr>
      </w:pPr>
      <w:r w:rsidRPr="002340EA">
        <w:rPr>
          <w:rFonts w:cstheme="minorHAnsi"/>
          <w:color w:val="000000" w:themeColor="text1"/>
          <w:lang w:val="fr-CH"/>
        </w:rPr>
        <w:t>10.</w:t>
      </w:r>
      <w:r w:rsidRPr="002340EA">
        <w:rPr>
          <w:rFonts w:cstheme="minorHAnsi"/>
          <w:color w:val="000000" w:themeColor="text1"/>
          <w:lang w:val="fr-CH"/>
        </w:rPr>
        <w:tab/>
        <w:t>Sources potentielles de financement pour l’IRR</w:t>
      </w:r>
    </w:p>
    <w:p w14:paraId="63BC4F2E" w14:textId="369D51E1" w:rsidR="00F87D80" w:rsidRPr="002340EA" w:rsidRDefault="00F87D80" w:rsidP="002340EA">
      <w:pPr>
        <w:ind w:left="426" w:hanging="491"/>
        <w:rPr>
          <w:rFonts w:cstheme="minorHAnsi"/>
          <w:color w:val="000000" w:themeColor="text1"/>
          <w:lang w:val="fr-CH"/>
        </w:rPr>
      </w:pPr>
      <w:r w:rsidRPr="002340EA">
        <w:rPr>
          <w:rFonts w:cstheme="minorHAnsi"/>
          <w:color w:val="000000" w:themeColor="text1"/>
          <w:lang w:val="fr-CH"/>
        </w:rPr>
        <w:t>11.</w:t>
      </w:r>
      <w:r w:rsidRPr="002340EA">
        <w:rPr>
          <w:rFonts w:cstheme="minorHAnsi"/>
          <w:color w:val="000000" w:themeColor="text1"/>
          <w:lang w:val="fr-CH"/>
        </w:rPr>
        <w:tab/>
        <w:t>Plan de travail et budget pour les trois prochaines années (CHF/an) – sous forme d’annexe.</w:t>
      </w:r>
    </w:p>
    <w:p w14:paraId="19AAA24E" w14:textId="230303AF" w:rsidR="00F87D80" w:rsidRPr="002340EA" w:rsidRDefault="00F87D80" w:rsidP="002340EA">
      <w:pPr>
        <w:pStyle w:val="ListParagraph"/>
        <w:ind w:left="426" w:hanging="491"/>
        <w:rPr>
          <w:rFonts w:cstheme="minorHAnsi"/>
          <w:color w:val="000000" w:themeColor="text1"/>
          <w:lang w:val="fr-FR"/>
        </w:rPr>
      </w:pPr>
      <w:r w:rsidRPr="002340EA">
        <w:rPr>
          <w:rFonts w:cstheme="minorHAnsi"/>
          <w:color w:val="000000" w:themeColor="text1"/>
          <w:lang w:val="fr-CH"/>
        </w:rPr>
        <w:t>12.</w:t>
      </w:r>
      <w:r w:rsidRPr="002340EA">
        <w:rPr>
          <w:rFonts w:cstheme="minorHAnsi"/>
          <w:color w:val="000000" w:themeColor="text1"/>
          <w:lang w:val="fr-CH"/>
        </w:rPr>
        <w:tab/>
        <w:t xml:space="preserve">Confirmation de votre intention </w:t>
      </w:r>
      <w:r w:rsidRPr="002340EA">
        <w:rPr>
          <w:color w:val="000000" w:themeColor="text1"/>
          <w:lang w:val="fr-CH"/>
        </w:rPr>
        <w:t>d’ouvrir ou non un compte en banque indépendant pour l’initiative.</w:t>
      </w:r>
    </w:p>
    <w:p w14:paraId="1C324C3C" w14:textId="038E51C7" w:rsidR="007B7631" w:rsidRDefault="007B7631" w:rsidP="007B7631">
      <w:pPr>
        <w:pStyle w:val="ListParagraph"/>
        <w:ind w:left="426"/>
        <w:rPr>
          <w:lang w:val="fr-FR"/>
        </w:rPr>
      </w:pPr>
    </w:p>
    <w:p w14:paraId="09EDB88C" w14:textId="7FCD7FF6" w:rsidR="00325EED" w:rsidRDefault="00325EED" w:rsidP="007B7631">
      <w:pPr>
        <w:pStyle w:val="ListParagraph"/>
        <w:ind w:left="426"/>
        <w:rPr>
          <w:lang w:val="fr-FR"/>
        </w:rPr>
      </w:pPr>
    </w:p>
    <w:p w14:paraId="09B30DE9" w14:textId="35295BC4" w:rsidR="00325EED" w:rsidRDefault="00325EED" w:rsidP="007B7631">
      <w:pPr>
        <w:pStyle w:val="ListParagraph"/>
        <w:ind w:left="426"/>
        <w:rPr>
          <w:lang w:val="fr-FR"/>
        </w:rPr>
      </w:pPr>
    </w:p>
    <w:p w14:paraId="5AD8CC49" w14:textId="77777777" w:rsidR="00325EED" w:rsidRPr="002340EA" w:rsidRDefault="00325EED" w:rsidP="00325EED">
      <w:pPr>
        <w:ind w:firstLine="0"/>
        <w:jc w:val="center"/>
        <w:rPr>
          <w:b/>
          <w:bCs/>
          <w:i/>
          <w:iCs/>
          <w:lang w:val="fr-FR"/>
        </w:rPr>
      </w:pPr>
      <w:r w:rsidRPr="002340EA">
        <w:rPr>
          <w:b/>
          <w:bCs/>
          <w:lang w:val="fr-FR"/>
        </w:rPr>
        <w:t xml:space="preserve">Appendice 2 des </w:t>
      </w:r>
      <w:r w:rsidRPr="002340EA">
        <w:rPr>
          <w:b/>
          <w:bCs/>
          <w:i/>
          <w:iCs/>
          <w:lang w:val="fr-FR"/>
        </w:rPr>
        <w:t>Directives opérationnelles</w:t>
      </w:r>
    </w:p>
    <w:p w14:paraId="3055E604" w14:textId="6571F5BF" w:rsidR="00325EED" w:rsidRPr="002340EA" w:rsidRDefault="00325EED" w:rsidP="00325EED">
      <w:pPr>
        <w:jc w:val="center"/>
        <w:rPr>
          <w:b/>
          <w:bCs/>
          <w:lang w:val="fr-FR"/>
        </w:rPr>
      </w:pPr>
      <w:r w:rsidRPr="002340EA">
        <w:rPr>
          <w:b/>
          <w:bCs/>
          <w:lang w:val="fr-FR"/>
        </w:rPr>
        <w:t>Obligations spéciales pour les IRR ayant un secrétariat indépendant</w:t>
      </w:r>
    </w:p>
    <w:p w14:paraId="35570AA8" w14:textId="77777777" w:rsidR="00325EED" w:rsidRPr="00325EED" w:rsidRDefault="00325EED" w:rsidP="00325EED">
      <w:pPr>
        <w:rPr>
          <w:b/>
          <w:bCs/>
          <w:sz w:val="24"/>
          <w:szCs w:val="24"/>
          <w:lang w:val="fr-FR"/>
        </w:rPr>
      </w:pPr>
    </w:p>
    <w:p w14:paraId="5847C715" w14:textId="73C5B14B" w:rsidR="00325EED" w:rsidRPr="002340EA" w:rsidRDefault="00325EED" w:rsidP="002340EA">
      <w:pPr>
        <w:ind w:left="426" w:hanging="491"/>
        <w:rPr>
          <w:rFonts w:cstheme="minorHAnsi"/>
          <w:color w:val="000000" w:themeColor="text1"/>
          <w:lang w:val="fr-CH"/>
        </w:rPr>
      </w:pPr>
      <w:r w:rsidRPr="002340EA">
        <w:rPr>
          <w:rFonts w:cstheme="minorHAnsi"/>
          <w:color w:val="000000" w:themeColor="text1"/>
          <w:lang w:val="fr-CH"/>
        </w:rPr>
        <w:t>1.</w:t>
      </w:r>
      <w:r w:rsidRPr="002340EA">
        <w:rPr>
          <w:rFonts w:cstheme="minorHAnsi"/>
          <w:color w:val="000000" w:themeColor="text1"/>
          <w:lang w:val="fr-CH"/>
        </w:rPr>
        <w:tab/>
        <w:t>Chaque IRR est encouragée à évaluer, tous les trois ans, le respect des statuts/du cahier des charges existants, informer les Autorités administratives des Parties contractantes membres de l’IRR et mettre à jour le cahier des charges/ les statuts en fonction des résultats des évaluations.</w:t>
      </w:r>
    </w:p>
    <w:p w14:paraId="13626C21" w14:textId="77777777" w:rsidR="00325EED" w:rsidRPr="002340EA" w:rsidRDefault="00325EED" w:rsidP="002340EA">
      <w:pPr>
        <w:ind w:left="426" w:hanging="491"/>
        <w:rPr>
          <w:rFonts w:cstheme="minorHAnsi"/>
          <w:color w:val="000000" w:themeColor="text1"/>
          <w:lang w:val="fr-CH"/>
        </w:rPr>
      </w:pPr>
    </w:p>
    <w:p w14:paraId="0528027C" w14:textId="77777777" w:rsidR="00325EED" w:rsidRPr="002340EA" w:rsidRDefault="00325EED" w:rsidP="002340EA">
      <w:pPr>
        <w:ind w:left="426" w:hanging="491"/>
        <w:rPr>
          <w:rFonts w:cstheme="minorHAnsi"/>
          <w:color w:val="000000" w:themeColor="text1"/>
          <w:lang w:val="fr-CH"/>
        </w:rPr>
      </w:pPr>
      <w:r w:rsidRPr="002340EA">
        <w:rPr>
          <w:rFonts w:cstheme="minorHAnsi"/>
          <w:color w:val="000000" w:themeColor="text1"/>
          <w:lang w:val="fr-CH"/>
        </w:rPr>
        <w:t>2.</w:t>
      </w:r>
      <w:r w:rsidRPr="002340EA">
        <w:rPr>
          <w:rFonts w:cstheme="minorHAnsi"/>
          <w:color w:val="000000" w:themeColor="text1"/>
          <w:lang w:val="fr-CH"/>
        </w:rPr>
        <w:tab/>
        <w:t>Le Secrétariat Ramsar devrait participer pleinement aux réunions annuelles des organes de coordination des IRR.</w:t>
      </w:r>
    </w:p>
    <w:p w14:paraId="2CF50D28" w14:textId="77777777" w:rsidR="00325EED" w:rsidRPr="002340EA" w:rsidRDefault="00325EED" w:rsidP="002340EA">
      <w:pPr>
        <w:ind w:left="426" w:hanging="491"/>
        <w:rPr>
          <w:rFonts w:cstheme="minorHAnsi"/>
          <w:color w:val="000000" w:themeColor="text1"/>
          <w:lang w:val="fr-CH"/>
        </w:rPr>
      </w:pPr>
    </w:p>
    <w:p w14:paraId="64ECAF68" w14:textId="10F38193" w:rsidR="00325EED" w:rsidRPr="002340EA" w:rsidRDefault="00325EED" w:rsidP="002340EA">
      <w:pPr>
        <w:ind w:left="426" w:hanging="491"/>
        <w:rPr>
          <w:rFonts w:cstheme="minorHAnsi"/>
          <w:color w:val="000000" w:themeColor="text1"/>
          <w:lang w:val="fr-CH"/>
        </w:rPr>
      </w:pPr>
      <w:r w:rsidRPr="002340EA">
        <w:rPr>
          <w:rFonts w:cstheme="minorHAnsi"/>
          <w:color w:val="000000" w:themeColor="text1"/>
          <w:lang w:val="fr-CH"/>
        </w:rPr>
        <w:t>3.</w:t>
      </w:r>
      <w:r w:rsidRPr="002340EA">
        <w:rPr>
          <w:rFonts w:cstheme="minorHAnsi"/>
          <w:color w:val="000000" w:themeColor="text1"/>
          <w:lang w:val="fr-CH"/>
        </w:rPr>
        <w:tab/>
        <w:t>L’organe de coordination de chaque IRR devrait consacrer au moins une séance de travail par an avec le personnel pertinent du Secrétariat. Ces séances ont pour but de tenir les membres de l’IRR informés concernant le suivi de l’ordre du jour, des activités et du budget, en vue the convenir du rapport annuel à soumettre au Secrétariat de la Convention.</w:t>
      </w:r>
    </w:p>
    <w:p w14:paraId="3D5F4CDE" w14:textId="77777777" w:rsidR="00325EED" w:rsidRPr="002340EA" w:rsidRDefault="00325EED" w:rsidP="002340EA">
      <w:pPr>
        <w:ind w:left="426" w:hanging="491"/>
        <w:rPr>
          <w:rFonts w:cstheme="minorHAnsi"/>
          <w:color w:val="000000" w:themeColor="text1"/>
          <w:lang w:val="fr-CH"/>
        </w:rPr>
      </w:pPr>
    </w:p>
    <w:p w14:paraId="0F7294E8" w14:textId="301F5CC9" w:rsidR="00325EED" w:rsidRPr="002340EA" w:rsidRDefault="00325EED" w:rsidP="002340EA">
      <w:pPr>
        <w:ind w:left="426" w:hanging="491"/>
        <w:rPr>
          <w:rFonts w:cstheme="minorHAnsi"/>
          <w:color w:val="000000" w:themeColor="text1"/>
          <w:lang w:val="fr-CH"/>
        </w:rPr>
      </w:pPr>
      <w:r w:rsidRPr="002340EA">
        <w:rPr>
          <w:rFonts w:cstheme="minorHAnsi"/>
          <w:color w:val="000000" w:themeColor="text1"/>
          <w:lang w:val="fr-CH"/>
        </w:rPr>
        <w:t>4.</w:t>
      </w:r>
      <w:r w:rsidRPr="002340EA">
        <w:rPr>
          <w:rFonts w:cstheme="minorHAnsi"/>
          <w:color w:val="000000" w:themeColor="text1"/>
          <w:lang w:val="fr-CH"/>
        </w:rPr>
        <w:tab/>
        <w:t>Des rapports financiers vérifiés, pour toutes les contributions en espèces reçues, sont communiqués au Secrétariat chaque année.</w:t>
      </w:r>
    </w:p>
    <w:p w14:paraId="5076B2A0" w14:textId="77777777" w:rsidR="007B7631" w:rsidRPr="00325EED" w:rsidRDefault="007B7631" w:rsidP="007B7631">
      <w:pPr>
        <w:rPr>
          <w:lang w:val="fr-FR"/>
        </w:rPr>
      </w:pPr>
    </w:p>
    <w:p w14:paraId="74AF8D8C" w14:textId="77777777" w:rsidR="007B7631" w:rsidRPr="00325EED" w:rsidRDefault="007B7631" w:rsidP="007B7631">
      <w:pPr>
        <w:rPr>
          <w:lang w:val="fr-FR"/>
        </w:rPr>
        <w:sectPr w:rsidR="007B7631" w:rsidRPr="00325EED" w:rsidSect="00B36CB0">
          <w:footerReference w:type="default" r:id="rId15"/>
          <w:pgSz w:w="11906" w:h="16838"/>
          <w:pgMar w:top="1440" w:right="1440" w:bottom="1440" w:left="1440" w:header="708" w:footer="708" w:gutter="0"/>
          <w:cols w:space="708"/>
          <w:titlePg/>
          <w:docGrid w:linePitch="360"/>
        </w:sectPr>
      </w:pPr>
    </w:p>
    <w:p w14:paraId="0391A31F" w14:textId="7B2E1AAF" w:rsidR="00146A8B" w:rsidRPr="009E46C2" w:rsidRDefault="00146A8B" w:rsidP="00146A8B">
      <w:pPr>
        <w:rPr>
          <w:b/>
          <w:i/>
          <w:lang w:val="fr-FR"/>
        </w:rPr>
      </w:pPr>
      <w:r w:rsidRPr="009E46C2">
        <w:rPr>
          <w:b/>
          <w:i/>
          <w:lang w:val="fr-FR"/>
        </w:rPr>
        <w:lastRenderedPageBreak/>
        <w:t>Annex</w:t>
      </w:r>
      <w:r w:rsidR="009E46C2" w:rsidRPr="009E46C2">
        <w:rPr>
          <w:b/>
          <w:i/>
          <w:lang w:val="fr-FR"/>
        </w:rPr>
        <w:t>e</w:t>
      </w:r>
      <w:r w:rsidRPr="009E46C2">
        <w:rPr>
          <w:b/>
          <w:i/>
          <w:lang w:val="fr-FR"/>
        </w:rPr>
        <w:t xml:space="preserve"> II </w:t>
      </w:r>
      <w:r w:rsidR="009E46C2" w:rsidRPr="009E46C2">
        <w:rPr>
          <w:b/>
          <w:i/>
          <w:lang w:val="fr-FR"/>
        </w:rPr>
        <w:t>du projet de ré</w:t>
      </w:r>
      <w:r w:rsidRPr="009E46C2">
        <w:rPr>
          <w:b/>
          <w:i/>
          <w:lang w:val="fr-FR"/>
        </w:rPr>
        <w:t>solution</w:t>
      </w:r>
    </w:p>
    <w:p w14:paraId="32D661F8" w14:textId="232BEE60" w:rsidR="007B7631" w:rsidRPr="009E46C2" w:rsidRDefault="009E46C2" w:rsidP="00146A8B">
      <w:pPr>
        <w:rPr>
          <w:b/>
          <w:lang w:val="fr-FR"/>
        </w:rPr>
      </w:pPr>
      <w:r w:rsidRPr="009E46C2">
        <w:rPr>
          <w:b/>
          <w:lang w:val="fr-FR"/>
        </w:rPr>
        <w:t xml:space="preserve">Autres </w:t>
      </w:r>
      <w:r w:rsidR="00C02F25">
        <w:rPr>
          <w:b/>
          <w:lang w:val="fr-FR"/>
        </w:rPr>
        <w:t>R</w:t>
      </w:r>
      <w:r w:rsidRPr="009E46C2">
        <w:rPr>
          <w:b/>
          <w:lang w:val="fr-FR"/>
        </w:rPr>
        <w:t>é</w:t>
      </w:r>
      <w:r w:rsidR="007B7631" w:rsidRPr="009E46C2">
        <w:rPr>
          <w:b/>
          <w:lang w:val="fr-FR"/>
        </w:rPr>
        <w:t xml:space="preserve">solutions </w:t>
      </w:r>
      <w:r w:rsidRPr="009E46C2">
        <w:rPr>
          <w:b/>
          <w:lang w:val="fr-FR"/>
        </w:rPr>
        <w:t xml:space="preserve">et </w:t>
      </w:r>
      <w:r w:rsidR="00C02F25">
        <w:rPr>
          <w:b/>
          <w:lang w:val="fr-FR"/>
        </w:rPr>
        <w:t>R</w:t>
      </w:r>
      <w:r w:rsidRPr="009E46C2">
        <w:rPr>
          <w:b/>
          <w:lang w:val="fr-FR"/>
        </w:rPr>
        <w:t>ecomman</w:t>
      </w:r>
      <w:r w:rsidR="007B7631" w:rsidRPr="009E46C2">
        <w:rPr>
          <w:b/>
          <w:lang w:val="fr-FR"/>
        </w:rPr>
        <w:t xml:space="preserve">dations </w:t>
      </w:r>
      <w:r w:rsidRPr="009E46C2">
        <w:rPr>
          <w:b/>
          <w:lang w:val="fr-FR"/>
        </w:rPr>
        <w:t>contenant des</w:t>
      </w:r>
      <w:r w:rsidR="007B7631" w:rsidRPr="009E46C2">
        <w:rPr>
          <w:b/>
          <w:lang w:val="fr-FR"/>
        </w:rPr>
        <w:t xml:space="preserve"> paragraph</w:t>
      </w:r>
      <w:r w:rsidRPr="009E46C2">
        <w:rPr>
          <w:b/>
          <w:lang w:val="fr-FR"/>
        </w:rPr>
        <w:t>e</w:t>
      </w:r>
      <w:r w:rsidR="007B7631" w:rsidRPr="009E46C2">
        <w:rPr>
          <w:b/>
          <w:lang w:val="fr-FR"/>
        </w:rPr>
        <w:t xml:space="preserve">s </w:t>
      </w:r>
      <w:r w:rsidR="00C02F25">
        <w:rPr>
          <w:b/>
          <w:lang w:val="fr-FR"/>
        </w:rPr>
        <w:t>relatifs aux</w:t>
      </w:r>
      <w:r>
        <w:rPr>
          <w:b/>
          <w:lang w:val="fr-FR"/>
        </w:rPr>
        <w:t xml:space="preserve"> IRR et qui sont encore en vigueur et pertinents pour les IRR</w:t>
      </w:r>
      <w:r w:rsidR="007B7631" w:rsidRPr="009E46C2">
        <w:rPr>
          <w:b/>
          <w:lang w:val="fr-FR"/>
        </w:rPr>
        <w:t xml:space="preserve"> </w:t>
      </w:r>
    </w:p>
    <w:p w14:paraId="657929A1" w14:textId="77777777" w:rsidR="007B7631" w:rsidRPr="009E46C2" w:rsidRDefault="007B7631" w:rsidP="007B7631">
      <w:pPr>
        <w:ind w:left="360"/>
        <w:outlineLvl w:val="0"/>
        <w:rPr>
          <w:lang w:val="fr-FR"/>
        </w:rPr>
      </w:pPr>
    </w:p>
    <w:tbl>
      <w:tblPr>
        <w:tblStyle w:val="TableGrid"/>
        <w:tblW w:w="13881" w:type="dxa"/>
        <w:tblLook w:val="04A0" w:firstRow="1" w:lastRow="0" w:firstColumn="1" w:lastColumn="0" w:noHBand="0" w:noVBand="1"/>
      </w:tblPr>
      <w:tblGrid>
        <w:gridCol w:w="3681"/>
        <w:gridCol w:w="7371"/>
        <w:gridCol w:w="2829"/>
      </w:tblGrid>
      <w:tr w:rsidR="007B7631" w:rsidRPr="00EF0E18" w14:paraId="317296CE" w14:textId="77777777" w:rsidTr="00E92A24">
        <w:trPr>
          <w:tblHeader/>
        </w:trPr>
        <w:tc>
          <w:tcPr>
            <w:tcW w:w="3681" w:type="dxa"/>
          </w:tcPr>
          <w:p w14:paraId="743EEAB7" w14:textId="7FB1CF99" w:rsidR="007B7631" w:rsidRPr="009E46C2" w:rsidRDefault="007B7631" w:rsidP="00146A8B">
            <w:pPr>
              <w:jc w:val="center"/>
              <w:rPr>
                <w:b/>
                <w:lang w:val="fr-FR"/>
              </w:rPr>
            </w:pPr>
          </w:p>
        </w:tc>
        <w:tc>
          <w:tcPr>
            <w:tcW w:w="7371" w:type="dxa"/>
          </w:tcPr>
          <w:p w14:paraId="2CBF5788" w14:textId="66D3BE0D" w:rsidR="007B7631" w:rsidRPr="00880E6E" w:rsidRDefault="009E46C2" w:rsidP="00146A8B">
            <w:pPr>
              <w:jc w:val="center"/>
              <w:rPr>
                <w:b/>
                <w:lang w:val="en-US"/>
              </w:rPr>
            </w:pPr>
            <w:r>
              <w:rPr>
                <w:b/>
                <w:lang w:val="en-US"/>
              </w:rPr>
              <w:t>Contenu pertinent</w:t>
            </w:r>
          </w:p>
        </w:tc>
        <w:tc>
          <w:tcPr>
            <w:tcW w:w="2829" w:type="dxa"/>
          </w:tcPr>
          <w:p w14:paraId="438DC95C" w14:textId="77777777" w:rsidR="007B7631" w:rsidRPr="00880E6E" w:rsidRDefault="007B7631" w:rsidP="00146A8B">
            <w:pPr>
              <w:jc w:val="center"/>
              <w:rPr>
                <w:b/>
                <w:lang w:val="en-US"/>
              </w:rPr>
            </w:pPr>
            <w:r w:rsidRPr="00880E6E">
              <w:rPr>
                <w:b/>
                <w:lang w:val="en-US"/>
              </w:rPr>
              <w:t>Notes</w:t>
            </w:r>
          </w:p>
        </w:tc>
      </w:tr>
      <w:tr w:rsidR="00E92A24" w:rsidRPr="00EF0E18" w14:paraId="629CDF20" w14:textId="77777777" w:rsidTr="00E92A24">
        <w:tc>
          <w:tcPr>
            <w:tcW w:w="3681" w:type="dxa"/>
          </w:tcPr>
          <w:p w14:paraId="767C625B" w14:textId="7ED8228A" w:rsidR="00E92A24" w:rsidRPr="001436E3" w:rsidRDefault="00E92A24" w:rsidP="00E92A24">
            <w:pPr>
              <w:rPr>
                <w:b/>
                <w:lang w:val="en-US"/>
              </w:rPr>
            </w:pPr>
            <w:r w:rsidRPr="001436E3">
              <w:rPr>
                <w:b/>
                <w:lang w:val="en-US"/>
              </w:rPr>
              <w:t>COP1</w:t>
            </w:r>
            <w:r>
              <w:rPr>
                <w:b/>
                <w:lang w:val="en-US"/>
              </w:rPr>
              <w:t>3</w:t>
            </w:r>
          </w:p>
        </w:tc>
        <w:tc>
          <w:tcPr>
            <w:tcW w:w="7371" w:type="dxa"/>
          </w:tcPr>
          <w:p w14:paraId="1CD633D3" w14:textId="77777777" w:rsidR="00E92A24" w:rsidRPr="00880E6E" w:rsidRDefault="00E92A24" w:rsidP="00E92A24">
            <w:pPr>
              <w:jc w:val="center"/>
              <w:rPr>
                <w:b/>
                <w:lang w:val="en-US"/>
              </w:rPr>
            </w:pPr>
          </w:p>
        </w:tc>
        <w:tc>
          <w:tcPr>
            <w:tcW w:w="2829" w:type="dxa"/>
          </w:tcPr>
          <w:p w14:paraId="608ED561" w14:textId="77777777" w:rsidR="00E92A24" w:rsidRPr="00880E6E" w:rsidRDefault="00E92A24" w:rsidP="00E92A24">
            <w:pPr>
              <w:jc w:val="center"/>
              <w:rPr>
                <w:b/>
                <w:lang w:val="en-US"/>
              </w:rPr>
            </w:pPr>
          </w:p>
        </w:tc>
      </w:tr>
      <w:tr w:rsidR="00E92A24" w:rsidRPr="002340EA" w14:paraId="71A802CC" w14:textId="77777777" w:rsidTr="007B7631">
        <w:tc>
          <w:tcPr>
            <w:tcW w:w="3681" w:type="dxa"/>
          </w:tcPr>
          <w:p w14:paraId="14102226" w14:textId="2D031085" w:rsidR="00E92A24" w:rsidRPr="009E46C2" w:rsidRDefault="00E92A24" w:rsidP="00E92A24">
            <w:pPr>
              <w:rPr>
                <w:lang w:val="fr-FR"/>
              </w:rPr>
            </w:pPr>
            <w:r w:rsidRPr="009E46C2">
              <w:rPr>
                <w:lang w:val="fr-FR"/>
              </w:rPr>
              <w:t xml:space="preserve">XIII.2: </w:t>
            </w:r>
            <w:r w:rsidR="009E46C2" w:rsidRPr="009E46C2">
              <w:rPr>
                <w:lang w:val="fr-FR"/>
              </w:rPr>
              <w:t>Questions financières et budgétaires</w:t>
            </w:r>
          </w:p>
        </w:tc>
        <w:tc>
          <w:tcPr>
            <w:tcW w:w="7371" w:type="dxa"/>
          </w:tcPr>
          <w:p w14:paraId="49FABFF4" w14:textId="26B15D0C" w:rsidR="00E92A24" w:rsidRPr="001B72ED" w:rsidRDefault="00E92A24" w:rsidP="00E92A24">
            <w:pPr>
              <w:pStyle w:val="NormalWeb"/>
              <w:rPr>
                <w:rFonts w:ascii="Calibri" w:hAnsi="Calibri"/>
                <w:sz w:val="22"/>
                <w:szCs w:val="22"/>
              </w:rPr>
            </w:pPr>
            <w:r w:rsidRPr="001B72ED">
              <w:rPr>
                <w:rFonts w:ascii="Calibri" w:hAnsi="Calibri"/>
                <w:sz w:val="22"/>
                <w:szCs w:val="22"/>
              </w:rPr>
              <w:t xml:space="preserve">4 </w:t>
            </w:r>
            <w:r w:rsidR="001B72ED" w:rsidRPr="001B72ED">
              <w:rPr>
                <w:rFonts w:ascii="Calibri" w:hAnsi="Calibri"/>
                <w:sz w:val="22"/>
                <w:szCs w:val="22"/>
              </w:rPr>
              <w:t xml:space="preserve">NOTANT AVEC GRATITUDE les contributions financières supplémentaires versées volontairement par nombre de Parties contractantes, notamment celles de Parties contractantes d’Afrique spécifiquement affectées aux Initiatives régionales africaines (conformément au paragraphe 23 de la Résolution X.2, </w:t>
            </w:r>
            <w:r w:rsidR="001B72ED" w:rsidRPr="001B72ED">
              <w:rPr>
                <w:rFonts w:ascii="Calibri" w:hAnsi="Calibri"/>
                <w:i/>
                <w:iCs/>
                <w:sz w:val="22"/>
                <w:szCs w:val="22"/>
              </w:rPr>
              <w:t>Questions financières et budgétaires</w:t>
            </w:r>
            <w:r w:rsidR="001B72ED" w:rsidRPr="001B72ED">
              <w:rPr>
                <w:rFonts w:ascii="Calibri" w:hAnsi="Calibri"/>
                <w:sz w:val="22"/>
                <w:szCs w:val="22"/>
              </w:rPr>
              <w:t>), ainsi que les contributions d’organisations non gouvernementales et du secteur privé</w:t>
            </w:r>
            <w:r w:rsidR="001B72ED">
              <w:rPr>
                <w:rFonts w:ascii="Calibri" w:hAnsi="Calibri"/>
                <w:sz w:val="22"/>
                <w:szCs w:val="22"/>
              </w:rPr>
              <w:t xml:space="preserve"> </w:t>
            </w:r>
            <w:r w:rsidR="001B72ED" w:rsidRPr="001B72ED">
              <w:rPr>
                <w:rFonts w:ascii="Calibri" w:hAnsi="Calibri"/>
                <w:sz w:val="22"/>
                <w:szCs w:val="22"/>
              </w:rPr>
              <w:t>destinées aux activités du Secrétariat</w:t>
            </w:r>
            <w:r w:rsidR="001B72ED">
              <w:rPr>
                <w:rFonts w:ascii="Calibri" w:hAnsi="Calibri"/>
                <w:sz w:val="22"/>
                <w:szCs w:val="22"/>
              </w:rPr>
              <w:t xml:space="preserve"> </w:t>
            </w:r>
            <w:r w:rsidRPr="001B72ED">
              <w:rPr>
                <w:rFonts w:ascii="Calibri" w:hAnsi="Calibri"/>
                <w:sz w:val="22"/>
                <w:szCs w:val="22"/>
              </w:rPr>
              <w:t xml:space="preserve">; </w:t>
            </w:r>
          </w:p>
          <w:p w14:paraId="33A2DDAA" w14:textId="430E4E34" w:rsidR="00E92A24" w:rsidRPr="001D18A0" w:rsidRDefault="00E92A24" w:rsidP="00E92A24">
            <w:pPr>
              <w:pStyle w:val="NormalWeb"/>
              <w:rPr>
                <w:rFonts w:ascii="Calibri" w:hAnsi="Calibri"/>
                <w:sz w:val="22"/>
                <w:szCs w:val="22"/>
              </w:rPr>
            </w:pPr>
            <w:r w:rsidRPr="001D18A0">
              <w:rPr>
                <w:rFonts w:ascii="Calibri" w:hAnsi="Calibri"/>
                <w:sz w:val="22"/>
                <w:szCs w:val="22"/>
              </w:rPr>
              <w:t xml:space="preserve">24 </w:t>
            </w:r>
            <w:r w:rsidR="001D18A0" w:rsidRPr="001D18A0">
              <w:rPr>
                <w:rFonts w:ascii="Calibri" w:hAnsi="Calibri"/>
                <w:sz w:val="22"/>
                <w:szCs w:val="22"/>
              </w:rPr>
              <w:t>CHARGE le Secrétariat de fournir aux Initiatives régionales Ramsar (IRR) en Afrique, sur une base annuelle, le solde disponible du fonds africain de contributions volontaires</w:t>
            </w:r>
            <w:r w:rsidR="001D18A0">
              <w:rPr>
                <w:rFonts w:ascii="Calibri" w:hAnsi="Calibri"/>
                <w:sz w:val="22"/>
                <w:szCs w:val="22"/>
              </w:rPr>
              <w:t xml:space="preserve"> </w:t>
            </w:r>
            <w:r w:rsidR="001D18A0" w:rsidRPr="001D18A0">
              <w:rPr>
                <w:rFonts w:ascii="Calibri" w:hAnsi="Calibri"/>
                <w:sz w:val="22"/>
                <w:szCs w:val="22"/>
              </w:rPr>
              <w:t xml:space="preserve">; et INVITE ces IRR à soumettre au Secrétariat, dans leurs rapports, des demandes d'accès aux fonds disponibles, conformément aux dispositions de la Résolution XIII.9, </w:t>
            </w:r>
            <w:r w:rsidR="001D18A0" w:rsidRPr="001D18A0">
              <w:rPr>
                <w:rFonts w:ascii="Calibri" w:hAnsi="Calibri"/>
                <w:i/>
                <w:iCs/>
                <w:sz w:val="22"/>
                <w:szCs w:val="22"/>
              </w:rPr>
              <w:t>Les Initiatives régionales Ramsar 2019-2021</w:t>
            </w:r>
            <w:r w:rsidR="001D18A0">
              <w:rPr>
                <w:rFonts w:ascii="Calibri" w:hAnsi="Calibri"/>
                <w:i/>
                <w:iCs/>
                <w:sz w:val="22"/>
                <w:szCs w:val="22"/>
              </w:rPr>
              <w:t>.</w:t>
            </w:r>
            <w:r w:rsidRPr="001D18A0">
              <w:rPr>
                <w:rFonts w:ascii="Calibri" w:hAnsi="Calibri"/>
                <w:sz w:val="22"/>
                <w:szCs w:val="22"/>
              </w:rPr>
              <w:t xml:space="preserve"> </w:t>
            </w:r>
          </w:p>
          <w:p w14:paraId="0A1E9D6D" w14:textId="621B2E98" w:rsidR="00E92A24" w:rsidRPr="001D18A0" w:rsidRDefault="00E92A24" w:rsidP="00E92A24">
            <w:pPr>
              <w:pStyle w:val="NormalWeb"/>
              <w:rPr>
                <w:rFonts w:ascii="Calibri" w:hAnsi="Calibri"/>
                <w:color w:val="232323"/>
                <w:sz w:val="22"/>
                <w:szCs w:val="22"/>
              </w:rPr>
            </w:pPr>
            <w:r w:rsidRPr="001D18A0">
              <w:rPr>
                <w:rFonts w:ascii="Calibri" w:hAnsi="Calibri"/>
                <w:color w:val="232323"/>
                <w:sz w:val="22"/>
                <w:szCs w:val="22"/>
              </w:rPr>
              <w:t xml:space="preserve">26 </w:t>
            </w:r>
            <w:r w:rsidR="001D18A0" w:rsidRPr="001D18A0">
              <w:rPr>
                <w:rFonts w:ascii="Calibri" w:hAnsi="Calibri"/>
                <w:color w:val="232323"/>
                <w:sz w:val="22"/>
                <w:szCs w:val="22"/>
              </w:rPr>
              <w:t>CHARGE le Secrétariat, dans le cadre juridique et dans les limites de son mandat actuels d’aider, comme il convient, les Parties contractantes à administrer les projets financés par des fonds non administratifs, y compris, sans toutefois s’y limiter, les appels de fonds pour les Initiatives régionales Ramsar; et DONNE INSTRUCTION au personnel du Secrétariat décrit dans l’Annexe 4, rémunéré par des fonds administratifs, de ne pas prendre part à l’administration quotidienne des projets financés par des fonds non administratifs car ce rôle incombe au personnel du Secrétariat rémunéré à ces fins par des fonds non administratifs</w:t>
            </w:r>
            <w:r w:rsidRPr="001D18A0">
              <w:rPr>
                <w:rFonts w:ascii="Calibri" w:hAnsi="Calibri"/>
                <w:color w:val="232323"/>
                <w:sz w:val="22"/>
                <w:szCs w:val="22"/>
              </w:rPr>
              <w:t xml:space="preserve">. </w:t>
            </w:r>
          </w:p>
        </w:tc>
        <w:tc>
          <w:tcPr>
            <w:tcW w:w="2829" w:type="dxa"/>
          </w:tcPr>
          <w:p w14:paraId="538A09D5" w14:textId="77777777" w:rsidR="00E92A24" w:rsidRPr="001D18A0" w:rsidRDefault="00E92A24" w:rsidP="00E92A24">
            <w:pPr>
              <w:rPr>
                <w:b/>
                <w:lang w:val="fr-FR"/>
              </w:rPr>
            </w:pPr>
          </w:p>
        </w:tc>
      </w:tr>
      <w:tr w:rsidR="00E92A24" w:rsidRPr="002340EA" w14:paraId="07B44EC8" w14:textId="77777777" w:rsidTr="007B7631">
        <w:tc>
          <w:tcPr>
            <w:tcW w:w="3681" w:type="dxa"/>
          </w:tcPr>
          <w:p w14:paraId="558044D1" w14:textId="76B05C03" w:rsidR="00E92A24" w:rsidRPr="001D18A0" w:rsidRDefault="00E92A24" w:rsidP="00E92A24">
            <w:pPr>
              <w:rPr>
                <w:lang w:val="fr-FR"/>
              </w:rPr>
            </w:pPr>
            <w:r w:rsidRPr="001D18A0">
              <w:rPr>
                <w:lang w:val="fr-FR"/>
              </w:rPr>
              <w:t xml:space="preserve">XIII.5 </w:t>
            </w:r>
            <w:r w:rsidR="001D18A0" w:rsidRPr="001D18A0">
              <w:rPr>
                <w:lang w:val="fr-FR"/>
              </w:rPr>
              <w:t>Révision du quatrième Plan stratégique de la Convention de Ramsar</w:t>
            </w:r>
          </w:p>
        </w:tc>
        <w:tc>
          <w:tcPr>
            <w:tcW w:w="7371" w:type="dxa"/>
          </w:tcPr>
          <w:p w14:paraId="34DCF7BE" w14:textId="4156AF00" w:rsidR="00E92A24" w:rsidRPr="001D18A0" w:rsidRDefault="00E92A24" w:rsidP="00E92A24">
            <w:pPr>
              <w:pStyle w:val="NormalWeb"/>
              <w:rPr>
                <w:rFonts w:ascii="Calibri" w:hAnsi="Calibri"/>
                <w:sz w:val="22"/>
                <w:szCs w:val="22"/>
              </w:rPr>
            </w:pPr>
            <w:r w:rsidRPr="001D18A0">
              <w:rPr>
                <w:rFonts w:ascii="Calibri" w:hAnsi="Calibri"/>
                <w:sz w:val="22"/>
                <w:szCs w:val="22"/>
              </w:rPr>
              <w:t xml:space="preserve">11 </w:t>
            </w:r>
            <w:r w:rsidR="001D18A0" w:rsidRPr="001D18A0">
              <w:rPr>
                <w:rFonts w:ascii="Calibri" w:hAnsi="Calibri"/>
                <w:sz w:val="22"/>
                <w:szCs w:val="22"/>
              </w:rPr>
              <w:t>EXPRIMANT SON APPRÉCIATION pour l’appui fourni aux Parties, en matière d’application du Plan stratégique, par les Initiatives régionales Ramsar, les organisations intergouvernementales, les Organisations internationales partenaires et les organisations non gouvernementales</w:t>
            </w:r>
            <w:r w:rsidR="001D18A0">
              <w:rPr>
                <w:rFonts w:ascii="Calibri" w:hAnsi="Calibri"/>
                <w:sz w:val="22"/>
                <w:szCs w:val="22"/>
              </w:rPr>
              <w:t xml:space="preserve"> </w:t>
            </w:r>
            <w:r w:rsidR="001D18A0" w:rsidRPr="001D18A0">
              <w:rPr>
                <w:rFonts w:ascii="Calibri" w:hAnsi="Calibri"/>
                <w:sz w:val="22"/>
                <w:szCs w:val="22"/>
              </w:rPr>
              <w:t>; et</w:t>
            </w:r>
          </w:p>
        </w:tc>
        <w:tc>
          <w:tcPr>
            <w:tcW w:w="2829" w:type="dxa"/>
          </w:tcPr>
          <w:p w14:paraId="1C190A7E" w14:textId="77777777" w:rsidR="00E92A24" w:rsidRPr="001D18A0" w:rsidRDefault="00E92A24" w:rsidP="00E92A24">
            <w:pPr>
              <w:rPr>
                <w:b/>
                <w:lang w:val="fr-FR"/>
              </w:rPr>
            </w:pPr>
          </w:p>
        </w:tc>
      </w:tr>
      <w:tr w:rsidR="00E92A24" w:rsidRPr="002340EA" w14:paraId="15F853D1" w14:textId="77777777" w:rsidTr="007B7631">
        <w:tc>
          <w:tcPr>
            <w:tcW w:w="3681" w:type="dxa"/>
          </w:tcPr>
          <w:p w14:paraId="2B3EFB51" w14:textId="090B48F9" w:rsidR="00E92A24" w:rsidRPr="001D18A0" w:rsidRDefault="00E92A24" w:rsidP="00FB34A3">
            <w:pPr>
              <w:keepNext/>
              <w:rPr>
                <w:lang w:val="fr-FR"/>
              </w:rPr>
            </w:pPr>
            <w:r w:rsidRPr="001D18A0">
              <w:rPr>
                <w:lang w:val="fr-FR"/>
              </w:rPr>
              <w:t xml:space="preserve">XIII.7 </w:t>
            </w:r>
            <w:r w:rsidR="001D18A0" w:rsidRPr="001D18A0">
              <w:rPr>
                <w:lang w:val="fr-FR"/>
              </w:rPr>
              <w:t xml:space="preserve">Renforcer la visibilité de la </w:t>
            </w:r>
            <w:r w:rsidR="001D18A0" w:rsidRPr="001D18A0">
              <w:rPr>
                <w:lang w:val="fr-FR"/>
              </w:rPr>
              <w:lastRenderedPageBreak/>
              <w:t>Convention et les synergies avec d’autres accords multilatéraux sur l’environnement et institutions internationales</w:t>
            </w:r>
          </w:p>
        </w:tc>
        <w:tc>
          <w:tcPr>
            <w:tcW w:w="7371" w:type="dxa"/>
          </w:tcPr>
          <w:p w14:paraId="2A3C0FCB" w14:textId="425E93BE" w:rsidR="00E92A24" w:rsidRPr="001D18A0" w:rsidRDefault="001D18A0" w:rsidP="00E92A24">
            <w:pPr>
              <w:pStyle w:val="NormalWeb"/>
              <w:rPr>
                <w:rFonts w:ascii="Calibri" w:hAnsi="Calibri"/>
                <w:sz w:val="22"/>
                <w:szCs w:val="22"/>
              </w:rPr>
            </w:pPr>
            <w:r w:rsidRPr="001D18A0">
              <w:rPr>
                <w:rFonts w:ascii="Calibri" w:hAnsi="Calibri"/>
                <w:sz w:val="22"/>
                <w:szCs w:val="22"/>
              </w:rPr>
              <w:lastRenderedPageBreak/>
              <w:t xml:space="preserve">RAPPELANT que dans ses paragraphes 17 et 18, la Résolution XI.1, </w:t>
            </w:r>
            <w:r w:rsidRPr="001D18A0">
              <w:rPr>
                <w:rFonts w:ascii="Calibri" w:hAnsi="Calibri"/>
                <w:i/>
                <w:iCs/>
                <w:sz w:val="22"/>
                <w:szCs w:val="22"/>
              </w:rPr>
              <w:t xml:space="preserve">Accueil </w:t>
            </w:r>
            <w:r w:rsidRPr="001D18A0">
              <w:rPr>
                <w:rFonts w:ascii="Calibri" w:hAnsi="Calibri"/>
                <w:i/>
                <w:iCs/>
                <w:sz w:val="22"/>
                <w:szCs w:val="22"/>
              </w:rPr>
              <w:lastRenderedPageBreak/>
              <w:t>institutionnel du Secrétariat Ramsar</w:t>
            </w:r>
            <w:r w:rsidRPr="001D18A0">
              <w:rPr>
                <w:rFonts w:ascii="Calibri" w:hAnsi="Calibri"/>
                <w:sz w:val="22"/>
                <w:szCs w:val="22"/>
              </w:rPr>
              <w:t>, donne instruction au Comité permanent et aux Parties contractantes d’élaborer des stratégies pour étudier l’intégration des langues des Nations Unies dans la Convention, le renforcement de la visibilité et de la stature de la Convention, en particulier par l’amélioration de l’engagement politique de haut niveau dans ses travaux aux niveaux national, régional et mondial, le renforcement des synergies avec les accords multilatéraux sur l’environnement (AME) et autres entités internationales, notamment dans le cadre des initiatives régionales, et la participation accrue aux initiatives et programmes du Programme des Nations Unies pour l’environnement (PNUE)</w:t>
            </w:r>
            <w:r>
              <w:rPr>
                <w:rFonts w:ascii="Calibri" w:hAnsi="Calibri"/>
                <w:sz w:val="22"/>
                <w:szCs w:val="22"/>
              </w:rPr>
              <w:t xml:space="preserve"> </w:t>
            </w:r>
            <w:r w:rsidRPr="001D18A0">
              <w:rPr>
                <w:rFonts w:ascii="Calibri" w:hAnsi="Calibri"/>
                <w:sz w:val="22"/>
                <w:szCs w:val="22"/>
              </w:rPr>
              <w:t>;</w:t>
            </w:r>
          </w:p>
        </w:tc>
        <w:tc>
          <w:tcPr>
            <w:tcW w:w="2829" w:type="dxa"/>
          </w:tcPr>
          <w:p w14:paraId="5D36AF84" w14:textId="77777777" w:rsidR="00E92A24" w:rsidRPr="001D18A0" w:rsidRDefault="00E92A24" w:rsidP="00E92A24">
            <w:pPr>
              <w:rPr>
                <w:b/>
                <w:lang w:val="fr-FR"/>
              </w:rPr>
            </w:pPr>
          </w:p>
        </w:tc>
      </w:tr>
      <w:tr w:rsidR="00E92A24" w:rsidRPr="002340EA" w14:paraId="6B8A8618" w14:textId="77777777" w:rsidTr="007B7631">
        <w:tc>
          <w:tcPr>
            <w:tcW w:w="3681" w:type="dxa"/>
          </w:tcPr>
          <w:p w14:paraId="72B42BE0" w14:textId="34E84191" w:rsidR="00E92A24" w:rsidRPr="001D18A0" w:rsidRDefault="00E92A24" w:rsidP="00E92A24">
            <w:pPr>
              <w:rPr>
                <w:lang w:val="fr-FR"/>
              </w:rPr>
            </w:pPr>
            <w:r w:rsidRPr="001D18A0">
              <w:rPr>
                <w:lang w:val="fr-FR"/>
              </w:rPr>
              <w:t xml:space="preserve">XIII.15 </w:t>
            </w:r>
            <w:r w:rsidR="001D18A0" w:rsidRPr="001D18A0">
              <w:rPr>
                <w:lang w:val="fr-FR"/>
              </w:rPr>
              <w:t>Valeurs culturelles et pratiques des peuples autochtones et des communautés locales, et leur contribution à l’atténuation des changements climatiques et à l’adaptation à ces changements dans les zones humides</w:t>
            </w:r>
          </w:p>
        </w:tc>
        <w:tc>
          <w:tcPr>
            <w:tcW w:w="7371" w:type="dxa"/>
          </w:tcPr>
          <w:p w14:paraId="05041E00" w14:textId="3BBF0A20" w:rsidR="00E92A24" w:rsidRPr="001D18A0" w:rsidRDefault="00E92A24" w:rsidP="00E92A24">
            <w:pPr>
              <w:pStyle w:val="NormalWeb"/>
              <w:rPr>
                <w:rFonts w:ascii="Calibri" w:hAnsi="Calibri"/>
                <w:sz w:val="22"/>
                <w:szCs w:val="22"/>
              </w:rPr>
            </w:pPr>
            <w:r w:rsidRPr="001D18A0">
              <w:rPr>
                <w:rFonts w:ascii="Calibri" w:hAnsi="Calibri"/>
                <w:sz w:val="22"/>
                <w:szCs w:val="22"/>
              </w:rPr>
              <w:t xml:space="preserve">16 </w:t>
            </w:r>
            <w:r w:rsidR="001D18A0" w:rsidRPr="001D18A0">
              <w:rPr>
                <w:rFonts w:ascii="Calibri" w:hAnsi="Calibri"/>
                <w:sz w:val="22"/>
                <w:szCs w:val="22"/>
              </w:rPr>
              <w:t>ENCOURAGE les Parties contractantes, le Secrétariat de la Convention de Ramsar et les Initiatives régionales Ramsar, et INVITE les organisations et réseaux intéressés, à protéger, soutenir et promouvoir l’utilisation des valeurs culturelles, des connaissances traditionnelles, des innovations et des pratiques des peuples autochtones et des communautés locales qui peuvent contribuer à l’adaptation aux impacts de plus en plus négatifs des changements climatiques, en prenant en considération les groupes vulnérables, les communautés et les écosystèmes</w:t>
            </w:r>
            <w:r w:rsidR="001D18A0">
              <w:rPr>
                <w:rFonts w:ascii="Calibri" w:hAnsi="Calibri"/>
                <w:sz w:val="22"/>
                <w:szCs w:val="22"/>
              </w:rPr>
              <w:t>.</w:t>
            </w:r>
          </w:p>
          <w:p w14:paraId="09FF8F97" w14:textId="6C1EFF06" w:rsidR="00E92A24" w:rsidRPr="001D18A0" w:rsidRDefault="00E92A24" w:rsidP="00E92A24">
            <w:pPr>
              <w:pStyle w:val="NormalWeb"/>
              <w:rPr>
                <w:rFonts w:ascii="Calibri" w:hAnsi="Calibri"/>
                <w:sz w:val="22"/>
                <w:szCs w:val="22"/>
              </w:rPr>
            </w:pPr>
            <w:r w:rsidRPr="001D18A0">
              <w:rPr>
                <w:rFonts w:ascii="Calibri" w:hAnsi="Calibri"/>
                <w:sz w:val="22"/>
                <w:szCs w:val="22"/>
              </w:rPr>
              <w:t xml:space="preserve">22 </w:t>
            </w:r>
            <w:r w:rsidR="001D18A0" w:rsidRPr="001D18A0">
              <w:rPr>
                <w:rFonts w:ascii="Calibri" w:hAnsi="Calibri"/>
                <w:sz w:val="22"/>
                <w:szCs w:val="22"/>
              </w:rPr>
              <w:t>PRIE le Secrétariat de continuer, sous réserve des ressources disponibles, et INVITE les Parties contractantes, les Initiatives régionales Ramsar, les organisations et réseaux intéressés à continuer d'entreprendre des activités habilitantes à des fins d’examen effectif des valeurs culturelles des zones humides dans les efforts de protection et de gestion des zones humides.</w:t>
            </w:r>
            <w:r w:rsidRPr="001D18A0">
              <w:rPr>
                <w:rFonts w:ascii="Calibri" w:hAnsi="Calibri"/>
                <w:sz w:val="22"/>
                <w:szCs w:val="22"/>
              </w:rPr>
              <w:t xml:space="preserve"> </w:t>
            </w:r>
          </w:p>
        </w:tc>
        <w:tc>
          <w:tcPr>
            <w:tcW w:w="2829" w:type="dxa"/>
          </w:tcPr>
          <w:p w14:paraId="2C344011" w14:textId="77777777" w:rsidR="00E92A24" w:rsidRPr="001D18A0" w:rsidRDefault="00E92A24" w:rsidP="00E92A24">
            <w:pPr>
              <w:rPr>
                <w:b/>
                <w:lang w:val="fr-FR"/>
              </w:rPr>
            </w:pPr>
          </w:p>
        </w:tc>
      </w:tr>
      <w:tr w:rsidR="00E92A24" w:rsidRPr="002340EA" w14:paraId="49C56A59" w14:textId="77777777" w:rsidTr="007B7631">
        <w:tc>
          <w:tcPr>
            <w:tcW w:w="3681" w:type="dxa"/>
          </w:tcPr>
          <w:p w14:paraId="49E4234D" w14:textId="383366EF" w:rsidR="00E92A24" w:rsidRPr="001D18A0" w:rsidRDefault="00E92A24" w:rsidP="001D18A0">
            <w:pPr>
              <w:rPr>
                <w:lang w:val="fr-FR"/>
              </w:rPr>
            </w:pPr>
            <w:r w:rsidRPr="001D18A0">
              <w:rPr>
                <w:lang w:val="fr-FR"/>
              </w:rPr>
              <w:t>XIII.8</w:t>
            </w:r>
            <w:r w:rsidR="001D18A0">
              <w:rPr>
                <w:lang w:val="fr-FR"/>
              </w:rPr>
              <w:t xml:space="preserve"> </w:t>
            </w:r>
            <w:r w:rsidR="001D18A0" w:rsidRPr="001D18A0">
              <w:rPr>
                <w:lang w:val="fr-FR"/>
              </w:rPr>
              <w:t>Application future des aspects</w:t>
            </w:r>
            <w:r w:rsidR="001D18A0">
              <w:rPr>
                <w:lang w:val="fr-FR"/>
              </w:rPr>
              <w:t xml:space="preserve"> </w:t>
            </w:r>
            <w:r w:rsidR="001D18A0" w:rsidRPr="001D18A0">
              <w:rPr>
                <w:lang w:val="fr-FR"/>
              </w:rPr>
              <w:t>scientifiques et techniques de la Convention pour 2019-2021</w:t>
            </w:r>
          </w:p>
        </w:tc>
        <w:tc>
          <w:tcPr>
            <w:tcW w:w="7371" w:type="dxa"/>
          </w:tcPr>
          <w:p w14:paraId="502B10C5" w14:textId="72A9E7E3" w:rsidR="00E92A24" w:rsidRPr="001D18A0" w:rsidRDefault="00E92A24" w:rsidP="00E92A24">
            <w:pPr>
              <w:pStyle w:val="NormalWeb"/>
              <w:rPr>
                <w:rFonts w:asciiTheme="minorHAnsi" w:hAnsiTheme="minorHAnsi"/>
                <w:sz w:val="22"/>
                <w:szCs w:val="22"/>
              </w:rPr>
            </w:pPr>
            <w:r w:rsidRPr="001D18A0">
              <w:rPr>
                <w:rFonts w:asciiTheme="minorHAnsi" w:hAnsiTheme="minorHAnsi"/>
                <w:bCs/>
                <w:sz w:val="22"/>
                <w:szCs w:val="22"/>
              </w:rPr>
              <w:t>Annex</w:t>
            </w:r>
            <w:r w:rsidR="001D18A0" w:rsidRPr="001D18A0">
              <w:rPr>
                <w:rFonts w:asciiTheme="minorHAnsi" w:hAnsiTheme="minorHAnsi"/>
                <w:bCs/>
                <w:sz w:val="22"/>
                <w:szCs w:val="22"/>
              </w:rPr>
              <w:t>e</w:t>
            </w:r>
            <w:r w:rsidRPr="001D18A0">
              <w:rPr>
                <w:rFonts w:asciiTheme="minorHAnsi" w:hAnsiTheme="minorHAnsi"/>
                <w:bCs/>
                <w:sz w:val="22"/>
                <w:szCs w:val="22"/>
              </w:rPr>
              <w:t xml:space="preserve"> 3 </w:t>
            </w:r>
          </w:p>
          <w:p w14:paraId="1F2F4091" w14:textId="770F69ED" w:rsidR="00E92A24" w:rsidRPr="001D18A0" w:rsidRDefault="001D18A0" w:rsidP="00E92A24">
            <w:pPr>
              <w:pStyle w:val="NormalWeb"/>
              <w:rPr>
                <w:rFonts w:asciiTheme="minorHAnsi" w:hAnsiTheme="minorHAnsi"/>
                <w:bCs/>
                <w:sz w:val="22"/>
                <w:szCs w:val="22"/>
              </w:rPr>
            </w:pPr>
            <w:r w:rsidRPr="001D18A0">
              <w:rPr>
                <w:rFonts w:asciiTheme="minorHAnsi" w:hAnsiTheme="minorHAnsi"/>
                <w:bCs/>
                <w:sz w:val="22"/>
                <w:szCs w:val="22"/>
              </w:rPr>
              <w:t xml:space="preserve">Organes et organisations invités à participer en tant qu’observateurs aux réunions et processus du Groupe d’évaluation scientifique et technique pour la période triennale 2019-2021 </w:t>
            </w:r>
            <w:r w:rsidR="00E92A24" w:rsidRPr="001D18A0">
              <w:rPr>
                <w:rFonts w:asciiTheme="minorHAnsi" w:hAnsiTheme="minorHAnsi"/>
                <w:bCs/>
                <w:sz w:val="22"/>
                <w:szCs w:val="22"/>
              </w:rPr>
              <w:t xml:space="preserve"> </w:t>
            </w:r>
          </w:p>
          <w:p w14:paraId="72CCBCD6" w14:textId="77777777" w:rsidR="00E92A24" w:rsidRPr="000A092A" w:rsidRDefault="00E92A24" w:rsidP="00E92A24">
            <w:pPr>
              <w:pStyle w:val="NormalWeb"/>
              <w:rPr>
                <w:rFonts w:asciiTheme="minorHAnsi" w:hAnsiTheme="minorHAnsi"/>
                <w:bCs/>
                <w:sz w:val="22"/>
                <w:szCs w:val="22"/>
                <w:lang w:val="en-US"/>
              </w:rPr>
            </w:pPr>
            <w:r w:rsidRPr="000A092A">
              <w:rPr>
                <w:rFonts w:asciiTheme="minorHAnsi" w:hAnsiTheme="minorHAnsi"/>
                <w:bCs/>
                <w:sz w:val="22"/>
                <w:szCs w:val="22"/>
                <w:lang w:val="en-US"/>
              </w:rPr>
              <w:t>…</w:t>
            </w:r>
          </w:p>
          <w:p w14:paraId="3375467E" w14:textId="107596C7" w:rsidR="00E92A24" w:rsidRPr="001D18A0" w:rsidRDefault="001D18A0" w:rsidP="00E92A24">
            <w:pPr>
              <w:pStyle w:val="NormalWeb"/>
              <w:numPr>
                <w:ilvl w:val="0"/>
                <w:numId w:val="10"/>
              </w:numPr>
              <w:rPr>
                <w:rFonts w:asciiTheme="minorHAnsi" w:hAnsiTheme="minorHAnsi"/>
                <w:bCs/>
                <w:sz w:val="22"/>
                <w:szCs w:val="22"/>
              </w:rPr>
            </w:pPr>
            <w:r w:rsidRPr="001D18A0">
              <w:rPr>
                <w:rFonts w:asciiTheme="minorHAnsi" w:hAnsiTheme="minorHAnsi"/>
                <w:sz w:val="22"/>
                <w:szCs w:val="22"/>
              </w:rPr>
              <w:lastRenderedPageBreak/>
              <w:t>Réseau scientifique et technique de l’Initiative pour les zones humides méditerranéennes (MedWet)</w:t>
            </w:r>
            <w:r w:rsidR="00E92A24" w:rsidRPr="001D18A0">
              <w:rPr>
                <w:rFonts w:asciiTheme="minorHAnsi" w:hAnsiTheme="minorHAnsi"/>
                <w:sz w:val="22"/>
                <w:szCs w:val="22"/>
              </w:rPr>
              <w:t xml:space="preserve"> </w:t>
            </w:r>
          </w:p>
          <w:p w14:paraId="351E2737" w14:textId="64192A5F" w:rsidR="00E92A24" w:rsidRPr="00437CB8" w:rsidRDefault="00E92A24" w:rsidP="00E92A24">
            <w:pPr>
              <w:pStyle w:val="NormalWeb"/>
              <w:rPr>
                <w:rFonts w:asciiTheme="minorHAnsi" w:hAnsiTheme="minorHAnsi"/>
                <w:sz w:val="22"/>
                <w:szCs w:val="22"/>
              </w:rPr>
            </w:pPr>
            <w:r w:rsidRPr="00437CB8">
              <w:rPr>
                <w:rFonts w:asciiTheme="minorHAnsi" w:hAnsiTheme="minorHAnsi"/>
                <w:bCs/>
                <w:sz w:val="22"/>
                <w:szCs w:val="22"/>
              </w:rPr>
              <w:t>Annex</w:t>
            </w:r>
            <w:r w:rsidR="001D18A0" w:rsidRPr="00437CB8">
              <w:rPr>
                <w:rFonts w:asciiTheme="minorHAnsi" w:hAnsiTheme="minorHAnsi"/>
                <w:bCs/>
                <w:sz w:val="22"/>
                <w:szCs w:val="22"/>
              </w:rPr>
              <w:t>e</w:t>
            </w:r>
            <w:r w:rsidRPr="00437CB8">
              <w:rPr>
                <w:rFonts w:asciiTheme="minorHAnsi" w:hAnsiTheme="minorHAnsi"/>
                <w:bCs/>
                <w:sz w:val="22"/>
                <w:szCs w:val="22"/>
              </w:rPr>
              <w:t xml:space="preserve"> 4 </w:t>
            </w:r>
          </w:p>
          <w:p w14:paraId="60D341D8" w14:textId="0A6F809D" w:rsidR="00E92A24" w:rsidRPr="00437CB8" w:rsidRDefault="00437CB8" w:rsidP="00E92A24">
            <w:pPr>
              <w:pStyle w:val="NormalWeb"/>
              <w:rPr>
                <w:rFonts w:asciiTheme="minorHAnsi" w:hAnsiTheme="minorHAnsi"/>
                <w:sz w:val="22"/>
                <w:szCs w:val="22"/>
              </w:rPr>
            </w:pPr>
            <w:r w:rsidRPr="00437CB8">
              <w:rPr>
                <w:rFonts w:asciiTheme="minorHAnsi" w:hAnsiTheme="minorHAnsi"/>
                <w:bCs/>
                <w:sz w:val="22"/>
                <w:szCs w:val="22"/>
              </w:rPr>
              <w:t>Lignes directrices pour préparer des demandes à l’intention de la Plateforme intergouvernementale, scientifique et politique, sur la biodiversité et les services écosystémiques (IPBES) pour ses futurs programmes de travail</w:t>
            </w:r>
            <w:r w:rsidR="00E92A24" w:rsidRPr="00437CB8">
              <w:rPr>
                <w:rFonts w:asciiTheme="minorHAnsi" w:hAnsiTheme="minorHAnsi"/>
                <w:bCs/>
                <w:sz w:val="22"/>
                <w:szCs w:val="22"/>
              </w:rPr>
              <w:t xml:space="preserve"> </w:t>
            </w:r>
          </w:p>
          <w:p w14:paraId="2391E5A5" w14:textId="77777777" w:rsidR="00E92A24" w:rsidRPr="00852AAC" w:rsidRDefault="00E92A24" w:rsidP="00E92A24">
            <w:pPr>
              <w:pStyle w:val="NormalWeb"/>
              <w:rPr>
                <w:rFonts w:asciiTheme="minorHAnsi" w:hAnsiTheme="minorHAnsi"/>
                <w:bCs/>
                <w:sz w:val="22"/>
                <w:szCs w:val="22"/>
              </w:rPr>
            </w:pPr>
            <w:r w:rsidRPr="00852AAC">
              <w:rPr>
                <w:rFonts w:asciiTheme="minorHAnsi" w:hAnsiTheme="minorHAnsi"/>
                <w:bCs/>
                <w:sz w:val="22"/>
                <w:szCs w:val="22"/>
              </w:rPr>
              <w:t>…</w:t>
            </w:r>
          </w:p>
          <w:p w14:paraId="2F23AD2E" w14:textId="73DE04DB" w:rsidR="00E92A24" w:rsidRPr="00437CB8" w:rsidRDefault="00E92A24" w:rsidP="00E92A24">
            <w:pPr>
              <w:pStyle w:val="NormalWeb"/>
              <w:rPr>
                <w:rFonts w:asciiTheme="minorHAnsi" w:hAnsiTheme="minorHAnsi"/>
                <w:sz w:val="22"/>
                <w:szCs w:val="22"/>
              </w:rPr>
            </w:pPr>
            <w:r w:rsidRPr="00437CB8">
              <w:rPr>
                <w:rFonts w:asciiTheme="minorHAnsi" w:hAnsiTheme="minorHAnsi"/>
                <w:sz w:val="22"/>
                <w:szCs w:val="22"/>
              </w:rPr>
              <w:t xml:space="preserve">2 </w:t>
            </w:r>
            <w:r w:rsidR="00437CB8" w:rsidRPr="00437CB8">
              <w:rPr>
                <w:rFonts w:asciiTheme="minorHAnsi" w:hAnsiTheme="minorHAnsi"/>
                <w:sz w:val="22"/>
                <w:szCs w:val="22"/>
              </w:rPr>
              <w:t>Les Parties contractantes, les Initiatives régionales Ramsar, le GEST et les accords multilatéraux sur l’environnement (AME) qui proposent une soumission conjointe</w:t>
            </w:r>
            <w:r w:rsidRPr="00437CB8">
              <w:rPr>
                <w:rFonts w:asciiTheme="minorHAnsi" w:hAnsiTheme="minorHAnsi"/>
                <w:sz w:val="22"/>
                <w:szCs w:val="22"/>
              </w:rPr>
              <w:t xml:space="preserve">. </w:t>
            </w:r>
          </w:p>
        </w:tc>
        <w:tc>
          <w:tcPr>
            <w:tcW w:w="2829" w:type="dxa"/>
          </w:tcPr>
          <w:p w14:paraId="06B78712" w14:textId="77777777" w:rsidR="00E92A24" w:rsidRPr="00437CB8" w:rsidRDefault="00E92A24" w:rsidP="00E92A24">
            <w:pPr>
              <w:rPr>
                <w:b/>
                <w:lang w:val="fr-FR"/>
              </w:rPr>
            </w:pPr>
          </w:p>
        </w:tc>
      </w:tr>
      <w:tr w:rsidR="00E92A24" w:rsidRPr="002340EA" w14:paraId="514F4309" w14:textId="77777777" w:rsidTr="007B7631">
        <w:tc>
          <w:tcPr>
            <w:tcW w:w="3681" w:type="dxa"/>
          </w:tcPr>
          <w:p w14:paraId="358DA3A3" w14:textId="2B336EE7" w:rsidR="00E92A24" w:rsidRPr="00154634" w:rsidRDefault="00E92A24" w:rsidP="00E92A24">
            <w:pPr>
              <w:rPr>
                <w:b/>
                <w:lang w:val="fr-FR"/>
              </w:rPr>
            </w:pPr>
            <w:r w:rsidRPr="00154634">
              <w:rPr>
                <w:lang w:val="fr-FR"/>
              </w:rPr>
              <w:t xml:space="preserve">XIII.22 </w:t>
            </w:r>
            <w:r w:rsidR="00154634" w:rsidRPr="00154634">
              <w:rPr>
                <w:lang w:val="fr-FR"/>
              </w:rPr>
              <w:t>Les zones humides en Asie de l’Ouest</w:t>
            </w:r>
          </w:p>
        </w:tc>
        <w:tc>
          <w:tcPr>
            <w:tcW w:w="7371" w:type="dxa"/>
          </w:tcPr>
          <w:p w14:paraId="15CB6CC0" w14:textId="469DA743" w:rsidR="00E92A24" w:rsidRPr="00154634" w:rsidRDefault="00E92A24" w:rsidP="00E92A24">
            <w:pPr>
              <w:pStyle w:val="NormalWeb"/>
              <w:rPr>
                <w:rFonts w:ascii="Calibri" w:hAnsi="Calibri"/>
                <w:sz w:val="22"/>
                <w:szCs w:val="22"/>
              </w:rPr>
            </w:pPr>
            <w:r w:rsidRPr="00154634">
              <w:rPr>
                <w:rFonts w:ascii="Calibri" w:hAnsi="Calibri"/>
                <w:sz w:val="22"/>
                <w:szCs w:val="22"/>
              </w:rPr>
              <w:t xml:space="preserve">11 </w:t>
            </w:r>
            <w:r w:rsidR="00154634" w:rsidRPr="00154634">
              <w:rPr>
                <w:rFonts w:ascii="Calibri" w:hAnsi="Calibri"/>
                <w:sz w:val="22"/>
                <w:szCs w:val="22"/>
              </w:rPr>
              <w:t>ENCOURAGE les Parties contractantes de la région d’Asie de l’Ouest à envisager de recourir aux initiatives de coopération et régionales dans le contexte du développement durable.</w:t>
            </w:r>
          </w:p>
          <w:p w14:paraId="3817AEA2" w14:textId="4F285B7E" w:rsidR="00E92A24" w:rsidRPr="00154634" w:rsidRDefault="00E92A24" w:rsidP="00154634">
            <w:pPr>
              <w:ind w:left="7" w:hanging="7"/>
              <w:rPr>
                <w:b/>
                <w:lang w:val="fr-FR"/>
              </w:rPr>
            </w:pPr>
            <w:r w:rsidRPr="00154634">
              <w:rPr>
                <w:lang w:val="fr-FR"/>
              </w:rPr>
              <w:t xml:space="preserve">14 </w:t>
            </w:r>
            <w:r w:rsidR="00154634" w:rsidRPr="00154634">
              <w:rPr>
                <w:lang w:val="fr-FR"/>
              </w:rPr>
              <w:t>DEMANDE au Centre régional Ramsar-Asie centrale et de l’Ouest de donner suite aux dispositions de la présente Résolution, dans le cadre de son mandat, et de rendre compte à la Conférence des Parties contractantes</w:t>
            </w:r>
            <w:r w:rsidRPr="00154634">
              <w:rPr>
                <w:lang w:val="fr-FR"/>
              </w:rPr>
              <w:t xml:space="preserve">. </w:t>
            </w:r>
          </w:p>
        </w:tc>
        <w:tc>
          <w:tcPr>
            <w:tcW w:w="2829" w:type="dxa"/>
          </w:tcPr>
          <w:p w14:paraId="7F934F1F" w14:textId="77777777" w:rsidR="00E92A24" w:rsidRPr="00154634" w:rsidRDefault="00E92A24" w:rsidP="00E92A24">
            <w:pPr>
              <w:rPr>
                <w:b/>
                <w:lang w:val="fr-FR"/>
              </w:rPr>
            </w:pPr>
          </w:p>
        </w:tc>
      </w:tr>
      <w:tr w:rsidR="00E92A24" w:rsidRPr="002340EA" w14:paraId="7CAF1D84" w14:textId="77777777" w:rsidTr="007B7631">
        <w:tc>
          <w:tcPr>
            <w:tcW w:w="3681" w:type="dxa"/>
          </w:tcPr>
          <w:p w14:paraId="68CB83F6" w14:textId="58F8CF99" w:rsidR="00E92A24" w:rsidRPr="00F25D0E" w:rsidRDefault="00E92A24" w:rsidP="00E92A24">
            <w:pPr>
              <w:pStyle w:val="NormalWeb"/>
              <w:rPr>
                <w:sz w:val="22"/>
                <w:szCs w:val="22"/>
              </w:rPr>
            </w:pPr>
            <w:r w:rsidRPr="00F25D0E">
              <w:rPr>
                <w:rFonts w:ascii="Calibri" w:hAnsi="Calibri"/>
                <w:bCs/>
                <w:sz w:val="22"/>
                <w:szCs w:val="22"/>
              </w:rPr>
              <w:t xml:space="preserve">XIII.24 </w:t>
            </w:r>
            <w:r w:rsidR="00F25D0E" w:rsidRPr="00F25D0E">
              <w:rPr>
                <w:rFonts w:ascii="Calibri" w:hAnsi="Calibri"/>
                <w:bCs/>
                <w:sz w:val="22"/>
                <w:szCs w:val="22"/>
              </w:rPr>
              <w:t>Renforcement de la conservation des habitats côtiers des tortues marines, et désignation au titre de Ramsar des sites à enjeux majeurs</w:t>
            </w:r>
            <w:r w:rsidRPr="00F25D0E">
              <w:rPr>
                <w:rFonts w:ascii="Calibri" w:hAnsi="Calibri"/>
                <w:bCs/>
                <w:sz w:val="22"/>
                <w:szCs w:val="22"/>
              </w:rPr>
              <w:t xml:space="preserve"> </w:t>
            </w:r>
          </w:p>
        </w:tc>
        <w:tc>
          <w:tcPr>
            <w:tcW w:w="7371" w:type="dxa"/>
          </w:tcPr>
          <w:p w14:paraId="62927072" w14:textId="39F66DCB" w:rsidR="00E92A24" w:rsidRPr="00F25D0E" w:rsidRDefault="00E92A24" w:rsidP="00E92A24">
            <w:pPr>
              <w:pStyle w:val="NormalWeb"/>
              <w:rPr>
                <w:rFonts w:ascii="Calibri" w:hAnsi="Calibri"/>
                <w:sz w:val="22"/>
                <w:szCs w:val="22"/>
              </w:rPr>
            </w:pPr>
            <w:r w:rsidRPr="00F25D0E">
              <w:rPr>
                <w:rFonts w:ascii="Calibri" w:hAnsi="Calibri"/>
                <w:sz w:val="22"/>
                <w:szCs w:val="22"/>
              </w:rPr>
              <w:t xml:space="preserve">22 </w:t>
            </w:r>
            <w:r w:rsidR="00F25D0E" w:rsidRPr="00F25D0E">
              <w:rPr>
                <w:rFonts w:ascii="Calibri" w:hAnsi="Calibri"/>
                <w:sz w:val="22"/>
                <w:szCs w:val="22"/>
              </w:rPr>
              <w:t>ENCOURAGE les Parties contractantes à examiner les plans de gestion de leurs Sites Ramsar pour s’assurer qu’ils contiennent des mesures de conservation pour les tortues marines, s’il y a lieu</w:t>
            </w:r>
            <w:r w:rsidR="00F25D0E">
              <w:rPr>
                <w:rFonts w:ascii="Calibri" w:hAnsi="Calibri"/>
                <w:sz w:val="22"/>
                <w:szCs w:val="22"/>
              </w:rPr>
              <w:t xml:space="preserve"> </w:t>
            </w:r>
            <w:r w:rsidR="00F25D0E" w:rsidRPr="00F25D0E">
              <w:rPr>
                <w:rFonts w:ascii="Calibri" w:hAnsi="Calibri"/>
                <w:sz w:val="22"/>
                <w:szCs w:val="22"/>
              </w:rPr>
              <w:t>; et RECOMMANDE de renforcer les synergies et d'améliorer la coordination avec les Initiatives régionales Ramsar et les réseaux existants plutôt que d'établir de nouveaux accords</w:t>
            </w:r>
            <w:r w:rsidR="00F25D0E">
              <w:rPr>
                <w:rFonts w:ascii="Calibri" w:hAnsi="Calibri"/>
                <w:sz w:val="22"/>
                <w:szCs w:val="22"/>
              </w:rPr>
              <w:t>.</w:t>
            </w:r>
            <w:r w:rsidRPr="00F25D0E">
              <w:rPr>
                <w:rFonts w:ascii="Calibri" w:hAnsi="Calibri"/>
                <w:sz w:val="22"/>
                <w:szCs w:val="22"/>
              </w:rPr>
              <w:t xml:space="preserve"> </w:t>
            </w:r>
          </w:p>
        </w:tc>
        <w:tc>
          <w:tcPr>
            <w:tcW w:w="2829" w:type="dxa"/>
          </w:tcPr>
          <w:p w14:paraId="26F0BDD3" w14:textId="77777777" w:rsidR="00E92A24" w:rsidRPr="00F25D0E" w:rsidRDefault="00E92A24" w:rsidP="00E92A24">
            <w:pPr>
              <w:rPr>
                <w:b/>
                <w:lang w:val="fr-FR"/>
              </w:rPr>
            </w:pPr>
          </w:p>
        </w:tc>
      </w:tr>
      <w:tr w:rsidR="00E92A24" w:rsidRPr="00FD600C" w14:paraId="2F822BE6" w14:textId="77777777" w:rsidTr="007B7631">
        <w:tc>
          <w:tcPr>
            <w:tcW w:w="3681" w:type="dxa"/>
          </w:tcPr>
          <w:p w14:paraId="650C574C" w14:textId="77777777" w:rsidR="00E92A24" w:rsidRPr="001436E3" w:rsidRDefault="00E92A24" w:rsidP="00E92A24">
            <w:pPr>
              <w:rPr>
                <w:b/>
                <w:lang w:val="en-US"/>
              </w:rPr>
            </w:pPr>
            <w:r w:rsidRPr="001436E3">
              <w:rPr>
                <w:b/>
                <w:lang w:val="en-US"/>
              </w:rPr>
              <w:t>COP12</w:t>
            </w:r>
          </w:p>
        </w:tc>
        <w:tc>
          <w:tcPr>
            <w:tcW w:w="7371" w:type="dxa"/>
          </w:tcPr>
          <w:p w14:paraId="257DF2AD" w14:textId="77777777" w:rsidR="00E92A24" w:rsidRPr="00880E6E" w:rsidRDefault="00E92A24" w:rsidP="00E92A24">
            <w:pPr>
              <w:rPr>
                <w:b/>
                <w:lang w:val="en-US"/>
              </w:rPr>
            </w:pPr>
          </w:p>
        </w:tc>
        <w:tc>
          <w:tcPr>
            <w:tcW w:w="2829" w:type="dxa"/>
          </w:tcPr>
          <w:p w14:paraId="6BD3982F" w14:textId="77777777" w:rsidR="00E92A24" w:rsidRPr="00880E6E" w:rsidRDefault="00E92A24" w:rsidP="00E92A24">
            <w:pPr>
              <w:rPr>
                <w:b/>
                <w:lang w:val="en-US"/>
              </w:rPr>
            </w:pPr>
          </w:p>
        </w:tc>
      </w:tr>
      <w:tr w:rsidR="00E92A24" w:rsidRPr="002340EA" w14:paraId="7664A1D0" w14:textId="77777777" w:rsidTr="007B7631">
        <w:tc>
          <w:tcPr>
            <w:tcW w:w="3681" w:type="dxa"/>
          </w:tcPr>
          <w:p w14:paraId="2FDAF4E4" w14:textId="0B83623B" w:rsidR="00E92A24" w:rsidRPr="00F25D0E" w:rsidRDefault="00E92A24" w:rsidP="00E92A24">
            <w:pPr>
              <w:rPr>
                <w:lang w:val="fr-FR"/>
              </w:rPr>
            </w:pPr>
            <w:r w:rsidRPr="00F25D0E">
              <w:rPr>
                <w:lang w:val="fr-FR"/>
              </w:rPr>
              <w:t xml:space="preserve">XII.2 </w:t>
            </w:r>
            <w:r w:rsidR="00F25D0E" w:rsidRPr="00F25D0E">
              <w:rPr>
                <w:lang w:val="fr-FR"/>
              </w:rPr>
              <w:t xml:space="preserve">Le Plan stratégique </w:t>
            </w:r>
            <w:r w:rsidRPr="00F25D0E">
              <w:rPr>
                <w:lang w:val="fr-FR"/>
              </w:rPr>
              <w:t xml:space="preserve">Ramsar </w:t>
            </w:r>
            <w:r w:rsidR="008249B2">
              <w:rPr>
                <w:lang w:val="fr-FR"/>
              </w:rPr>
              <w:t>2016-2024</w:t>
            </w:r>
          </w:p>
        </w:tc>
        <w:tc>
          <w:tcPr>
            <w:tcW w:w="7371" w:type="dxa"/>
          </w:tcPr>
          <w:p w14:paraId="7DF19C9A" w14:textId="2633FE86" w:rsidR="00E92A24" w:rsidRPr="00F25D0E" w:rsidRDefault="00F25D0E" w:rsidP="00E92A24">
            <w:pPr>
              <w:rPr>
                <w:lang w:val="fr-FR"/>
              </w:rPr>
            </w:pPr>
            <w:r w:rsidRPr="00F25D0E">
              <w:rPr>
                <w:lang w:val="fr-FR"/>
              </w:rPr>
              <w:t>De m</w:t>
            </w:r>
            <w:r w:rsidR="00E92A24" w:rsidRPr="00F25D0E">
              <w:rPr>
                <w:lang w:val="fr-FR"/>
              </w:rPr>
              <w:t>ultiple</w:t>
            </w:r>
            <w:r w:rsidRPr="00F25D0E">
              <w:rPr>
                <w:lang w:val="fr-FR"/>
              </w:rPr>
              <w:t>s</w:t>
            </w:r>
            <w:r w:rsidR="00E92A24" w:rsidRPr="00F25D0E">
              <w:rPr>
                <w:lang w:val="fr-FR"/>
              </w:rPr>
              <w:t xml:space="preserve"> r</w:t>
            </w:r>
            <w:r w:rsidRPr="00F25D0E">
              <w:rPr>
                <w:lang w:val="fr-FR"/>
              </w:rPr>
              <w:t>é</w:t>
            </w:r>
            <w:r w:rsidR="00E92A24" w:rsidRPr="00F25D0E">
              <w:rPr>
                <w:lang w:val="fr-FR"/>
              </w:rPr>
              <w:t>f</w:t>
            </w:r>
            <w:r w:rsidRPr="00F25D0E">
              <w:rPr>
                <w:lang w:val="fr-FR"/>
              </w:rPr>
              <w:t>é</w:t>
            </w:r>
            <w:r w:rsidR="00E92A24" w:rsidRPr="00F25D0E">
              <w:rPr>
                <w:lang w:val="fr-FR"/>
              </w:rPr>
              <w:t xml:space="preserve">rences </w:t>
            </w:r>
            <w:r w:rsidRPr="00F25D0E">
              <w:rPr>
                <w:lang w:val="fr-FR"/>
              </w:rPr>
              <w:t xml:space="preserve">tout au long de la </w:t>
            </w:r>
            <w:r>
              <w:rPr>
                <w:lang w:val="fr-FR"/>
              </w:rPr>
              <w:t>R</w:t>
            </w:r>
            <w:r w:rsidRPr="00F25D0E">
              <w:rPr>
                <w:lang w:val="fr-FR"/>
              </w:rPr>
              <w:t>ésolutio</w:t>
            </w:r>
            <w:r>
              <w:rPr>
                <w:lang w:val="fr-FR"/>
              </w:rPr>
              <w:t>n</w:t>
            </w:r>
            <w:r w:rsidR="00E92A24" w:rsidRPr="00F25D0E">
              <w:rPr>
                <w:lang w:val="fr-FR"/>
              </w:rPr>
              <w:t xml:space="preserve">   </w:t>
            </w:r>
          </w:p>
        </w:tc>
        <w:tc>
          <w:tcPr>
            <w:tcW w:w="2829" w:type="dxa"/>
          </w:tcPr>
          <w:p w14:paraId="3911AE9D" w14:textId="77777777" w:rsidR="00E92A24" w:rsidRPr="00F25D0E" w:rsidRDefault="00E92A24" w:rsidP="00E92A24">
            <w:pPr>
              <w:rPr>
                <w:lang w:val="fr-FR"/>
              </w:rPr>
            </w:pPr>
          </w:p>
        </w:tc>
      </w:tr>
      <w:tr w:rsidR="00E92A24" w:rsidRPr="002340EA" w14:paraId="3EC205FC" w14:textId="77777777" w:rsidTr="007B7631">
        <w:tc>
          <w:tcPr>
            <w:tcW w:w="3681" w:type="dxa"/>
          </w:tcPr>
          <w:p w14:paraId="0DA08E2B" w14:textId="3FD6D915" w:rsidR="00E92A24" w:rsidRPr="008249B2" w:rsidRDefault="00E92A24" w:rsidP="00E92A24">
            <w:pPr>
              <w:rPr>
                <w:b/>
                <w:lang w:val="fr-FR"/>
              </w:rPr>
            </w:pPr>
            <w:r w:rsidRPr="008249B2">
              <w:rPr>
                <w:lang w:val="fr-FR"/>
              </w:rPr>
              <w:t xml:space="preserve">XII.5 </w:t>
            </w:r>
            <w:r w:rsidR="008249B2" w:rsidRPr="008249B2">
              <w:rPr>
                <w:lang w:val="fr-FR"/>
              </w:rPr>
              <w:t xml:space="preserve">Nouveau cadre pour la fourniture d’avis et d’orientations </w:t>
            </w:r>
            <w:r w:rsidR="008249B2" w:rsidRPr="008249B2">
              <w:rPr>
                <w:lang w:val="fr-FR"/>
              </w:rPr>
              <w:lastRenderedPageBreak/>
              <w:t>scientifiques et techniques à la Convention</w:t>
            </w:r>
          </w:p>
        </w:tc>
        <w:tc>
          <w:tcPr>
            <w:tcW w:w="7371" w:type="dxa"/>
          </w:tcPr>
          <w:p w14:paraId="637AC6C9" w14:textId="36748847" w:rsidR="00E92A24" w:rsidRPr="00C02F25" w:rsidRDefault="00E92A24" w:rsidP="00E92A24">
            <w:pPr>
              <w:rPr>
                <w:rFonts w:cstheme="minorHAnsi"/>
                <w:lang w:val="fr-FR"/>
              </w:rPr>
            </w:pPr>
            <w:r w:rsidRPr="00C02F25">
              <w:rPr>
                <w:rFonts w:cstheme="minorHAnsi"/>
                <w:lang w:val="fr-FR"/>
              </w:rPr>
              <w:lastRenderedPageBreak/>
              <w:t>R</w:t>
            </w:r>
            <w:r w:rsidR="008249B2" w:rsidRPr="00C02F25">
              <w:rPr>
                <w:rFonts w:cstheme="minorHAnsi"/>
                <w:lang w:val="fr-FR"/>
              </w:rPr>
              <w:t>ô</w:t>
            </w:r>
            <w:r w:rsidRPr="00C02F25">
              <w:rPr>
                <w:rFonts w:cstheme="minorHAnsi"/>
                <w:lang w:val="fr-FR"/>
              </w:rPr>
              <w:t xml:space="preserve">le </w:t>
            </w:r>
            <w:r w:rsidR="008249B2" w:rsidRPr="00C02F25">
              <w:rPr>
                <w:rFonts w:cstheme="minorHAnsi"/>
                <w:lang w:val="fr-FR"/>
              </w:rPr>
              <w:t>et responsabilités des membres du GEST</w:t>
            </w:r>
          </w:p>
          <w:p w14:paraId="7828EB93" w14:textId="77777777" w:rsidR="00E92A24" w:rsidRPr="008249B2" w:rsidRDefault="00E92A24" w:rsidP="00E92A24">
            <w:pPr>
              <w:rPr>
                <w:rFonts w:cstheme="minorHAnsi"/>
                <w:b/>
                <w:bCs/>
                <w:lang w:val="fr-FR"/>
              </w:rPr>
            </w:pPr>
          </w:p>
          <w:p w14:paraId="58C9B0FA" w14:textId="77777777" w:rsidR="008249B2" w:rsidRPr="008249B2" w:rsidRDefault="00E92A24" w:rsidP="008249B2">
            <w:pPr>
              <w:rPr>
                <w:rFonts w:cstheme="minorHAnsi"/>
                <w:bCs/>
                <w:lang w:val="fr-FR"/>
              </w:rPr>
            </w:pPr>
            <w:r w:rsidRPr="008249B2">
              <w:rPr>
                <w:rFonts w:cstheme="minorHAnsi"/>
                <w:bCs/>
                <w:lang w:val="fr-FR"/>
              </w:rPr>
              <w:lastRenderedPageBreak/>
              <w:t xml:space="preserve">12 </w:t>
            </w:r>
            <w:r w:rsidR="008249B2" w:rsidRPr="008249B2">
              <w:rPr>
                <w:rFonts w:cstheme="minorHAnsi"/>
                <w:bCs/>
                <w:lang w:val="fr-FR"/>
              </w:rPr>
              <w:t>Les principales responsabilités collectives des membres du GEST sont :</w:t>
            </w:r>
          </w:p>
          <w:p w14:paraId="630E1441" w14:textId="77777777" w:rsidR="008249B2" w:rsidRDefault="008249B2" w:rsidP="008249B2">
            <w:pPr>
              <w:pStyle w:val="ListParagraph"/>
              <w:ind w:firstLine="0"/>
              <w:rPr>
                <w:rFonts w:cstheme="minorHAnsi"/>
                <w:bCs/>
                <w:lang w:val="fr-FR"/>
              </w:rPr>
            </w:pPr>
          </w:p>
          <w:p w14:paraId="0A743A8C" w14:textId="459DD878" w:rsidR="00E92A24" w:rsidRPr="008249B2" w:rsidRDefault="008249B2" w:rsidP="00E92A24">
            <w:pPr>
              <w:pStyle w:val="ListParagraph"/>
              <w:numPr>
                <w:ilvl w:val="0"/>
                <w:numId w:val="9"/>
              </w:numPr>
              <w:rPr>
                <w:rFonts w:cstheme="minorHAnsi"/>
                <w:bCs/>
                <w:lang w:val="fr-FR"/>
              </w:rPr>
            </w:pPr>
            <w:r w:rsidRPr="008249B2">
              <w:rPr>
                <w:rFonts w:cstheme="minorHAnsi"/>
                <w:bCs/>
                <w:lang w:val="fr-FR"/>
              </w:rPr>
              <w:t xml:space="preserve"> établir la portée, les produits et l’approche liés à chaque tâche confiée, notamment par l’intermédiaire d’ateliers exploratoires, s’il y a lieu, et ce faisant garantir la participation du réseau de Correspondants nationaux du GEST, des Initiatives régionales Ramsar et de toute autre organisation compétente;</w:t>
            </w:r>
          </w:p>
        </w:tc>
        <w:tc>
          <w:tcPr>
            <w:tcW w:w="2829" w:type="dxa"/>
          </w:tcPr>
          <w:p w14:paraId="27F6B672" w14:textId="77777777" w:rsidR="00E92A24" w:rsidRPr="008249B2" w:rsidRDefault="00E92A24" w:rsidP="00E92A24">
            <w:pPr>
              <w:rPr>
                <w:lang w:val="fr-FR"/>
              </w:rPr>
            </w:pPr>
          </w:p>
        </w:tc>
      </w:tr>
      <w:tr w:rsidR="00E92A24" w:rsidRPr="002340EA" w14:paraId="6FFFEB72" w14:textId="77777777" w:rsidTr="007B7631">
        <w:tc>
          <w:tcPr>
            <w:tcW w:w="3681" w:type="dxa"/>
          </w:tcPr>
          <w:p w14:paraId="346C74D5" w14:textId="31F04F46" w:rsidR="00E92A24" w:rsidRPr="00E766DA" w:rsidRDefault="00E92A24" w:rsidP="00E92A24">
            <w:pPr>
              <w:rPr>
                <w:bCs/>
                <w:lang w:val="fr-FR"/>
              </w:rPr>
            </w:pPr>
            <w:r w:rsidRPr="000B1023">
              <w:rPr>
                <w:bCs/>
                <w:lang w:val="el-GR"/>
              </w:rPr>
              <w:t>XII.</w:t>
            </w:r>
            <w:r w:rsidRPr="00E766DA">
              <w:rPr>
                <w:bCs/>
                <w:lang w:val="fr-FR"/>
              </w:rPr>
              <w:t xml:space="preserve">9 </w:t>
            </w:r>
            <w:r w:rsidR="00E766DA" w:rsidRPr="00E766DA">
              <w:rPr>
                <w:lang w:val="fr-FR"/>
              </w:rPr>
              <w:t>Le Programme de la Convention de Ramsar relatif à la communication, au renforcement des capacités, à l’éducation, à la sensibilisation et à la participation (CESP) 2016-2024</w:t>
            </w:r>
          </w:p>
        </w:tc>
        <w:tc>
          <w:tcPr>
            <w:tcW w:w="7371" w:type="dxa"/>
          </w:tcPr>
          <w:p w14:paraId="3FCAD284" w14:textId="7723B4FE" w:rsidR="00E92A24" w:rsidRPr="00F42CC6" w:rsidRDefault="00E92A24" w:rsidP="00E92A24">
            <w:pPr>
              <w:pStyle w:val="NormalWeb"/>
              <w:rPr>
                <w:rFonts w:asciiTheme="minorHAnsi" w:hAnsiTheme="minorHAnsi"/>
                <w:sz w:val="22"/>
                <w:szCs w:val="22"/>
              </w:rPr>
            </w:pPr>
            <w:r w:rsidRPr="00F42CC6">
              <w:rPr>
                <w:rFonts w:asciiTheme="minorHAnsi" w:hAnsiTheme="minorHAnsi"/>
                <w:sz w:val="22"/>
                <w:szCs w:val="22"/>
              </w:rPr>
              <w:t xml:space="preserve">13 </w:t>
            </w:r>
            <w:r w:rsidR="00F42CC6" w:rsidRPr="00F42CC6">
              <w:rPr>
                <w:rFonts w:asciiTheme="minorHAnsi" w:hAnsiTheme="minorHAnsi"/>
                <w:sz w:val="22"/>
                <w:szCs w:val="22"/>
              </w:rPr>
              <w:t>INVITE toutes les Parties contractantes, comme suggéré dans les Résolutions VII.9 et VIII.31 et dans le Programme de CESP 2016-2024, à formuler leurs Plans d’action pour la CESP relative aux zones humides (aux niveaux national, sous-national, du bassin versant ou local) pour inclure les actions prioritaires qui traitent des besoins internationaux, régionaux, nationaux et locaux et, selon qu’il conviendra, de fournir des copies de ces plans au Secrétariat Ramsar dans le cadre de leurs rapports nationaux, afin qu’ils puissent être partagés en tant qu’exemples de bonnes pratiques; et CHARGE le Secrétariat de fournir des informations pertinentes aux Initiatives régionales sur les priorités et les activités d’appui à l’exécution du Programme de CESP</w:t>
            </w:r>
            <w:r w:rsidR="00F42CC6">
              <w:rPr>
                <w:rFonts w:asciiTheme="minorHAnsi" w:hAnsiTheme="minorHAnsi"/>
                <w:sz w:val="22"/>
                <w:szCs w:val="22"/>
              </w:rPr>
              <w:t>.</w:t>
            </w:r>
          </w:p>
          <w:p w14:paraId="62FAE233" w14:textId="155D0E26" w:rsidR="00E92A24" w:rsidRPr="00F42CC6" w:rsidRDefault="00E92A24" w:rsidP="00E92A24">
            <w:pPr>
              <w:pStyle w:val="NormalWeb"/>
              <w:rPr>
                <w:rFonts w:asciiTheme="minorHAnsi" w:hAnsiTheme="minorHAnsi"/>
                <w:sz w:val="22"/>
                <w:szCs w:val="22"/>
              </w:rPr>
            </w:pPr>
            <w:r w:rsidRPr="00F42CC6">
              <w:rPr>
                <w:rFonts w:asciiTheme="minorHAnsi" w:hAnsiTheme="minorHAnsi"/>
                <w:sz w:val="22"/>
                <w:szCs w:val="22"/>
              </w:rPr>
              <w:t xml:space="preserve">23 </w:t>
            </w:r>
            <w:r w:rsidR="00F42CC6" w:rsidRPr="00F42CC6">
              <w:rPr>
                <w:rFonts w:asciiTheme="minorHAnsi" w:hAnsiTheme="minorHAnsi"/>
                <w:sz w:val="22"/>
                <w:szCs w:val="22"/>
              </w:rPr>
              <w:t>INVITE les OIP, les Initiatives régionales Ramsar et d’autres organisations avec lesquelles le Secrétariat Ramsar a des accords de collaboration à soutenir la mise en œuvre du Programme de CESP aux niveaux mondial, régional, national ou local, selon le cas, avec les experts, réseaux, compétences et ressources à leur disposition.</w:t>
            </w:r>
          </w:p>
          <w:p w14:paraId="4DC4ACF9" w14:textId="42CDFC9B" w:rsidR="00E92A24" w:rsidRPr="00F42CC6" w:rsidRDefault="00F42CC6" w:rsidP="00E92A24">
            <w:pPr>
              <w:pStyle w:val="BodyText"/>
              <w:kinsoku w:val="0"/>
              <w:overflowPunct w:val="0"/>
              <w:ind w:left="0" w:firstLine="0"/>
              <w:rPr>
                <w:rFonts w:asciiTheme="minorHAnsi" w:hAnsiTheme="minorHAnsi"/>
                <w:lang w:val="fr-FR"/>
              </w:rPr>
            </w:pPr>
            <w:r w:rsidRPr="00F42CC6">
              <w:rPr>
                <w:rFonts w:asciiTheme="minorHAnsi" w:hAnsiTheme="minorHAnsi"/>
                <w:lang w:val="fr-FR"/>
              </w:rPr>
              <w:t xml:space="preserve">Voir aussi </w:t>
            </w:r>
            <w:r w:rsidR="00E92A24" w:rsidRPr="00F42CC6">
              <w:rPr>
                <w:rFonts w:asciiTheme="minorHAnsi" w:hAnsiTheme="minorHAnsi"/>
                <w:lang w:val="fr-FR"/>
              </w:rPr>
              <w:t xml:space="preserve">: </w:t>
            </w:r>
          </w:p>
          <w:p w14:paraId="0D2C9C42" w14:textId="77777777" w:rsidR="00E92A24" w:rsidRPr="00F42CC6" w:rsidRDefault="00E92A24" w:rsidP="00E92A24">
            <w:pPr>
              <w:pStyle w:val="BodyText"/>
              <w:kinsoku w:val="0"/>
              <w:overflowPunct w:val="0"/>
              <w:ind w:left="0" w:firstLine="0"/>
              <w:rPr>
                <w:rFonts w:asciiTheme="minorHAnsi" w:hAnsiTheme="minorHAnsi"/>
                <w:lang w:val="fr-FR"/>
              </w:rPr>
            </w:pPr>
          </w:p>
          <w:p w14:paraId="0373549D" w14:textId="7360A4B7" w:rsidR="00E92A24" w:rsidRPr="00F42CC6" w:rsidRDefault="00E92A24" w:rsidP="00E92A24">
            <w:pPr>
              <w:pStyle w:val="BodyText"/>
              <w:kinsoku w:val="0"/>
              <w:overflowPunct w:val="0"/>
              <w:ind w:left="0" w:firstLine="0"/>
              <w:rPr>
                <w:rFonts w:asciiTheme="minorHAnsi" w:hAnsiTheme="minorHAnsi"/>
                <w:b/>
                <w:bCs/>
                <w:lang w:val="fr-FR"/>
              </w:rPr>
            </w:pPr>
            <w:r w:rsidRPr="00F42CC6">
              <w:rPr>
                <w:rFonts w:asciiTheme="minorHAnsi" w:hAnsiTheme="minorHAnsi"/>
                <w:spacing w:val="-1"/>
                <w:lang w:val="fr-FR"/>
              </w:rPr>
              <w:t>Annex</w:t>
            </w:r>
            <w:r w:rsidR="00F42CC6" w:rsidRPr="00F42CC6">
              <w:rPr>
                <w:rFonts w:asciiTheme="minorHAnsi" w:hAnsiTheme="minorHAnsi"/>
                <w:spacing w:val="-1"/>
                <w:lang w:val="fr-FR"/>
              </w:rPr>
              <w:t>e</w:t>
            </w:r>
            <w:r w:rsidRPr="00F42CC6">
              <w:rPr>
                <w:rFonts w:asciiTheme="minorHAnsi" w:hAnsiTheme="minorHAnsi"/>
                <w:spacing w:val="-9"/>
                <w:lang w:val="fr-FR"/>
              </w:rPr>
              <w:t xml:space="preserve"> </w:t>
            </w:r>
            <w:r w:rsidRPr="00F42CC6">
              <w:rPr>
                <w:rFonts w:asciiTheme="minorHAnsi" w:hAnsiTheme="minorHAnsi"/>
                <w:lang w:val="fr-FR"/>
              </w:rPr>
              <w:t>1</w:t>
            </w:r>
          </w:p>
          <w:p w14:paraId="7A81CD32" w14:textId="7EBF1EA9" w:rsidR="00E92A24" w:rsidRPr="00F42CC6" w:rsidRDefault="00F42CC6" w:rsidP="00E92A24">
            <w:pPr>
              <w:pStyle w:val="BodyText"/>
              <w:kinsoku w:val="0"/>
              <w:overflowPunct w:val="0"/>
              <w:ind w:left="0" w:firstLine="0"/>
              <w:rPr>
                <w:rFonts w:asciiTheme="minorHAnsi" w:hAnsiTheme="minorHAnsi"/>
                <w:bCs/>
                <w:lang w:val="fr-FR"/>
              </w:rPr>
            </w:pPr>
            <w:r w:rsidRPr="00F42CC6">
              <w:rPr>
                <w:rFonts w:asciiTheme="minorHAnsi" w:hAnsiTheme="minorHAnsi"/>
                <w:bCs/>
                <w:lang w:val="fr-FR"/>
              </w:rPr>
              <w:t>Le Programme de la Convention de Ramsar relatif à la communication, au renforcement des capacités, à l’éducation, à la sensibilisation et à la participation (CESP) 2016-2024</w:t>
            </w:r>
          </w:p>
        </w:tc>
        <w:tc>
          <w:tcPr>
            <w:tcW w:w="2829" w:type="dxa"/>
          </w:tcPr>
          <w:p w14:paraId="60A9DFEA" w14:textId="77777777" w:rsidR="00E92A24" w:rsidRPr="00F42CC6" w:rsidRDefault="00E92A24" w:rsidP="00E92A24">
            <w:pPr>
              <w:rPr>
                <w:lang w:val="fr-FR"/>
              </w:rPr>
            </w:pPr>
          </w:p>
        </w:tc>
      </w:tr>
      <w:tr w:rsidR="00E92A24" w:rsidRPr="002340EA" w14:paraId="3C44C64D" w14:textId="77777777" w:rsidTr="007B7631">
        <w:tc>
          <w:tcPr>
            <w:tcW w:w="3681" w:type="dxa"/>
          </w:tcPr>
          <w:p w14:paraId="47F873A4" w14:textId="5DA063A2" w:rsidR="00E92A24" w:rsidRPr="00014AD3" w:rsidRDefault="00E92A24" w:rsidP="00E92A24">
            <w:pPr>
              <w:rPr>
                <w:bCs/>
                <w:lang w:val="fr-FR"/>
              </w:rPr>
            </w:pPr>
            <w:r w:rsidRPr="00014AD3">
              <w:rPr>
                <w:bCs/>
                <w:lang w:val="fr-FR"/>
              </w:rPr>
              <w:t xml:space="preserve">XII.11 </w:t>
            </w:r>
            <w:r w:rsidR="00014AD3" w:rsidRPr="00014AD3">
              <w:rPr>
                <w:bCs/>
                <w:lang w:val="fr-FR"/>
              </w:rPr>
              <w:t xml:space="preserve">Les tourbières, les changements climatiques et l’utilisation </w:t>
            </w:r>
            <w:r w:rsidR="00014AD3" w:rsidRPr="00014AD3">
              <w:rPr>
                <w:bCs/>
                <w:lang w:val="fr-FR"/>
              </w:rPr>
              <w:lastRenderedPageBreak/>
              <w:t xml:space="preserve">rationnelle : implications pour la Convention de Ramsar </w:t>
            </w:r>
          </w:p>
          <w:p w14:paraId="217944E7" w14:textId="77777777" w:rsidR="00E92A24" w:rsidRPr="00014AD3" w:rsidRDefault="00E92A24" w:rsidP="00E92A24">
            <w:pPr>
              <w:rPr>
                <w:lang w:val="fr-FR"/>
              </w:rPr>
            </w:pPr>
          </w:p>
        </w:tc>
        <w:tc>
          <w:tcPr>
            <w:tcW w:w="7371" w:type="dxa"/>
          </w:tcPr>
          <w:p w14:paraId="44552217" w14:textId="6B7A1802" w:rsidR="00E92A24" w:rsidRPr="00014AD3" w:rsidRDefault="00E92A24" w:rsidP="00E92A24">
            <w:pPr>
              <w:pStyle w:val="Default"/>
              <w:rPr>
                <w:rFonts w:asciiTheme="minorHAnsi" w:hAnsiTheme="minorHAnsi"/>
                <w:sz w:val="22"/>
                <w:szCs w:val="22"/>
                <w:lang w:val="fr-FR"/>
              </w:rPr>
            </w:pPr>
            <w:r w:rsidRPr="00014AD3">
              <w:rPr>
                <w:rFonts w:asciiTheme="minorHAnsi" w:hAnsiTheme="minorHAnsi"/>
                <w:sz w:val="22"/>
                <w:szCs w:val="22"/>
                <w:lang w:val="fr-FR"/>
              </w:rPr>
              <w:lastRenderedPageBreak/>
              <w:t xml:space="preserve">20 </w:t>
            </w:r>
            <w:r w:rsidR="00014AD3" w:rsidRPr="00014AD3">
              <w:rPr>
                <w:rFonts w:asciiTheme="minorHAnsi" w:hAnsiTheme="minorHAnsi"/>
                <w:sz w:val="22"/>
                <w:szCs w:val="22"/>
                <w:lang w:val="fr-FR"/>
              </w:rPr>
              <w:t xml:space="preserve">PRENANT NOTE du document de politique « </w:t>
            </w:r>
            <w:r w:rsidR="00014AD3" w:rsidRPr="00014AD3">
              <w:rPr>
                <w:rFonts w:asciiTheme="minorHAnsi" w:hAnsiTheme="minorHAnsi"/>
                <w:i/>
                <w:iCs/>
                <w:sz w:val="22"/>
                <w:szCs w:val="22"/>
                <w:lang w:val="fr-FR"/>
              </w:rPr>
              <w:t xml:space="preserve">Peatlands, climate change mitigation and biodiversity conservation </w:t>
            </w:r>
            <w:r w:rsidR="00014AD3" w:rsidRPr="00014AD3">
              <w:rPr>
                <w:rFonts w:asciiTheme="minorHAnsi" w:hAnsiTheme="minorHAnsi"/>
                <w:sz w:val="22"/>
                <w:szCs w:val="22"/>
                <w:lang w:val="fr-FR"/>
              </w:rPr>
              <w:t xml:space="preserve">» et du rapport « </w:t>
            </w:r>
            <w:r w:rsidR="00014AD3" w:rsidRPr="00014AD3">
              <w:rPr>
                <w:rFonts w:asciiTheme="minorHAnsi" w:hAnsiTheme="minorHAnsi"/>
                <w:i/>
                <w:iCs/>
                <w:sz w:val="22"/>
                <w:szCs w:val="22"/>
                <w:lang w:val="fr-FR"/>
              </w:rPr>
              <w:t xml:space="preserve">Peatlands and </w:t>
            </w:r>
            <w:r w:rsidR="00014AD3" w:rsidRPr="00014AD3">
              <w:rPr>
                <w:rFonts w:asciiTheme="minorHAnsi" w:hAnsiTheme="minorHAnsi"/>
                <w:i/>
                <w:iCs/>
                <w:sz w:val="22"/>
                <w:szCs w:val="22"/>
                <w:lang w:val="fr-FR"/>
              </w:rPr>
              <w:lastRenderedPageBreak/>
              <w:t>Climate Change in a Ramsar context – a Nordic Baltic Perspective</w:t>
            </w:r>
            <w:r w:rsidR="00014AD3" w:rsidRPr="00014AD3">
              <w:rPr>
                <w:rFonts w:asciiTheme="minorHAnsi" w:hAnsiTheme="minorHAnsi"/>
                <w:sz w:val="22"/>
                <w:szCs w:val="22"/>
                <w:lang w:val="fr-FR"/>
              </w:rPr>
              <w:t xml:space="preserve"> » élaborés par l’Initiative régionale Ramsar NorBalWet qui peuvent inspirer d’autres initiatives régionales Ramsar et les Parties, le cas échéant</w:t>
            </w:r>
            <w:r w:rsidR="00014AD3">
              <w:rPr>
                <w:rFonts w:asciiTheme="minorHAnsi" w:hAnsiTheme="minorHAnsi"/>
                <w:sz w:val="22"/>
                <w:szCs w:val="22"/>
                <w:lang w:val="fr-FR"/>
              </w:rPr>
              <w:t xml:space="preserve"> </w:t>
            </w:r>
            <w:r w:rsidRPr="00014AD3">
              <w:rPr>
                <w:rFonts w:asciiTheme="minorHAnsi" w:hAnsiTheme="minorHAnsi"/>
                <w:sz w:val="22"/>
                <w:szCs w:val="22"/>
                <w:lang w:val="fr-FR"/>
              </w:rPr>
              <w:t>;</w:t>
            </w:r>
          </w:p>
        </w:tc>
        <w:tc>
          <w:tcPr>
            <w:tcW w:w="2829" w:type="dxa"/>
          </w:tcPr>
          <w:p w14:paraId="1109B3D6" w14:textId="77777777" w:rsidR="00E92A24" w:rsidRPr="00014AD3" w:rsidRDefault="00E92A24" w:rsidP="00E92A24">
            <w:pPr>
              <w:rPr>
                <w:lang w:val="fr-FR"/>
              </w:rPr>
            </w:pPr>
          </w:p>
        </w:tc>
      </w:tr>
      <w:tr w:rsidR="00E92A24" w:rsidRPr="002340EA" w14:paraId="70C3D912" w14:textId="77777777" w:rsidTr="007B7631">
        <w:tc>
          <w:tcPr>
            <w:tcW w:w="3681" w:type="dxa"/>
          </w:tcPr>
          <w:p w14:paraId="35783C3C" w14:textId="77777777" w:rsidR="00E92A24" w:rsidRPr="00852AAC" w:rsidRDefault="00E92A24" w:rsidP="00E92A24">
            <w:pPr>
              <w:rPr>
                <w:lang w:val="fr-FR"/>
              </w:rPr>
            </w:pPr>
            <w:r w:rsidRPr="00852AAC">
              <w:rPr>
                <w:lang w:val="fr-FR"/>
              </w:rPr>
              <w:t>XII.12</w:t>
            </w:r>
          </w:p>
          <w:p w14:paraId="60AB8F7B" w14:textId="6AABC56C" w:rsidR="00E92A24" w:rsidRPr="004F5159" w:rsidRDefault="004F5159" w:rsidP="00E92A24">
            <w:pPr>
              <w:rPr>
                <w:lang w:val="fr-FR"/>
              </w:rPr>
            </w:pPr>
            <w:r w:rsidRPr="004F5159">
              <w:rPr>
                <w:lang w:val="fr-FR"/>
              </w:rPr>
              <w:t>Appel à l’action pour garantir et protéger les besoins en eau des zones humides, présents et futurs</w:t>
            </w:r>
          </w:p>
        </w:tc>
        <w:tc>
          <w:tcPr>
            <w:tcW w:w="7371" w:type="dxa"/>
          </w:tcPr>
          <w:p w14:paraId="562E7DAE" w14:textId="77777777" w:rsidR="004F5159" w:rsidRDefault="00E92A24" w:rsidP="00E92A24">
            <w:pPr>
              <w:ind w:left="34" w:firstLine="0"/>
              <w:rPr>
                <w:lang w:val="fr-FR"/>
              </w:rPr>
            </w:pPr>
            <w:r w:rsidRPr="004F5159">
              <w:rPr>
                <w:lang w:val="fr-FR"/>
              </w:rPr>
              <w:t xml:space="preserve">21 </w:t>
            </w:r>
            <w:r w:rsidR="004F5159" w:rsidRPr="004F5159">
              <w:rPr>
                <w:lang w:val="fr-FR"/>
              </w:rPr>
              <w:t>SE FÉLICITE du processus engagé au Mexique en vue de créer des réserves d’eau pour les zones humides, joint en annexe à la présente Résolution. 22.</w:t>
            </w:r>
          </w:p>
          <w:p w14:paraId="0351928C" w14:textId="77777777" w:rsidR="004F5159" w:rsidRDefault="004F5159" w:rsidP="00E92A24">
            <w:pPr>
              <w:ind w:left="34" w:firstLine="0"/>
              <w:rPr>
                <w:lang w:val="fr-FR"/>
              </w:rPr>
            </w:pPr>
          </w:p>
          <w:p w14:paraId="5D877F3D" w14:textId="4AAD3697" w:rsidR="00E92A24" w:rsidRPr="004F5159" w:rsidRDefault="004F5159" w:rsidP="00E92A24">
            <w:pPr>
              <w:ind w:left="34" w:firstLine="0"/>
              <w:rPr>
                <w:lang w:val="fr-FR"/>
              </w:rPr>
            </w:pPr>
            <w:r>
              <w:rPr>
                <w:lang w:val="fr-FR"/>
              </w:rPr>
              <w:t>22</w:t>
            </w:r>
            <w:r w:rsidRPr="004F5159">
              <w:rPr>
                <w:lang w:val="fr-FR"/>
              </w:rPr>
              <w:t xml:space="preserve"> ENCOURAGE les Parties contractantes à envisager la possibilité de s’inspirer de l’approche mexicaine, le cas échéant, afin de cerner les possibilités de prendre des mesures préventives, en adaptant le processus selon que de besoin, en fonction de la situation et du contexte nationaux et régionaux, dans le cadre des initiatives et engagements régionaux en place et du développement durable</w:t>
            </w:r>
            <w:r>
              <w:rPr>
                <w:lang w:val="fr-FR"/>
              </w:rPr>
              <w:t>.</w:t>
            </w:r>
            <w:r w:rsidR="00E92A24" w:rsidRPr="004F5159">
              <w:rPr>
                <w:lang w:val="fr-FR"/>
              </w:rPr>
              <w:t xml:space="preserve"> </w:t>
            </w:r>
          </w:p>
        </w:tc>
        <w:tc>
          <w:tcPr>
            <w:tcW w:w="2829" w:type="dxa"/>
          </w:tcPr>
          <w:p w14:paraId="32292D83" w14:textId="77777777" w:rsidR="00E92A24" w:rsidRPr="004F5159" w:rsidRDefault="00E92A24" w:rsidP="00E92A24">
            <w:pPr>
              <w:rPr>
                <w:lang w:val="fr-FR"/>
              </w:rPr>
            </w:pPr>
          </w:p>
        </w:tc>
      </w:tr>
      <w:tr w:rsidR="00E92A24" w:rsidRPr="00FD600C" w14:paraId="2A612762" w14:textId="77777777" w:rsidTr="007B7631">
        <w:tc>
          <w:tcPr>
            <w:tcW w:w="3681" w:type="dxa"/>
          </w:tcPr>
          <w:p w14:paraId="246B899E" w14:textId="77777777" w:rsidR="00E92A24" w:rsidRPr="00555960" w:rsidRDefault="00E92A24" w:rsidP="00E92A24">
            <w:pPr>
              <w:rPr>
                <w:b/>
                <w:lang w:val="en-US"/>
              </w:rPr>
            </w:pPr>
            <w:r w:rsidRPr="00555960">
              <w:rPr>
                <w:b/>
                <w:lang w:val="en-US"/>
              </w:rPr>
              <w:t>COP11</w:t>
            </w:r>
          </w:p>
        </w:tc>
        <w:tc>
          <w:tcPr>
            <w:tcW w:w="7371" w:type="dxa"/>
          </w:tcPr>
          <w:p w14:paraId="4C8B3276" w14:textId="77777777" w:rsidR="00E92A24" w:rsidRPr="00FD600C" w:rsidRDefault="00E92A24" w:rsidP="00E92A24">
            <w:pPr>
              <w:rPr>
                <w:lang w:val="en-US"/>
              </w:rPr>
            </w:pPr>
          </w:p>
        </w:tc>
        <w:tc>
          <w:tcPr>
            <w:tcW w:w="2829" w:type="dxa"/>
          </w:tcPr>
          <w:p w14:paraId="131BBE53" w14:textId="77777777" w:rsidR="00E92A24" w:rsidRPr="00FD600C" w:rsidRDefault="00E92A24" w:rsidP="00E92A24">
            <w:pPr>
              <w:rPr>
                <w:lang w:val="en-US"/>
              </w:rPr>
            </w:pPr>
          </w:p>
        </w:tc>
      </w:tr>
      <w:tr w:rsidR="00E92A24" w:rsidRPr="002340EA" w14:paraId="129A4DC2" w14:textId="77777777" w:rsidTr="007B7631">
        <w:tc>
          <w:tcPr>
            <w:tcW w:w="3681" w:type="dxa"/>
          </w:tcPr>
          <w:p w14:paraId="6C309B0A" w14:textId="12283E3C" w:rsidR="00E92A24" w:rsidRPr="005F5500" w:rsidRDefault="00E92A24" w:rsidP="00E92A24">
            <w:pPr>
              <w:rPr>
                <w:lang w:val="fr-FR"/>
              </w:rPr>
            </w:pPr>
            <w:r w:rsidRPr="005F5500">
              <w:rPr>
                <w:lang w:val="fr-FR"/>
              </w:rPr>
              <w:t xml:space="preserve">XI.6 </w:t>
            </w:r>
            <w:r w:rsidR="005F5500" w:rsidRPr="005F5500">
              <w:rPr>
                <w:lang w:val="fr-FR"/>
              </w:rPr>
              <w:t>Partenariats et synergies avec les Accords multilatéraux sur l’environnement et autres institutions</w:t>
            </w:r>
          </w:p>
          <w:p w14:paraId="1FB8B091" w14:textId="77777777" w:rsidR="00E92A24" w:rsidRPr="005F5500" w:rsidRDefault="00E92A24" w:rsidP="00E92A24">
            <w:pPr>
              <w:rPr>
                <w:lang w:val="fr-FR"/>
              </w:rPr>
            </w:pPr>
          </w:p>
        </w:tc>
        <w:tc>
          <w:tcPr>
            <w:tcW w:w="7371" w:type="dxa"/>
          </w:tcPr>
          <w:p w14:paraId="0B5A6DBD" w14:textId="50E4B971" w:rsidR="00E92A24" w:rsidRPr="005F5500" w:rsidRDefault="00E92A24" w:rsidP="00E92A24">
            <w:pPr>
              <w:pStyle w:val="NormalWeb"/>
              <w:rPr>
                <w:rFonts w:asciiTheme="minorHAnsi" w:hAnsiTheme="minorHAnsi"/>
                <w:sz w:val="22"/>
                <w:szCs w:val="22"/>
              </w:rPr>
            </w:pPr>
            <w:r w:rsidRPr="005F5500">
              <w:rPr>
                <w:rFonts w:asciiTheme="minorHAnsi" w:hAnsiTheme="minorHAnsi"/>
                <w:sz w:val="22"/>
                <w:szCs w:val="22"/>
              </w:rPr>
              <w:t>3</w:t>
            </w:r>
            <w:r w:rsidR="005F5500" w:rsidRPr="005F5500">
              <w:rPr>
                <w:rFonts w:asciiTheme="minorHAnsi" w:hAnsiTheme="minorHAnsi"/>
                <w:sz w:val="22"/>
                <w:szCs w:val="22"/>
              </w:rPr>
              <w:t>6</w:t>
            </w:r>
            <w:r w:rsidRPr="005F5500">
              <w:rPr>
                <w:rFonts w:asciiTheme="minorHAnsi" w:hAnsiTheme="minorHAnsi"/>
                <w:sz w:val="22"/>
                <w:szCs w:val="22"/>
              </w:rPr>
              <w:t xml:space="preserve"> </w:t>
            </w:r>
            <w:r w:rsidR="005F5500" w:rsidRPr="005F5500">
              <w:rPr>
                <w:rFonts w:asciiTheme="minorHAnsi" w:hAnsiTheme="minorHAnsi"/>
                <w:sz w:val="22"/>
                <w:szCs w:val="22"/>
              </w:rPr>
              <w:t>DEMANDE au Secrétariat de continuer d’examiner ses mémorandums de coopération avec d’autres accords mondiaux et régionaux sur l’environnement et autres organisations en vue de réactiver ceux qui sont le plus susceptibles d’être bénéfiques aux travaux de la Convention dans la limite du temps et des ressources disponibles, en tenant compte de l’approche et des priorités établies dans le « Cadre pour les partenariats stratégiques de la Convention de Ramsar » et ENCOURAGE EN OUTRE le Secrétariat à continuer d’établir et de renforcer les partenariats et les relations de travail avec des groupes intergouvernementaux, régionaux et infrarégionaux, notamment avec des organisations régionales et infrarégionales et en particulier avec les Initiatives régionales, dans le but de renforcer le rôle et la visibilité de la Convention dans ces régions.</w:t>
            </w:r>
          </w:p>
        </w:tc>
        <w:tc>
          <w:tcPr>
            <w:tcW w:w="2829" w:type="dxa"/>
          </w:tcPr>
          <w:p w14:paraId="2730B4F1" w14:textId="77777777" w:rsidR="00E92A24" w:rsidRPr="005F5500" w:rsidRDefault="00E92A24" w:rsidP="00E92A24">
            <w:pPr>
              <w:ind w:left="40" w:firstLine="0"/>
              <w:rPr>
                <w:lang w:val="fr-FR"/>
              </w:rPr>
            </w:pPr>
          </w:p>
        </w:tc>
      </w:tr>
      <w:tr w:rsidR="00E92A24" w:rsidRPr="002340EA" w14:paraId="713F8F4F" w14:textId="77777777" w:rsidTr="007B7631">
        <w:tc>
          <w:tcPr>
            <w:tcW w:w="3681" w:type="dxa"/>
          </w:tcPr>
          <w:p w14:paraId="44A5B48A" w14:textId="1829EADD" w:rsidR="00E92A24" w:rsidRPr="005E1D9E" w:rsidRDefault="00E92A24" w:rsidP="00E92A24">
            <w:pPr>
              <w:pStyle w:val="NormalWeb"/>
              <w:rPr>
                <w:rFonts w:asciiTheme="minorHAnsi" w:hAnsiTheme="minorHAnsi"/>
                <w:sz w:val="22"/>
                <w:szCs w:val="22"/>
              </w:rPr>
            </w:pPr>
            <w:r w:rsidRPr="005E1D9E">
              <w:rPr>
                <w:rFonts w:asciiTheme="minorHAnsi" w:hAnsiTheme="minorHAnsi"/>
                <w:sz w:val="22"/>
                <w:szCs w:val="22"/>
              </w:rPr>
              <w:t xml:space="preserve">XI.10 </w:t>
            </w:r>
            <w:r w:rsidR="005E1D9E" w:rsidRPr="005E1D9E">
              <w:rPr>
                <w:rFonts w:asciiTheme="minorHAnsi" w:hAnsiTheme="minorHAnsi"/>
                <w:sz w:val="22"/>
                <w:szCs w:val="22"/>
              </w:rPr>
              <w:t>Les zones humides et les questions relatives à l’énergie</w:t>
            </w:r>
          </w:p>
          <w:p w14:paraId="240BDA4A" w14:textId="77777777" w:rsidR="00E92A24" w:rsidRPr="005E1D9E" w:rsidRDefault="00E92A24" w:rsidP="00E92A24">
            <w:pPr>
              <w:rPr>
                <w:lang w:val="fr-FR"/>
              </w:rPr>
            </w:pPr>
          </w:p>
        </w:tc>
        <w:tc>
          <w:tcPr>
            <w:tcW w:w="7371" w:type="dxa"/>
          </w:tcPr>
          <w:p w14:paraId="75C21FA6" w14:textId="15838919" w:rsidR="00E92A24" w:rsidRPr="00324B9D" w:rsidRDefault="00E92A24" w:rsidP="00E92A24">
            <w:pPr>
              <w:ind w:left="34" w:hanging="34"/>
              <w:rPr>
                <w:lang w:val="fr-FR"/>
              </w:rPr>
            </w:pPr>
            <w:r w:rsidRPr="00324B9D">
              <w:rPr>
                <w:lang w:val="fr-FR"/>
              </w:rPr>
              <w:t xml:space="preserve">14 </w:t>
            </w:r>
            <w:r w:rsidR="00324B9D" w:rsidRPr="00324B9D">
              <w:rPr>
                <w:lang w:val="fr-FR"/>
              </w:rPr>
              <w:t xml:space="preserve">ACCUEILLE AVEC SATISFACTION les « </w:t>
            </w:r>
            <w:r w:rsidR="00324B9D" w:rsidRPr="00324B9D">
              <w:rPr>
                <w:i/>
                <w:iCs/>
                <w:lang w:val="fr-FR"/>
              </w:rPr>
              <w:t>Orientations sur les conséquences pour les zones humides des politiques, plans et activités du secteur de l’énergie</w:t>
            </w:r>
            <w:r w:rsidR="00324B9D" w:rsidRPr="00324B9D">
              <w:rPr>
                <w:lang w:val="fr-FR"/>
              </w:rPr>
              <w:t xml:space="preserve"> » annexées à la présente Résolution et INVITE les Parties contractantes à en faire usage, en les adaptant si nécessaire aux conditions et circonstances nationales, dans le cadre d’initiatives et d’engagements régionaux existants.</w:t>
            </w:r>
            <w:r w:rsidRPr="00324B9D">
              <w:rPr>
                <w:lang w:val="fr-FR"/>
              </w:rPr>
              <w:t xml:space="preserve"> </w:t>
            </w:r>
          </w:p>
          <w:p w14:paraId="33450A2F" w14:textId="77777777" w:rsidR="00E92A24" w:rsidRPr="00324B9D" w:rsidRDefault="00E92A24" w:rsidP="00E92A24">
            <w:pPr>
              <w:ind w:left="34" w:hanging="34"/>
              <w:rPr>
                <w:lang w:val="fr-FR"/>
              </w:rPr>
            </w:pPr>
          </w:p>
          <w:p w14:paraId="115D78C6" w14:textId="2146BA6C" w:rsidR="00E92A24" w:rsidRPr="00324B9D" w:rsidRDefault="00E92A24" w:rsidP="00E92A24">
            <w:pPr>
              <w:ind w:left="34" w:hanging="34"/>
              <w:rPr>
                <w:lang w:val="fr-FR"/>
              </w:rPr>
            </w:pPr>
            <w:r w:rsidRPr="00324B9D">
              <w:rPr>
                <w:lang w:val="fr-FR"/>
              </w:rPr>
              <w:t xml:space="preserve">15…… </w:t>
            </w:r>
            <w:r w:rsidR="00324B9D" w:rsidRPr="00324B9D">
              <w:rPr>
                <w:lang w:val="fr-FR"/>
              </w:rPr>
              <w:t xml:space="preserve">et DEMANDE au Secrétariat, en collaboration avec le Groupe d’évaluation scientifique et technique (GEST), le Groupe de surveillance des </w:t>
            </w:r>
            <w:r w:rsidR="00324B9D" w:rsidRPr="00324B9D">
              <w:rPr>
                <w:lang w:val="fr-FR"/>
              </w:rPr>
              <w:lastRenderedPageBreak/>
              <w:t>activités de CESP, les Initiatives régionales et les Parties contractantes, de soutenir, si les ressources le permettent, les efforts de formation et de renforcement des capacités des Parties contractantes</w:t>
            </w:r>
            <w:r w:rsidR="00324B9D">
              <w:rPr>
                <w:lang w:val="fr-FR"/>
              </w:rPr>
              <w:t>.</w:t>
            </w:r>
            <w:r w:rsidRPr="00324B9D">
              <w:rPr>
                <w:lang w:val="fr-FR"/>
              </w:rPr>
              <w:t xml:space="preserve"> </w:t>
            </w:r>
          </w:p>
        </w:tc>
        <w:tc>
          <w:tcPr>
            <w:tcW w:w="2829" w:type="dxa"/>
          </w:tcPr>
          <w:p w14:paraId="49EF027F" w14:textId="193235CF" w:rsidR="00E92A24" w:rsidRPr="009F3B0C" w:rsidRDefault="009F3B0C" w:rsidP="00E92A24">
            <w:pPr>
              <w:ind w:left="40" w:firstLine="0"/>
              <w:rPr>
                <w:lang w:val="fr-FR"/>
              </w:rPr>
            </w:pPr>
            <w:r>
              <w:rPr>
                <w:color w:val="000000" w:themeColor="text1"/>
                <w:lang w:val="fr-FR"/>
              </w:rPr>
              <w:lastRenderedPageBreak/>
              <w:t>Il n’y aurait pas eu de</w:t>
            </w:r>
            <w:r w:rsidR="00FB7376" w:rsidRPr="00FB7376">
              <w:rPr>
                <w:color w:val="000000" w:themeColor="text1"/>
                <w:lang w:val="fr-FR"/>
              </w:rPr>
              <w:t xml:space="preserve"> requête spécifique faite aux IRR concernant ce</w:t>
            </w:r>
            <w:r w:rsidR="00FB7376">
              <w:rPr>
                <w:color w:val="000000" w:themeColor="text1"/>
                <w:lang w:val="fr-FR"/>
              </w:rPr>
              <w:t xml:space="preserve">tte question. </w:t>
            </w:r>
            <w:r w:rsidR="00FB7376" w:rsidRPr="009F3B0C">
              <w:rPr>
                <w:color w:val="000000" w:themeColor="text1"/>
                <w:lang w:val="fr-FR"/>
              </w:rPr>
              <w:t xml:space="preserve">Si </w:t>
            </w:r>
            <w:r>
              <w:rPr>
                <w:color w:val="000000" w:themeColor="text1"/>
                <w:lang w:val="fr-FR"/>
              </w:rPr>
              <w:t xml:space="preserve">l’on présume que </w:t>
            </w:r>
            <w:r w:rsidR="00FB7376" w:rsidRPr="009F3B0C">
              <w:rPr>
                <w:color w:val="000000" w:themeColor="text1"/>
                <w:lang w:val="fr-FR"/>
              </w:rPr>
              <w:t>cette</w:t>
            </w:r>
            <w:r w:rsidR="00E92A24" w:rsidRPr="009F3B0C">
              <w:rPr>
                <w:color w:val="000000" w:themeColor="text1"/>
                <w:lang w:val="fr-FR"/>
              </w:rPr>
              <w:t xml:space="preserve"> </w:t>
            </w:r>
            <w:r w:rsidR="00C02F25">
              <w:rPr>
                <w:color w:val="000000" w:themeColor="text1"/>
                <w:lang w:val="fr-FR"/>
              </w:rPr>
              <w:t>R</w:t>
            </w:r>
            <w:r w:rsidR="00FB7376" w:rsidRPr="009F3B0C">
              <w:rPr>
                <w:color w:val="000000" w:themeColor="text1"/>
                <w:lang w:val="fr-FR"/>
              </w:rPr>
              <w:t>é</w:t>
            </w:r>
            <w:r w:rsidR="00E92A24" w:rsidRPr="009F3B0C">
              <w:rPr>
                <w:color w:val="000000" w:themeColor="text1"/>
                <w:lang w:val="fr-FR"/>
              </w:rPr>
              <w:t xml:space="preserve">solution </w:t>
            </w:r>
            <w:r w:rsidRPr="009F3B0C">
              <w:rPr>
                <w:color w:val="000000" w:themeColor="text1"/>
                <w:lang w:val="fr-FR"/>
              </w:rPr>
              <w:t>n’est pas limitée dans le temps au</w:t>
            </w:r>
            <w:r>
              <w:rPr>
                <w:color w:val="000000" w:themeColor="text1"/>
                <w:lang w:val="fr-FR"/>
              </w:rPr>
              <w:t xml:space="preserve"> cycle 2012-2015</w:t>
            </w:r>
            <w:r w:rsidR="00E92A24" w:rsidRPr="009F3B0C">
              <w:rPr>
                <w:color w:val="000000" w:themeColor="text1"/>
                <w:lang w:val="fr-FR"/>
              </w:rPr>
              <w:t xml:space="preserve"> (</w:t>
            </w:r>
            <w:r>
              <w:rPr>
                <w:color w:val="000000" w:themeColor="text1"/>
                <w:lang w:val="fr-FR"/>
              </w:rPr>
              <w:t>voir</w:t>
            </w:r>
            <w:r w:rsidR="00E92A24" w:rsidRPr="009F3B0C">
              <w:rPr>
                <w:color w:val="000000" w:themeColor="text1"/>
                <w:lang w:val="fr-FR"/>
              </w:rPr>
              <w:t xml:space="preserve"> XI.17, </w:t>
            </w:r>
            <w:r>
              <w:rPr>
                <w:color w:val="000000" w:themeColor="text1"/>
                <w:lang w:val="fr-FR"/>
              </w:rPr>
              <w:t>qui y fait allusion</w:t>
            </w:r>
            <w:r w:rsidR="00E92A24" w:rsidRPr="009F3B0C">
              <w:rPr>
                <w:color w:val="000000" w:themeColor="text1"/>
                <w:lang w:val="fr-FR"/>
              </w:rPr>
              <w:t xml:space="preserve">), </w:t>
            </w:r>
            <w:r>
              <w:rPr>
                <w:color w:val="000000" w:themeColor="text1"/>
                <w:lang w:val="fr-FR"/>
              </w:rPr>
              <w:t xml:space="preserve">le </w:t>
            </w:r>
            <w:r>
              <w:rPr>
                <w:color w:val="000000" w:themeColor="text1"/>
                <w:lang w:val="fr-FR"/>
              </w:rPr>
              <w:lastRenderedPageBreak/>
              <w:t>paragraphe</w:t>
            </w:r>
            <w:r w:rsidR="00E92A24" w:rsidRPr="009F3B0C">
              <w:rPr>
                <w:color w:val="000000" w:themeColor="text1"/>
                <w:lang w:val="fr-FR"/>
              </w:rPr>
              <w:t xml:space="preserve"> 15 </w:t>
            </w:r>
            <w:r>
              <w:rPr>
                <w:color w:val="000000" w:themeColor="text1"/>
                <w:lang w:val="fr-FR"/>
              </w:rPr>
              <w:t>reste en vigueur</w:t>
            </w:r>
            <w:r w:rsidR="00E92A24" w:rsidRPr="009F3B0C">
              <w:rPr>
                <w:color w:val="000000" w:themeColor="text1"/>
                <w:lang w:val="fr-FR"/>
              </w:rPr>
              <w:t>.</w:t>
            </w:r>
          </w:p>
        </w:tc>
      </w:tr>
      <w:tr w:rsidR="00E92A24" w:rsidRPr="002340EA" w14:paraId="709460EC" w14:textId="77777777" w:rsidTr="007B7631">
        <w:tc>
          <w:tcPr>
            <w:tcW w:w="3681" w:type="dxa"/>
          </w:tcPr>
          <w:p w14:paraId="2E69CD5A" w14:textId="77777777" w:rsidR="00E92A24" w:rsidRPr="00852AAC" w:rsidRDefault="00E92A24" w:rsidP="00E92A24">
            <w:pPr>
              <w:rPr>
                <w:lang w:val="fr-FR"/>
              </w:rPr>
            </w:pPr>
            <w:r w:rsidRPr="00852AAC">
              <w:rPr>
                <w:lang w:val="fr-FR"/>
              </w:rPr>
              <w:lastRenderedPageBreak/>
              <w:t xml:space="preserve">XI.11 </w:t>
            </w:r>
          </w:p>
          <w:p w14:paraId="57F68516" w14:textId="7FA5ABDE" w:rsidR="00E92A24" w:rsidRPr="00324B9D" w:rsidRDefault="00324B9D" w:rsidP="00E92A24">
            <w:pPr>
              <w:rPr>
                <w:lang w:val="fr-FR"/>
              </w:rPr>
            </w:pPr>
            <w:r w:rsidRPr="00324B9D">
              <w:rPr>
                <w:lang w:val="fr-FR"/>
              </w:rPr>
              <w:t>Principes pour la planification et la gestion des zones humides urbaines et périurbaines</w:t>
            </w:r>
          </w:p>
        </w:tc>
        <w:tc>
          <w:tcPr>
            <w:tcW w:w="7371" w:type="dxa"/>
          </w:tcPr>
          <w:p w14:paraId="275C7855" w14:textId="679AF41C" w:rsidR="00E92A24" w:rsidRPr="00324B9D" w:rsidRDefault="00E92A24" w:rsidP="00E92A24">
            <w:pPr>
              <w:pStyle w:val="NormalWeb"/>
              <w:rPr>
                <w:rFonts w:asciiTheme="minorHAnsi" w:hAnsiTheme="minorHAnsi"/>
                <w:sz w:val="22"/>
                <w:szCs w:val="22"/>
              </w:rPr>
            </w:pPr>
            <w:r w:rsidRPr="00324B9D">
              <w:rPr>
                <w:rFonts w:asciiTheme="minorHAnsi" w:hAnsiTheme="minorHAnsi"/>
                <w:sz w:val="22"/>
                <w:szCs w:val="22"/>
              </w:rPr>
              <w:t xml:space="preserve">27 </w:t>
            </w:r>
            <w:r w:rsidR="00324B9D" w:rsidRPr="00324B9D">
              <w:rPr>
                <w:rFonts w:asciiTheme="minorHAnsi" w:hAnsiTheme="minorHAnsi"/>
                <w:sz w:val="22"/>
                <w:szCs w:val="22"/>
              </w:rPr>
              <w:t>DEMANDE au Secrétariat Ramsar et au Groupe d’évaluation scientifique et technique (GEST) de renforcer les initiatives en collaboration avec ONU-Habitat et de poursuivre le développement de la collaboration avec les Initiatives régionales Ramsar, la CDB, l’ICLEI, les OIP Ramsar et autres acteurs urbains appropriés, y compris des villes individuelles, afin d’encourager les projets de sites pilotes à la fois utiles aux communautés urbaines locales et encourageant l’utilisation rationnelle des zones humides.</w:t>
            </w:r>
          </w:p>
        </w:tc>
        <w:tc>
          <w:tcPr>
            <w:tcW w:w="2829" w:type="dxa"/>
          </w:tcPr>
          <w:p w14:paraId="21811877" w14:textId="4408DDD8" w:rsidR="00E92A24" w:rsidRPr="009F3B0C" w:rsidRDefault="009F3B0C" w:rsidP="00E92A24">
            <w:pPr>
              <w:ind w:left="40" w:firstLine="0"/>
              <w:rPr>
                <w:lang w:val="fr-FR"/>
              </w:rPr>
            </w:pPr>
            <w:r w:rsidRPr="009F3B0C">
              <w:rPr>
                <w:color w:val="000000" w:themeColor="text1"/>
                <w:lang w:val="fr-FR"/>
              </w:rPr>
              <w:t>Il n’y aurait pas eu de suivi avec le</w:t>
            </w:r>
            <w:r>
              <w:rPr>
                <w:color w:val="000000" w:themeColor="text1"/>
                <w:lang w:val="fr-FR"/>
              </w:rPr>
              <w:t>s IRR sur cette question</w:t>
            </w:r>
            <w:r w:rsidR="00E92A24" w:rsidRPr="009F3B0C">
              <w:rPr>
                <w:color w:val="000000" w:themeColor="text1"/>
                <w:lang w:val="fr-FR"/>
              </w:rPr>
              <w:t xml:space="preserve">. </w:t>
            </w:r>
            <w:r w:rsidRPr="009F3B0C">
              <w:rPr>
                <w:color w:val="000000" w:themeColor="text1"/>
                <w:lang w:val="fr-FR"/>
              </w:rPr>
              <w:t xml:space="preserve">Si </w:t>
            </w:r>
            <w:r>
              <w:rPr>
                <w:color w:val="000000" w:themeColor="text1"/>
                <w:lang w:val="fr-FR"/>
              </w:rPr>
              <w:t xml:space="preserve">l’on présume que </w:t>
            </w:r>
            <w:r w:rsidRPr="009F3B0C">
              <w:rPr>
                <w:color w:val="000000" w:themeColor="text1"/>
                <w:lang w:val="fr-FR"/>
              </w:rPr>
              <w:t xml:space="preserve">cette </w:t>
            </w:r>
            <w:r w:rsidR="00C02F25">
              <w:rPr>
                <w:color w:val="000000" w:themeColor="text1"/>
                <w:lang w:val="fr-FR"/>
              </w:rPr>
              <w:t>R</w:t>
            </w:r>
            <w:r w:rsidRPr="009F3B0C">
              <w:rPr>
                <w:color w:val="000000" w:themeColor="text1"/>
                <w:lang w:val="fr-FR"/>
              </w:rPr>
              <w:t>ésolution n’est pas limitée dans le temps au</w:t>
            </w:r>
            <w:r>
              <w:rPr>
                <w:color w:val="000000" w:themeColor="text1"/>
                <w:lang w:val="fr-FR"/>
              </w:rPr>
              <w:t xml:space="preserve"> cycle 2012-2015</w:t>
            </w:r>
            <w:r w:rsidRPr="009F3B0C">
              <w:rPr>
                <w:color w:val="000000" w:themeColor="text1"/>
                <w:lang w:val="fr-FR"/>
              </w:rPr>
              <w:t xml:space="preserve"> </w:t>
            </w:r>
            <w:r w:rsidR="00E92A24" w:rsidRPr="009F3B0C">
              <w:rPr>
                <w:color w:val="000000" w:themeColor="text1"/>
                <w:lang w:val="fr-FR"/>
              </w:rPr>
              <w:t>(</w:t>
            </w:r>
            <w:r>
              <w:rPr>
                <w:color w:val="000000" w:themeColor="text1"/>
                <w:lang w:val="fr-FR"/>
              </w:rPr>
              <w:t>voir</w:t>
            </w:r>
            <w:r w:rsidRPr="009F3B0C">
              <w:rPr>
                <w:color w:val="000000" w:themeColor="text1"/>
                <w:lang w:val="fr-FR"/>
              </w:rPr>
              <w:t xml:space="preserve"> XI.17, </w:t>
            </w:r>
            <w:r>
              <w:rPr>
                <w:color w:val="000000" w:themeColor="text1"/>
                <w:lang w:val="fr-FR"/>
              </w:rPr>
              <w:t>qui y fait allusion</w:t>
            </w:r>
            <w:r w:rsidR="00E92A24" w:rsidRPr="009F3B0C">
              <w:rPr>
                <w:color w:val="000000" w:themeColor="text1"/>
                <w:lang w:val="fr-FR"/>
              </w:rPr>
              <w:t xml:space="preserve">), </w:t>
            </w:r>
            <w:r>
              <w:rPr>
                <w:color w:val="000000" w:themeColor="text1"/>
                <w:lang w:val="fr-FR"/>
              </w:rPr>
              <w:t>le paragraphe</w:t>
            </w:r>
            <w:r w:rsidR="00E92A24" w:rsidRPr="009F3B0C">
              <w:rPr>
                <w:color w:val="000000" w:themeColor="text1"/>
                <w:lang w:val="fr-FR"/>
              </w:rPr>
              <w:t xml:space="preserve"> 27 </w:t>
            </w:r>
            <w:r>
              <w:rPr>
                <w:color w:val="000000" w:themeColor="text1"/>
                <w:lang w:val="fr-FR"/>
              </w:rPr>
              <w:t>reste en vigueur</w:t>
            </w:r>
            <w:r w:rsidR="00E92A24" w:rsidRPr="009F3B0C">
              <w:rPr>
                <w:color w:val="000000" w:themeColor="text1"/>
                <w:lang w:val="fr-FR"/>
              </w:rPr>
              <w:t>.</w:t>
            </w:r>
          </w:p>
        </w:tc>
      </w:tr>
      <w:tr w:rsidR="00E92A24" w:rsidRPr="002340EA" w14:paraId="66C1E1D6" w14:textId="77777777" w:rsidTr="007B7631">
        <w:tc>
          <w:tcPr>
            <w:tcW w:w="3681" w:type="dxa"/>
          </w:tcPr>
          <w:p w14:paraId="075739D2" w14:textId="77777777" w:rsidR="00E92A24" w:rsidRPr="00852AAC" w:rsidRDefault="00E92A24" w:rsidP="00E92A24">
            <w:pPr>
              <w:rPr>
                <w:lang w:val="fr-FR"/>
              </w:rPr>
            </w:pPr>
            <w:r w:rsidRPr="00852AAC">
              <w:rPr>
                <w:lang w:val="fr-FR"/>
              </w:rPr>
              <w:t xml:space="preserve">XI.14 </w:t>
            </w:r>
          </w:p>
          <w:p w14:paraId="3851D8F9" w14:textId="29B71706" w:rsidR="00E92A24" w:rsidRPr="002748D5" w:rsidRDefault="002748D5" w:rsidP="00E92A24">
            <w:pPr>
              <w:rPr>
                <w:lang w:val="fr-FR"/>
              </w:rPr>
            </w:pPr>
            <w:r w:rsidRPr="002748D5">
              <w:rPr>
                <w:lang w:val="fr-FR"/>
              </w:rPr>
              <w:t>Les changements climatiques et les zones humides : implications pour la Convention de Ramsar sur les zones humides</w:t>
            </w:r>
          </w:p>
          <w:p w14:paraId="36FD9E53" w14:textId="77777777" w:rsidR="00E92A24" w:rsidRPr="002748D5" w:rsidRDefault="00E92A24" w:rsidP="00E92A24">
            <w:pPr>
              <w:rPr>
                <w:highlight w:val="yellow"/>
                <w:lang w:val="fr-FR"/>
              </w:rPr>
            </w:pPr>
          </w:p>
        </w:tc>
        <w:tc>
          <w:tcPr>
            <w:tcW w:w="7371" w:type="dxa"/>
          </w:tcPr>
          <w:p w14:paraId="3AAFB623" w14:textId="038B406B" w:rsidR="00E92A24" w:rsidRPr="002748D5" w:rsidRDefault="00E92A24" w:rsidP="00140161">
            <w:pPr>
              <w:pStyle w:val="NormalWeb"/>
              <w:spacing w:after="0" w:afterAutospacing="0"/>
              <w:rPr>
                <w:rFonts w:asciiTheme="minorHAnsi" w:hAnsiTheme="minorHAnsi"/>
                <w:sz w:val="22"/>
                <w:szCs w:val="22"/>
              </w:rPr>
            </w:pPr>
            <w:r w:rsidRPr="002748D5">
              <w:rPr>
                <w:rFonts w:asciiTheme="minorHAnsi" w:hAnsiTheme="minorHAnsi"/>
                <w:sz w:val="22"/>
                <w:szCs w:val="22"/>
              </w:rPr>
              <w:t xml:space="preserve">32 </w:t>
            </w:r>
            <w:r w:rsidR="002748D5" w:rsidRPr="002748D5">
              <w:rPr>
                <w:rFonts w:asciiTheme="minorHAnsi" w:hAnsiTheme="minorHAnsi"/>
                <w:sz w:val="22"/>
                <w:szCs w:val="22"/>
              </w:rPr>
              <w:t>ENCOURAGE les Parties contractantes et les organisations pertinentes à entreprendre des études sur le rôle de la conservation et/ou de la restauration des zones humides boisées et non boisées en rapport avec i) l’atténuation des changements climatiques, y compris le rôle des zones humides dans le piégeage et le stockage du carbone, les émissions de gaz à effet de serre provenant de zones humides dégradées, la prévention des émissions de gaz à effet de serre issues de l’élimination des puits de carbone des zones humides et ii) l’adaptation aux changements climatiques, y compris la régulation de l’eau aux niveaux local et régional, comme par exemple la réduction des risques d’inondation, l’approvisionnement en eau et le stockage de l’eau, et la réduction des effets de l’élévation Ramsar COP11 Résolution XI.14, page 7 du niveau de la mer et des phénomènes météorologiques extrêmes, y compris les précipitations extrêmes; et à coopérer, au sein des Initiatives régionales ou d’autres forums régionaux de coopération en vue d’élaborer et de diffuser des connaissances sur les résultats; et INVITE les Parties contractantes et d’autres organisations à mettre leurs conclusions à la disposition du Secrétariat Ramsar, du Secrétariat de la CCNUCC et d’autres organismes compétents au moyen des processus de communication de rapports existants.</w:t>
            </w:r>
          </w:p>
          <w:p w14:paraId="01EB2A58" w14:textId="62B4C233" w:rsidR="00E92A24" w:rsidRPr="002748D5" w:rsidRDefault="00E92A24" w:rsidP="00FB34A3">
            <w:pPr>
              <w:pStyle w:val="NormalWeb"/>
              <w:spacing w:after="0" w:afterAutospacing="0"/>
              <w:rPr>
                <w:rFonts w:asciiTheme="minorHAnsi" w:hAnsiTheme="minorHAnsi"/>
                <w:sz w:val="22"/>
                <w:szCs w:val="22"/>
              </w:rPr>
            </w:pPr>
            <w:r w:rsidRPr="002748D5">
              <w:rPr>
                <w:rFonts w:asciiTheme="minorHAnsi" w:hAnsiTheme="minorHAnsi"/>
                <w:sz w:val="22"/>
                <w:szCs w:val="22"/>
              </w:rPr>
              <w:lastRenderedPageBreak/>
              <w:t xml:space="preserve">35 </w:t>
            </w:r>
            <w:r w:rsidR="002748D5" w:rsidRPr="002748D5">
              <w:rPr>
                <w:rFonts w:asciiTheme="minorHAnsi" w:hAnsiTheme="minorHAnsi"/>
                <w:sz w:val="22"/>
                <w:szCs w:val="22"/>
              </w:rPr>
              <w:t>DEMANDE au Groupe d’évaluation scientifique et technique (GEST) de :</w:t>
            </w:r>
          </w:p>
          <w:p w14:paraId="35C42C57" w14:textId="77777777" w:rsidR="00E92A24" w:rsidRPr="00852AAC" w:rsidRDefault="00E92A24" w:rsidP="00FB34A3">
            <w:pPr>
              <w:pStyle w:val="NormalWeb"/>
              <w:spacing w:before="120" w:beforeAutospacing="0" w:after="120" w:afterAutospacing="0"/>
              <w:ind w:left="357"/>
              <w:rPr>
                <w:rFonts w:asciiTheme="minorHAnsi" w:hAnsiTheme="minorHAnsi"/>
                <w:sz w:val="22"/>
                <w:szCs w:val="22"/>
              </w:rPr>
            </w:pPr>
            <w:r w:rsidRPr="00852AAC">
              <w:rPr>
                <w:rFonts w:asciiTheme="minorHAnsi" w:hAnsiTheme="minorHAnsi"/>
                <w:sz w:val="22"/>
                <w:szCs w:val="22"/>
              </w:rPr>
              <w:t>…</w:t>
            </w:r>
          </w:p>
          <w:p w14:paraId="130A0A0C" w14:textId="292A6297" w:rsidR="00852AAC" w:rsidRDefault="002748D5" w:rsidP="00852AAC">
            <w:pPr>
              <w:pStyle w:val="NormalWeb"/>
              <w:ind w:left="7" w:hanging="7"/>
              <w:rPr>
                <w:rFonts w:asciiTheme="minorHAnsi" w:hAnsiTheme="minorHAnsi"/>
                <w:sz w:val="22"/>
                <w:szCs w:val="22"/>
              </w:rPr>
            </w:pPr>
            <w:r w:rsidRPr="002748D5">
              <w:rPr>
                <w:rFonts w:asciiTheme="minorHAnsi" w:hAnsiTheme="minorHAnsi"/>
                <w:sz w:val="22"/>
                <w:szCs w:val="22"/>
              </w:rPr>
              <w:t xml:space="preserve">iv) </w:t>
            </w:r>
            <w:r w:rsidR="00852AAC">
              <w:rPr>
                <w:rFonts w:asciiTheme="minorHAnsi" w:hAnsiTheme="minorHAnsi"/>
                <w:sz w:val="22"/>
                <w:szCs w:val="22"/>
              </w:rPr>
              <w:t xml:space="preserve"> </w:t>
            </w:r>
            <w:r w:rsidRPr="002748D5">
              <w:rPr>
                <w:rFonts w:asciiTheme="minorHAnsi" w:hAnsiTheme="minorHAnsi"/>
                <w:sz w:val="22"/>
                <w:szCs w:val="22"/>
              </w:rPr>
              <w:t>de concert avec le Secrétariat, les Réseaux d’Initiatives régionales et de Centres Ramsar, collaborer avec les organisations et conventions compétentes, dans le cadre de leurs mandats respectifs, pour examiner plus en détail la contribution éventuelle des écosystèmes de zones humides à l’atténuation des changements climatiques et à l’adaptation à leurs effets, notamment :</w:t>
            </w:r>
          </w:p>
          <w:p w14:paraId="656637EC" w14:textId="45A949A7" w:rsidR="00852AAC" w:rsidRDefault="002748D5" w:rsidP="00852AAC">
            <w:pPr>
              <w:pStyle w:val="NormalWeb"/>
              <w:ind w:left="290" w:hanging="290"/>
              <w:rPr>
                <w:rFonts w:asciiTheme="minorHAnsi" w:hAnsiTheme="minorHAnsi"/>
                <w:sz w:val="22"/>
                <w:szCs w:val="22"/>
              </w:rPr>
            </w:pPr>
            <w:r w:rsidRPr="002748D5">
              <w:rPr>
                <w:rFonts w:asciiTheme="minorHAnsi" w:hAnsiTheme="minorHAnsi"/>
                <w:sz w:val="22"/>
                <w:szCs w:val="22"/>
              </w:rPr>
              <w:t xml:space="preserve"> a) en préparant des avis sur l’évaluation de la résilience sociale et de la vulnérabilité des zones humides aux changements climatiques, en complément de l’avis existant sur la vulnérabilité biophysique des zones humides aux changements climatiques (Rapport technique Ramsar n°5/volume 57 des Séries techniques de la CDB)</w:t>
            </w:r>
            <w:r w:rsidR="00852AAC">
              <w:rPr>
                <w:rFonts w:asciiTheme="minorHAnsi" w:hAnsiTheme="minorHAnsi"/>
                <w:sz w:val="22"/>
                <w:szCs w:val="22"/>
              </w:rPr>
              <w:t xml:space="preserve"> </w:t>
            </w:r>
            <w:r w:rsidRPr="002748D5">
              <w:rPr>
                <w:rFonts w:asciiTheme="minorHAnsi" w:hAnsiTheme="minorHAnsi"/>
                <w:sz w:val="22"/>
                <w:szCs w:val="22"/>
              </w:rPr>
              <w:t>;</w:t>
            </w:r>
          </w:p>
          <w:p w14:paraId="0DE8458C" w14:textId="77777777" w:rsidR="00852AAC" w:rsidRDefault="002748D5" w:rsidP="00852AAC">
            <w:pPr>
              <w:pStyle w:val="NormalWeb"/>
              <w:ind w:left="290" w:hanging="290"/>
              <w:rPr>
                <w:rFonts w:asciiTheme="minorHAnsi" w:hAnsiTheme="minorHAnsi"/>
                <w:sz w:val="22"/>
                <w:szCs w:val="22"/>
              </w:rPr>
            </w:pPr>
            <w:r w:rsidRPr="002748D5">
              <w:rPr>
                <w:rFonts w:asciiTheme="minorHAnsi" w:hAnsiTheme="minorHAnsi"/>
                <w:sz w:val="22"/>
                <w:szCs w:val="22"/>
              </w:rPr>
              <w:t>b) en préparant des avis sur l’adaptation aux changements climatiques fondée sur les écosystèmes pour les zones humides intérieures et côtières</w:t>
            </w:r>
            <w:r w:rsidR="00852AAC">
              <w:rPr>
                <w:rFonts w:asciiTheme="minorHAnsi" w:hAnsiTheme="minorHAnsi"/>
                <w:sz w:val="22"/>
                <w:szCs w:val="22"/>
              </w:rPr>
              <w:t xml:space="preserve"> </w:t>
            </w:r>
            <w:r w:rsidRPr="002748D5">
              <w:rPr>
                <w:rFonts w:asciiTheme="minorHAnsi" w:hAnsiTheme="minorHAnsi"/>
                <w:sz w:val="22"/>
                <w:szCs w:val="22"/>
              </w:rPr>
              <w:t>; et</w:t>
            </w:r>
          </w:p>
          <w:p w14:paraId="1C6B9A53" w14:textId="670C291B" w:rsidR="00852AAC" w:rsidRDefault="002748D5" w:rsidP="00852AAC">
            <w:pPr>
              <w:pStyle w:val="NormalWeb"/>
              <w:ind w:left="290" w:hanging="290"/>
              <w:rPr>
                <w:rFonts w:asciiTheme="minorHAnsi" w:hAnsiTheme="minorHAnsi"/>
                <w:sz w:val="22"/>
                <w:szCs w:val="22"/>
              </w:rPr>
            </w:pPr>
            <w:r w:rsidRPr="002748D5">
              <w:rPr>
                <w:rFonts w:asciiTheme="minorHAnsi" w:hAnsiTheme="minorHAnsi"/>
                <w:sz w:val="22"/>
                <w:szCs w:val="22"/>
              </w:rPr>
              <w:t>c) en étudiant tout avis pertinent fourni par d’autres AME, en particulier les résultats de la COP11 de la CDB</w:t>
            </w:r>
            <w:r w:rsidR="00852AAC">
              <w:rPr>
                <w:rFonts w:asciiTheme="minorHAnsi" w:hAnsiTheme="minorHAnsi"/>
                <w:sz w:val="22"/>
                <w:szCs w:val="22"/>
              </w:rPr>
              <w:t xml:space="preserve"> </w:t>
            </w:r>
            <w:r w:rsidRPr="002748D5">
              <w:rPr>
                <w:rFonts w:asciiTheme="minorHAnsi" w:hAnsiTheme="minorHAnsi"/>
                <w:sz w:val="22"/>
                <w:szCs w:val="22"/>
              </w:rPr>
              <w:t>;</w:t>
            </w:r>
          </w:p>
          <w:p w14:paraId="0E329130" w14:textId="5867AD2E" w:rsidR="00E92A24" w:rsidRPr="002748D5" w:rsidRDefault="002748D5" w:rsidP="00852AAC">
            <w:pPr>
              <w:pStyle w:val="NormalWeb"/>
              <w:ind w:left="290" w:hanging="290"/>
              <w:rPr>
                <w:rFonts w:asciiTheme="minorHAnsi" w:hAnsiTheme="minorHAnsi"/>
                <w:sz w:val="22"/>
                <w:szCs w:val="22"/>
              </w:rPr>
            </w:pPr>
            <w:r w:rsidRPr="002748D5">
              <w:rPr>
                <w:rFonts w:asciiTheme="minorHAnsi" w:hAnsiTheme="minorHAnsi"/>
                <w:sz w:val="22"/>
                <w:szCs w:val="22"/>
              </w:rPr>
              <w:t xml:space="preserve"> sans préjuger de toute décision future de la CCNUCC.</w:t>
            </w:r>
          </w:p>
        </w:tc>
        <w:tc>
          <w:tcPr>
            <w:tcW w:w="2829" w:type="dxa"/>
          </w:tcPr>
          <w:p w14:paraId="44F8A4DF" w14:textId="0B836B16" w:rsidR="00E92A24" w:rsidRPr="009F3B0C" w:rsidRDefault="009F3B0C" w:rsidP="00E92A24">
            <w:pPr>
              <w:ind w:left="40" w:firstLine="0"/>
              <w:rPr>
                <w:color w:val="000000" w:themeColor="text1"/>
                <w:lang w:val="fr-FR"/>
              </w:rPr>
            </w:pPr>
            <w:r w:rsidRPr="009F3B0C">
              <w:rPr>
                <w:color w:val="000000" w:themeColor="text1"/>
                <w:lang w:val="fr-FR"/>
              </w:rPr>
              <w:lastRenderedPageBreak/>
              <w:t xml:space="preserve">Il n’y aurait </w:t>
            </w:r>
            <w:r>
              <w:rPr>
                <w:color w:val="000000" w:themeColor="text1"/>
                <w:lang w:val="fr-FR"/>
              </w:rPr>
              <w:t>pas eu de</w:t>
            </w:r>
            <w:r w:rsidRPr="00FB7376">
              <w:rPr>
                <w:color w:val="000000" w:themeColor="text1"/>
                <w:lang w:val="fr-FR"/>
              </w:rPr>
              <w:t xml:space="preserve"> requête spécifique faite aux IRR </w:t>
            </w:r>
            <w:r>
              <w:rPr>
                <w:color w:val="000000" w:themeColor="text1"/>
                <w:lang w:val="fr-FR"/>
              </w:rPr>
              <w:t>pour rendre compte des</w:t>
            </w:r>
            <w:r w:rsidRPr="00FB7376">
              <w:rPr>
                <w:color w:val="000000" w:themeColor="text1"/>
                <w:lang w:val="fr-FR"/>
              </w:rPr>
              <w:t xml:space="preserve"> </w:t>
            </w:r>
            <w:r>
              <w:rPr>
                <w:color w:val="000000" w:themeColor="text1"/>
                <w:lang w:val="fr-FR"/>
              </w:rPr>
              <w:t>questions</w:t>
            </w:r>
            <w:r w:rsidRPr="009F3B0C">
              <w:rPr>
                <w:color w:val="000000" w:themeColor="text1"/>
                <w:lang w:val="fr-FR"/>
              </w:rPr>
              <w:t xml:space="preserve"> </w:t>
            </w:r>
            <w:r>
              <w:rPr>
                <w:color w:val="000000" w:themeColor="text1"/>
                <w:lang w:val="fr-FR"/>
              </w:rPr>
              <w:t>mentionnées au paragraphe</w:t>
            </w:r>
            <w:r w:rsidR="00E92A24" w:rsidRPr="009F3B0C">
              <w:rPr>
                <w:color w:val="000000" w:themeColor="text1"/>
                <w:lang w:val="fr-FR"/>
              </w:rPr>
              <w:t xml:space="preserve"> 32. </w:t>
            </w:r>
          </w:p>
          <w:p w14:paraId="11D9CEF7" w14:textId="77777777" w:rsidR="00E92A24" w:rsidRPr="009F3B0C" w:rsidRDefault="00E92A24" w:rsidP="00E92A24">
            <w:pPr>
              <w:ind w:left="40" w:firstLine="0"/>
              <w:rPr>
                <w:color w:val="000000" w:themeColor="text1"/>
                <w:lang w:val="fr-FR"/>
              </w:rPr>
            </w:pPr>
          </w:p>
          <w:p w14:paraId="6BE585F0" w14:textId="3604236F" w:rsidR="00E92A24" w:rsidRPr="008617F9" w:rsidRDefault="008617F9" w:rsidP="00E92A24">
            <w:pPr>
              <w:ind w:left="40" w:firstLine="0"/>
              <w:rPr>
                <w:color w:val="FF0000"/>
                <w:lang w:val="fr-FR"/>
              </w:rPr>
            </w:pPr>
            <w:r w:rsidRPr="008617F9">
              <w:rPr>
                <w:color w:val="000000" w:themeColor="text1"/>
                <w:lang w:val="fr-FR"/>
              </w:rPr>
              <w:t>En</w:t>
            </w:r>
            <w:r w:rsidR="00E92A24" w:rsidRPr="008617F9">
              <w:rPr>
                <w:color w:val="000000" w:themeColor="text1"/>
                <w:lang w:val="fr-FR"/>
              </w:rPr>
              <w:t xml:space="preserve"> 2012 </w:t>
            </w:r>
            <w:r w:rsidRPr="008617F9">
              <w:rPr>
                <w:color w:val="000000" w:themeColor="text1"/>
                <w:lang w:val="fr-FR"/>
              </w:rPr>
              <w:t>le GEST aurait produit une note d’information sur les changements climatiques</w:t>
            </w:r>
            <w:r w:rsidR="00E92A24" w:rsidRPr="008617F9">
              <w:rPr>
                <w:color w:val="000000" w:themeColor="text1"/>
                <w:lang w:val="fr-FR"/>
              </w:rPr>
              <w:t xml:space="preserve"> (</w:t>
            </w:r>
            <w:r>
              <w:rPr>
                <w:color w:val="000000" w:themeColor="text1"/>
                <w:lang w:val="fr-FR"/>
              </w:rPr>
              <w:t>point</w:t>
            </w:r>
            <w:r w:rsidR="00E92A24" w:rsidRPr="008617F9">
              <w:rPr>
                <w:color w:val="000000" w:themeColor="text1"/>
                <w:lang w:val="fr-FR"/>
              </w:rPr>
              <w:t xml:space="preserve"> b), </w:t>
            </w:r>
            <w:r>
              <w:rPr>
                <w:color w:val="000000" w:themeColor="text1"/>
                <w:lang w:val="fr-FR"/>
              </w:rPr>
              <w:t>toutefois il n’y a pas eu beaucoup de progrès sur les autres points dans la période triennale</w:t>
            </w:r>
            <w:r w:rsidR="00E92A24" w:rsidRPr="008617F9">
              <w:rPr>
                <w:color w:val="000000" w:themeColor="text1"/>
                <w:lang w:val="fr-FR"/>
              </w:rPr>
              <w:t xml:space="preserve"> 2012-</w:t>
            </w:r>
            <w:r>
              <w:rPr>
                <w:color w:val="000000" w:themeColor="text1"/>
                <w:lang w:val="fr-FR"/>
              </w:rPr>
              <w:t>20</w:t>
            </w:r>
            <w:r w:rsidR="00E92A24" w:rsidRPr="008617F9">
              <w:rPr>
                <w:color w:val="000000" w:themeColor="text1"/>
                <w:lang w:val="fr-FR"/>
              </w:rPr>
              <w:t xml:space="preserve">15. </w:t>
            </w:r>
          </w:p>
          <w:p w14:paraId="5F502878" w14:textId="77777777" w:rsidR="00E92A24" w:rsidRPr="008617F9" w:rsidRDefault="00E92A24" w:rsidP="00E92A24">
            <w:pPr>
              <w:ind w:left="40" w:firstLine="0"/>
              <w:rPr>
                <w:color w:val="FF0000"/>
                <w:lang w:val="fr-FR"/>
              </w:rPr>
            </w:pPr>
          </w:p>
          <w:p w14:paraId="212D6D2B" w14:textId="0B533599" w:rsidR="00E92A24" w:rsidRPr="009F3B0C" w:rsidRDefault="009F3B0C" w:rsidP="00E92A24">
            <w:pPr>
              <w:ind w:left="40" w:firstLine="0"/>
              <w:rPr>
                <w:lang w:val="fr-FR"/>
              </w:rPr>
            </w:pPr>
            <w:r w:rsidRPr="009F3B0C">
              <w:rPr>
                <w:color w:val="000000" w:themeColor="text1"/>
                <w:lang w:val="fr-FR"/>
              </w:rPr>
              <w:t xml:space="preserve">Si </w:t>
            </w:r>
            <w:r>
              <w:rPr>
                <w:color w:val="000000" w:themeColor="text1"/>
                <w:lang w:val="fr-FR"/>
              </w:rPr>
              <w:t xml:space="preserve">l’on présume que </w:t>
            </w:r>
            <w:r w:rsidRPr="009F3B0C">
              <w:rPr>
                <w:color w:val="000000" w:themeColor="text1"/>
                <w:lang w:val="fr-FR"/>
              </w:rPr>
              <w:t xml:space="preserve">cette </w:t>
            </w:r>
            <w:r w:rsidR="00C02F25">
              <w:rPr>
                <w:color w:val="000000" w:themeColor="text1"/>
                <w:lang w:val="fr-FR"/>
              </w:rPr>
              <w:t>R</w:t>
            </w:r>
            <w:r w:rsidRPr="009F3B0C">
              <w:rPr>
                <w:color w:val="000000" w:themeColor="text1"/>
                <w:lang w:val="fr-FR"/>
              </w:rPr>
              <w:t>ésolution n’est pas limitée dans le temps au</w:t>
            </w:r>
            <w:r>
              <w:rPr>
                <w:color w:val="000000" w:themeColor="text1"/>
                <w:lang w:val="fr-FR"/>
              </w:rPr>
              <w:t xml:space="preserve"> cycle 2012-2015</w:t>
            </w:r>
            <w:r w:rsidRPr="009F3B0C">
              <w:rPr>
                <w:color w:val="000000" w:themeColor="text1"/>
                <w:lang w:val="fr-FR"/>
              </w:rPr>
              <w:t xml:space="preserve"> (</w:t>
            </w:r>
            <w:r>
              <w:rPr>
                <w:color w:val="000000" w:themeColor="text1"/>
                <w:lang w:val="fr-FR"/>
              </w:rPr>
              <w:t>voir</w:t>
            </w:r>
            <w:r w:rsidRPr="009F3B0C">
              <w:rPr>
                <w:color w:val="000000" w:themeColor="text1"/>
                <w:lang w:val="fr-FR"/>
              </w:rPr>
              <w:t xml:space="preserve"> </w:t>
            </w:r>
            <w:r w:rsidR="00E92A24" w:rsidRPr="009F3B0C">
              <w:rPr>
                <w:color w:val="000000" w:themeColor="text1"/>
                <w:lang w:val="fr-FR"/>
              </w:rPr>
              <w:t xml:space="preserve">XI.17, </w:t>
            </w:r>
            <w:r>
              <w:rPr>
                <w:color w:val="000000" w:themeColor="text1"/>
                <w:lang w:val="fr-FR"/>
              </w:rPr>
              <w:t xml:space="preserve">qui y fait </w:t>
            </w:r>
            <w:r>
              <w:rPr>
                <w:color w:val="000000" w:themeColor="text1"/>
                <w:lang w:val="fr-FR"/>
              </w:rPr>
              <w:lastRenderedPageBreak/>
              <w:t>allusion</w:t>
            </w:r>
            <w:r w:rsidRPr="009F3B0C">
              <w:rPr>
                <w:color w:val="000000" w:themeColor="text1"/>
                <w:lang w:val="fr-FR"/>
              </w:rPr>
              <w:t xml:space="preserve">), </w:t>
            </w:r>
            <w:r>
              <w:rPr>
                <w:color w:val="000000" w:themeColor="text1"/>
                <w:lang w:val="fr-FR"/>
              </w:rPr>
              <w:t>les paragraphes</w:t>
            </w:r>
            <w:r w:rsidRPr="009F3B0C">
              <w:rPr>
                <w:color w:val="000000" w:themeColor="text1"/>
                <w:lang w:val="fr-FR"/>
              </w:rPr>
              <w:t xml:space="preserve"> </w:t>
            </w:r>
            <w:r w:rsidR="00E92A24" w:rsidRPr="009F3B0C">
              <w:rPr>
                <w:color w:val="000000" w:themeColor="text1"/>
                <w:lang w:val="fr-FR"/>
              </w:rPr>
              <w:t xml:space="preserve">32 </w:t>
            </w:r>
            <w:r>
              <w:rPr>
                <w:color w:val="000000" w:themeColor="text1"/>
                <w:lang w:val="fr-FR"/>
              </w:rPr>
              <w:t>et</w:t>
            </w:r>
            <w:r w:rsidR="00E92A24" w:rsidRPr="009F3B0C">
              <w:rPr>
                <w:color w:val="000000" w:themeColor="text1"/>
                <w:lang w:val="fr-FR"/>
              </w:rPr>
              <w:t xml:space="preserve"> 35 </w:t>
            </w:r>
            <w:r>
              <w:rPr>
                <w:color w:val="000000" w:themeColor="text1"/>
                <w:lang w:val="fr-FR"/>
              </w:rPr>
              <w:t>restent en vigueur</w:t>
            </w:r>
            <w:r w:rsidR="00E92A24" w:rsidRPr="009F3B0C">
              <w:rPr>
                <w:color w:val="000000" w:themeColor="text1"/>
                <w:lang w:val="fr-FR"/>
              </w:rPr>
              <w:t>.</w:t>
            </w:r>
          </w:p>
        </w:tc>
      </w:tr>
      <w:tr w:rsidR="00E92A24" w:rsidRPr="00541E22" w14:paraId="794DDB1E" w14:textId="77777777" w:rsidTr="007B7631">
        <w:tc>
          <w:tcPr>
            <w:tcW w:w="3681" w:type="dxa"/>
          </w:tcPr>
          <w:p w14:paraId="3701B911" w14:textId="77777777" w:rsidR="00E92A24" w:rsidRPr="005231E5" w:rsidRDefault="00E92A24" w:rsidP="00E92A24">
            <w:pPr>
              <w:rPr>
                <w:b/>
                <w:lang w:val="en-US"/>
              </w:rPr>
            </w:pPr>
            <w:r w:rsidRPr="005231E5">
              <w:rPr>
                <w:b/>
                <w:lang w:val="en-US"/>
              </w:rPr>
              <w:lastRenderedPageBreak/>
              <w:t>COP</w:t>
            </w:r>
            <w:r>
              <w:rPr>
                <w:b/>
                <w:lang w:val="en-US"/>
              </w:rPr>
              <w:t>10</w:t>
            </w:r>
          </w:p>
        </w:tc>
        <w:tc>
          <w:tcPr>
            <w:tcW w:w="7371" w:type="dxa"/>
          </w:tcPr>
          <w:p w14:paraId="58259159" w14:textId="77777777" w:rsidR="00E92A24" w:rsidRPr="000D2FEB" w:rsidRDefault="00E92A24" w:rsidP="00E92A24">
            <w:pPr>
              <w:pStyle w:val="NormalWeb"/>
              <w:rPr>
                <w:rFonts w:asciiTheme="minorHAnsi" w:hAnsiTheme="minorHAnsi"/>
                <w:sz w:val="22"/>
                <w:szCs w:val="22"/>
                <w:lang w:val="en-US"/>
              </w:rPr>
            </w:pPr>
          </w:p>
        </w:tc>
        <w:tc>
          <w:tcPr>
            <w:tcW w:w="2829" w:type="dxa"/>
          </w:tcPr>
          <w:p w14:paraId="3445EACF" w14:textId="77777777" w:rsidR="00E92A24" w:rsidRDefault="00E92A24" w:rsidP="00E92A24">
            <w:pPr>
              <w:rPr>
                <w:lang w:val="en-US"/>
              </w:rPr>
            </w:pPr>
          </w:p>
        </w:tc>
      </w:tr>
      <w:tr w:rsidR="00E92A24" w:rsidRPr="002340EA" w14:paraId="38B48D56" w14:textId="77777777" w:rsidTr="007B7631">
        <w:tc>
          <w:tcPr>
            <w:tcW w:w="3681" w:type="dxa"/>
          </w:tcPr>
          <w:p w14:paraId="23EFD7BF" w14:textId="77777777" w:rsidR="00FB34A3" w:rsidRDefault="00E92A24" w:rsidP="006E5FA8">
            <w:pPr>
              <w:rPr>
                <w:bCs/>
                <w:lang w:val="fr-FR"/>
              </w:rPr>
            </w:pPr>
            <w:r w:rsidRPr="00EE3230">
              <w:rPr>
                <w:bCs/>
                <w:lang w:val="fr-FR"/>
              </w:rPr>
              <w:t>X.3</w:t>
            </w:r>
          </w:p>
          <w:p w14:paraId="3ADBF886" w14:textId="11311B45" w:rsidR="00E92A24" w:rsidRPr="006E5FA8" w:rsidRDefault="00EE3230" w:rsidP="006E5FA8">
            <w:pPr>
              <w:rPr>
                <w:lang w:val="fr-FR"/>
              </w:rPr>
            </w:pPr>
            <w:r w:rsidRPr="006E5FA8">
              <w:rPr>
                <w:bCs/>
                <w:lang w:val="fr-FR"/>
              </w:rPr>
              <w:t>La Déclaration de Changwon sur le bien-être humain et les zones</w:t>
            </w:r>
            <w:r w:rsidR="006E5FA8">
              <w:rPr>
                <w:bCs/>
                <w:lang w:val="fr-FR"/>
              </w:rPr>
              <w:t xml:space="preserve"> </w:t>
            </w:r>
            <w:r w:rsidRPr="006E5FA8">
              <w:rPr>
                <w:bCs/>
                <w:lang w:val="fr-FR"/>
              </w:rPr>
              <w:t>humides</w:t>
            </w:r>
          </w:p>
          <w:p w14:paraId="23D9F271" w14:textId="77777777" w:rsidR="00E92A24" w:rsidRPr="006E5FA8" w:rsidRDefault="00E92A24" w:rsidP="00E92A24">
            <w:pPr>
              <w:rPr>
                <w:lang w:val="fr-FR"/>
              </w:rPr>
            </w:pPr>
          </w:p>
        </w:tc>
        <w:tc>
          <w:tcPr>
            <w:tcW w:w="7371" w:type="dxa"/>
          </w:tcPr>
          <w:p w14:paraId="7B3690A5" w14:textId="75C6F35B" w:rsidR="00E92A24" w:rsidRPr="00EE3230" w:rsidRDefault="00E92A24" w:rsidP="00E92A24">
            <w:pPr>
              <w:pStyle w:val="NormalWeb"/>
              <w:rPr>
                <w:rFonts w:asciiTheme="minorHAnsi" w:hAnsiTheme="minorHAnsi"/>
                <w:sz w:val="22"/>
                <w:szCs w:val="22"/>
              </w:rPr>
            </w:pPr>
            <w:r w:rsidRPr="00EE3230">
              <w:rPr>
                <w:rFonts w:asciiTheme="minorHAnsi" w:hAnsiTheme="minorHAnsi"/>
                <w:sz w:val="22"/>
                <w:szCs w:val="22"/>
              </w:rPr>
              <w:t xml:space="preserve">14 </w:t>
            </w:r>
            <w:r w:rsidR="00EE3230" w:rsidRPr="00EE3230">
              <w:rPr>
                <w:rFonts w:asciiTheme="minorHAnsi" w:hAnsiTheme="minorHAnsi"/>
                <w:sz w:val="22"/>
                <w:szCs w:val="22"/>
              </w:rPr>
              <w:t xml:space="preserve">PRIE ENFIN INSTAMMENT le Comité permanent, le GEST, le Secrétariat Ramsar, les Correspondants nationaux CESP, les Initiatives régionales fonctionnant dans le cadre de la Convention, les Organisations internationales partenaires (OIP), entre autres, non seulement d’utiliser la « Déclaration de Changwon » dans leurs travaux futurs et dans l’établissement de leurs priorités, mais aussi de saisir personnellement toutes les occasions de promouvoir activement la Déclaration. </w:t>
            </w:r>
            <w:r w:rsidRPr="00EE3230">
              <w:rPr>
                <w:rFonts w:asciiTheme="minorHAnsi" w:hAnsiTheme="minorHAnsi"/>
                <w:sz w:val="22"/>
                <w:szCs w:val="22"/>
              </w:rPr>
              <w:t xml:space="preserve"> </w:t>
            </w:r>
          </w:p>
        </w:tc>
        <w:tc>
          <w:tcPr>
            <w:tcW w:w="2829" w:type="dxa"/>
          </w:tcPr>
          <w:p w14:paraId="77580199" w14:textId="77777777" w:rsidR="00E92A24" w:rsidRPr="00EE3230" w:rsidRDefault="00E92A24" w:rsidP="00E92A24">
            <w:pPr>
              <w:rPr>
                <w:lang w:val="fr-FR"/>
              </w:rPr>
            </w:pPr>
          </w:p>
          <w:p w14:paraId="06424DEF" w14:textId="77777777" w:rsidR="00E92A24" w:rsidRPr="00EE3230" w:rsidRDefault="00E92A24" w:rsidP="00E92A24">
            <w:pPr>
              <w:rPr>
                <w:lang w:val="fr-FR"/>
              </w:rPr>
            </w:pPr>
          </w:p>
        </w:tc>
      </w:tr>
      <w:tr w:rsidR="00E92A24" w:rsidRPr="002340EA" w14:paraId="27023B7C" w14:textId="77777777" w:rsidTr="007B7631">
        <w:tc>
          <w:tcPr>
            <w:tcW w:w="3681" w:type="dxa"/>
          </w:tcPr>
          <w:p w14:paraId="019EE8F9" w14:textId="18DE56BA" w:rsidR="00E92A24" w:rsidRPr="00EE3230" w:rsidRDefault="00E92A24" w:rsidP="00E92A24">
            <w:pPr>
              <w:rPr>
                <w:bCs/>
                <w:lang w:val="fr-FR"/>
              </w:rPr>
            </w:pPr>
            <w:r w:rsidRPr="00EE3230">
              <w:rPr>
                <w:bCs/>
                <w:lang w:val="fr-FR"/>
              </w:rPr>
              <w:t xml:space="preserve">X.15 </w:t>
            </w:r>
            <w:r w:rsidR="00EE3230" w:rsidRPr="00EE3230">
              <w:rPr>
                <w:bCs/>
                <w:lang w:val="fr-FR"/>
              </w:rPr>
              <w:t xml:space="preserve">Description des caractéristiques </w:t>
            </w:r>
            <w:r w:rsidR="00EE3230" w:rsidRPr="00EE3230">
              <w:rPr>
                <w:bCs/>
                <w:lang w:val="fr-FR"/>
              </w:rPr>
              <w:lastRenderedPageBreak/>
              <w:t>écologiques des zones humides, et besoins et présentation des données pour un inventaire de base : orientations scientifiques et techniques</w:t>
            </w:r>
          </w:p>
          <w:p w14:paraId="485C4BEF" w14:textId="77777777" w:rsidR="00E92A24" w:rsidRPr="00EE3230" w:rsidRDefault="00E92A24" w:rsidP="00E92A24">
            <w:pPr>
              <w:rPr>
                <w:lang w:val="fr-FR"/>
              </w:rPr>
            </w:pPr>
          </w:p>
        </w:tc>
        <w:tc>
          <w:tcPr>
            <w:tcW w:w="7371" w:type="dxa"/>
          </w:tcPr>
          <w:p w14:paraId="17D9E180" w14:textId="2296A40B" w:rsidR="00E92A24" w:rsidRPr="00EE3230" w:rsidRDefault="00E92A24" w:rsidP="00E92A24">
            <w:pPr>
              <w:pStyle w:val="NormalWeb"/>
              <w:rPr>
                <w:rFonts w:asciiTheme="minorHAnsi" w:hAnsiTheme="minorHAnsi"/>
                <w:sz w:val="22"/>
                <w:szCs w:val="22"/>
              </w:rPr>
            </w:pPr>
            <w:r w:rsidRPr="00EE3230">
              <w:rPr>
                <w:rFonts w:asciiTheme="minorHAnsi" w:hAnsiTheme="minorHAnsi"/>
                <w:sz w:val="22"/>
                <w:szCs w:val="22"/>
              </w:rPr>
              <w:lastRenderedPageBreak/>
              <w:t xml:space="preserve">4 </w:t>
            </w:r>
            <w:r w:rsidR="00EE3230" w:rsidRPr="00EE3230">
              <w:rPr>
                <w:rFonts w:asciiTheme="minorHAnsi" w:hAnsiTheme="minorHAnsi"/>
                <w:sz w:val="22"/>
                <w:szCs w:val="22"/>
              </w:rPr>
              <w:t xml:space="preserve">ACCUEILLE FAVORABLEMENT les orientations sur la « Description des </w:t>
            </w:r>
            <w:r w:rsidR="00EE3230" w:rsidRPr="00EE3230">
              <w:rPr>
                <w:rFonts w:asciiTheme="minorHAnsi" w:hAnsiTheme="minorHAnsi"/>
                <w:sz w:val="22"/>
                <w:szCs w:val="22"/>
              </w:rPr>
              <w:lastRenderedPageBreak/>
              <w:t>caractéristiques écologiques des zones humides, et besoins et présentation des données pour un inventaire de base » qui figurent en annexe à la présente Résolution et PRIE INSTAMMENT les Parties contractantes d’en faire bon usage, s’il y a lieu, en les adaptant aux conditions et circonstances nationales, dans le cadre d’initiatives et d’engagements régionaux existants et dans le contexte du développement durable.</w:t>
            </w:r>
          </w:p>
        </w:tc>
        <w:tc>
          <w:tcPr>
            <w:tcW w:w="2829" w:type="dxa"/>
          </w:tcPr>
          <w:p w14:paraId="1CACA9FE" w14:textId="42C5BE38" w:rsidR="00E92A24" w:rsidRPr="00477DF3" w:rsidRDefault="00477DF3" w:rsidP="00E92A24">
            <w:pPr>
              <w:ind w:left="40" w:firstLine="0"/>
              <w:rPr>
                <w:lang w:val="fr-FR"/>
              </w:rPr>
            </w:pPr>
            <w:r w:rsidRPr="00477DF3">
              <w:rPr>
                <w:color w:val="000000" w:themeColor="text1"/>
                <w:lang w:val="fr-FR"/>
              </w:rPr>
              <w:lastRenderedPageBreak/>
              <w:t xml:space="preserve">Il n’y aurait pas eu de suivi </w:t>
            </w:r>
            <w:r w:rsidRPr="00477DF3">
              <w:rPr>
                <w:color w:val="000000" w:themeColor="text1"/>
                <w:lang w:val="fr-FR"/>
              </w:rPr>
              <w:lastRenderedPageBreak/>
              <w:t xml:space="preserve">pour </w:t>
            </w:r>
            <w:r>
              <w:rPr>
                <w:color w:val="000000" w:themeColor="text1"/>
                <w:lang w:val="fr-FR"/>
              </w:rPr>
              <w:t>savoir si les IRR utilisent ce do</w:t>
            </w:r>
            <w:r w:rsidR="00E92A24" w:rsidRPr="00477DF3">
              <w:rPr>
                <w:color w:val="000000" w:themeColor="text1"/>
                <w:lang w:val="fr-FR"/>
              </w:rPr>
              <w:t>cument</w:t>
            </w:r>
            <w:r>
              <w:rPr>
                <w:color w:val="000000" w:themeColor="text1"/>
                <w:lang w:val="fr-FR"/>
              </w:rPr>
              <w:t xml:space="preserve"> d’orientation</w:t>
            </w:r>
            <w:r w:rsidR="00E92A24" w:rsidRPr="00477DF3">
              <w:rPr>
                <w:color w:val="000000" w:themeColor="text1"/>
                <w:lang w:val="fr-FR"/>
              </w:rPr>
              <w:t xml:space="preserve">. </w:t>
            </w:r>
          </w:p>
        </w:tc>
      </w:tr>
      <w:tr w:rsidR="00E92A24" w:rsidRPr="002340EA" w14:paraId="36A6055E" w14:textId="77777777" w:rsidTr="007B7631">
        <w:tc>
          <w:tcPr>
            <w:tcW w:w="3681" w:type="dxa"/>
          </w:tcPr>
          <w:p w14:paraId="1BB0BF18" w14:textId="74A3C30A" w:rsidR="00E92A24" w:rsidRPr="00EE3230" w:rsidRDefault="00E92A24" w:rsidP="00E92A24">
            <w:pPr>
              <w:rPr>
                <w:bCs/>
                <w:lang w:val="fr-FR"/>
              </w:rPr>
            </w:pPr>
            <w:r w:rsidRPr="00EE3230">
              <w:rPr>
                <w:bCs/>
                <w:lang w:val="fr-FR"/>
              </w:rPr>
              <w:lastRenderedPageBreak/>
              <w:t xml:space="preserve">X.17 </w:t>
            </w:r>
            <w:r w:rsidR="00EE3230" w:rsidRPr="00EE3230">
              <w:rPr>
                <w:bCs/>
                <w:lang w:val="fr-FR"/>
              </w:rPr>
              <w:t>Étude d’impact sur l’environnement et évaluation environnementale stratégique : orientations scientifiques et techniques actualisées</w:t>
            </w:r>
          </w:p>
          <w:p w14:paraId="669FB44A" w14:textId="77777777" w:rsidR="00E92A24" w:rsidRPr="00EE3230" w:rsidRDefault="00E92A24" w:rsidP="00E92A24">
            <w:pPr>
              <w:rPr>
                <w:lang w:val="fr-FR"/>
              </w:rPr>
            </w:pPr>
          </w:p>
        </w:tc>
        <w:tc>
          <w:tcPr>
            <w:tcW w:w="7371" w:type="dxa"/>
          </w:tcPr>
          <w:p w14:paraId="17D45A0B" w14:textId="584B3089" w:rsidR="00E92A24" w:rsidRPr="00EE3230" w:rsidRDefault="00E92A24" w:rsidP="00E92A24">
            <w:pPr>
              <w:pStyle w:val="NormalWeb"/>
              <w:rPr>
                <w:rFonts w:asciiTheme="minorHAnsi" w:hAnsiTheme="minorHAnsi"/>
                <w:sz w:val="22"/>
                <w:szCs w:val="22"/>
              </w:rPr>
            </w:pPr>
            <w:r w:rsidRPr="00EE3230">
              <w:rPr>
                <w:rFonts w:asciiTheme="minorHAnsi" w:hAnsiTheme="minorHAnsi"/>
                <w:sz w:val="22"/>
                <w:szCs w:val="22"/>
              </w:rPr>
              <w:t xml:space="preserve">8 </w:t>
            </w:r>
            <w:r w:rsidR="00EE3230" w:rsidRPr="00EE3230">
              <w:rPr>
                <w:rFonts w:asciiTheme="minorHAnsi" w:hAnsiTheme="minorHAnsi"/>
                <w:sz w:val="22"/>
                <w:szCs w:val="22"/>
              </w:rPr>
              <w:t>ACCUEILLE FAVORABLEMENT les Lignes directrices relatives à l’évaluation d’impact sur l’environnement tenant compte de la diversité biologique qui figurent en annexe à la présente Résolution et INVITE les Parties contractantes de faire bon usage de ces lignes directrices, selon les besoins, y compris dans le cadre d’initiatives et d’engagements régionaux existants et dans le contexte du développement durable sans préjudice des pratiques déjà établies par les Parties.</w:t>
            </w:r>
          </w:p>
        </w:tc>
        <w:tc>
          <w:tcPr>
            <w:tcW w:w="2829" w:type="dxa"/>
          </w:tcPr>
          <w:p w14:paraId="488F25B2" w14:textId="173F5F0F" w:rsidR="00E92A24" w:rsidRPr="0017080F" w:rsidRDefault="0017080F" w:rsidP="00E92A24">
            <w:pPr>
              <w:ind w:left="40" w:firstLine="0"/>
              <w:rPr>
                <w:lang w:val="fr-FR"/>
              </w:rPr>
            </w:pPr>
            <w:r w:rsidRPr="00477DF3">
              <w:rPr>
                <w:color w:val="000000" w:themeColor="text1"/>
                <w:lang w:val="fr-FR"/>
              </w:rPr>
              <w:t xml:space="preserve">Il n’y aurait pas eu de suivi pour </w:t>
            </w:r>
            <w:r>
              <w:rPr>
                <w:color w:val="000000" w:themeColor="text1"/>
                <w:lang w:val="fr-FR"/>
              </w:rPr>
              <w:t>savoir si les IRR utilisent ce do</w:t>
            </w:r>
            <w:r w:rsidRPr="00477DF3">
              <w:rPr>
                <w:color w:val="000000" w:themeColor="text1"/>
                <w:lang w:val="fr-FR"/>
              </w:rPr>
              <w:t>cument</w:t>
            </w:r>
            <w:r>
              <w:rPr>
                <w:color w:val="000000" w:themeColor="text1"/>
                <w:lang w:val="fr-FR"/>
              </w:rPr>
              <w:t xml:space="preserve"> d’orientation</w:t>
            </w:r>
            <w:r w:rsidRPr="00477DF3">
              <w:rPr>
                <w:color w:val="000000" w:themeColor="text1"/>
                <w:lang w:val="fr-FR"/>
              </w:rPr>
              <w:t>.</w:t>
            </w:r>
            <w:r w:rsidR="00E92A24" w:rsidRPr="0017080F">
              <w:rPr>
                <w:color w:val="000000" w:themeColor="text1"/>
                <w:lang w:val="fr-FR"/>
              </w:rPr>
              <w:t xml:space="preserve"> </w:t>
            </w:r>
          </w:p>
        </w:tc>
      </w:tr>
      <w:tr w:rsidR="00E92A24" w:rsidRPr="002340EA" w14:paraId="23592D20" w14:textId="77777777" w:rsidTr="007B7631">
        <w:tc>
          <w:tcPr>
            <w:tcW w:w="3681" w:type="dxa"/>
          </w:tcPr>
          <w:p w14:paraId="1A28A99D" w14:textId="683BA958" w:rsidR="00E92A24" w:rsidRPr="00E6069F" w:rsidRDefault="00E92A24" w:rsidP="00E92A24">
            <w:pPr>
              <w:rPr>
                <w:bCs/>
                <w:lang w:val="fr-FR"/>
              </w:rPr>
            </w:pPr>
            <w:r w:rsidRPr="00E6069F">
              <w:rPr>
                <w:bCs/>
                <w:lang w:val="fr-FR"/>
              </w:rPr>
              <w:t xml:space="preserve">X.19 </w:t>
            </w:r>
            <w:r w:rsidR="00E6069F" w:rsidRPr="00E6069F">
              <w:rPr>
                <w:bCs/>
                <w:lang w:val="fr-FR"/>
              </w:rPr>
              <w:t>Les zones humides et la gestion des bassins hydrographiques : orientations scientifiques et techniques regroupées</w:t>
            </w:r>
          </w:p>
          <w:p w14:paraId="24FFA3EF" w14:textId="77777777" w:rsidR="00E92A24" w:rsidRPr="00E6069F" w:rsidRDefault="00E92A24" w:rsidP="00E92A24">
            <w:pPr>
              <w:rPr>
                <w:lang w:val="fr-FR"/>
              </w:rPr>
            </w:pPr>
          </w:p>
        </w:tc>
        <w:tc>
          <w:tcPr>
            <w:tcW w:w="7371" w:type="dxa"/>
          </w:tcPr>
          <w:p w14:paraId="7E40CEA1" w14:textId="1E95B9E4" w:rsidR="00E92A24" w:rsidRPr="00E6069F" w:rsidRDefault="00E92A24" w:rsidP="00E92A24">
            <w:pPr>
              <w:pStyle w:val="NormalWeb"/>
              <w:rPr>
                <w:rFonts w:asciiTheme="minorHAnsi" w:hAnsiTheme="minorHAnsi"/>
                <w:sz w:val="22"/>
                <w:szCs w:val="22"/>
              </w:rPr>
            </w:pPr>
            <w:r w:rsidRPr="00E6069F">
              <w:rPr>
                <w:rFonts w:asciiTheme="minorHAnsi" w:hAnsiTheme="minorHAnsi"/>
                <w:sz w:val="22"/>
                <w:szCs w:val="22"/>
              </w:rPr>
              <w:t xml:space="preserve">5 </w:t>
            </w:r>
            <w:r w:rsidR="00E6069F" w:rsidRPr="00E6069F">
              <w:rPr>
                <w:rFonts w:asciiTheme="minorHAnsi" w:hAnsiTheme="minorHAnsi"/>
                <w:sz w:val="22"/>
                <w:szCs w:val="22"/>
              </w:rPr>
              <w:t>PREND NOTE des « Orientations regroupées pour intégrer la conservation et l’utilisation rationnelle des zones humides dans la gestion des bassins hydrographiques » jointes en annexe à la présente Résolution et INVITE les Parties contractantes à en faire bon usage s’il y a lieu, en les adaptant au besoin pour tenir compte des conditions et circonstances nationales, dans le cadre d’initiatives et d’engagements régionaux existants, dans le contexte du développement durable et conformément aux institutions et cadres juridiques nationaux.</w:t>
            </w:r>
          </w:p>
        </w:tc>
        <w:tc>
          <w:tcPr>
            <w:tcW w:w="2829" w:type="dxa"/>
          </w:tcPr>
          <w:p w14:paraId="1743E948" w14:textId="56F7B57B" w:rsidR="00E92A24" w:rsidRPr="0017080F" w:rsidRDefault="0017080F" w:rsidP="00E92A24">
            <w:pPr>
              <w:ind w:left="40" w:firstLine="0"/>
              <w:rPr>
                <w:lang w:val="fr-FR"/>
              </w:rPr>
            </w:pPr>
            <w:r w:rsidRPr="00477DF3">
              <w:rPr>
                <w:color w:val="000000" w:themeColor="text1"/>
                <w:lang w:val="fr-FR"/>
              </w:rPr>
              <w:t xml:space="preserve">Il n’y aurait pas eu de suivi pour </w:t>
            </w:r>
            <w:r>
              <w:rPr>
                <w:color w:val="000000" w:themeColor="text1"/>
                <w:lang w:val="fr-FR"/>
              </w:rPr>
              <w:t>savoir si les IRR utilisent ce do</w:t>
            </w:r>
            <w:r w:rsidRPr="00477DF3">
              <w:rPr>
                <w:color w:val="000000" w:themeColor="text1"/>
                <w:lang w:val="fr-FR"/>
              </w:rPr>
              <w:t>cument</w:t>
            </w:r>
            <w:r>
              <w:rPr>
                <w:color w:val="000000" w:themeColor="text1"/>
                <w:lang w:val="fr-FR"/>
              </w:rPr>
              <w:t xml:space="preserve"> d’orientation</w:t>
            </w:r>
            <w:r w:rsidRPr="00477DF3">
              <w:rPr>
                <w:color w:val="000000" w:themeColor="text1"/>
                <w:lang w:val="fr-FR"/>
              </w:rPr>
              <w:t>.</w:t>
            </w:r>
            <w:r w:rsidR="00E92A24" w:rsidRPr="0017080F">
              <w:rPr>
                <w:color w:val="000000" w:themeColor="text1"/>
                <w:lang w:val="fr-FR"/>
              </w:rPr>
              <w:t xml:space="preserve"> </w:t>
            </w:r>
          </w:p>
        </w:tc>
      </w:tr>
      <w:tr w:rsidR="00E92A24" w14:paraId="4E3E8A9D" w14:textId="77777777" w:rsidTr="007B7631">
        <w:tc>
          <w:tcPr>
            <w:tcW w:w="3681" w:type="dxa"/>
          </w:tcPr>
          <w:p w14:paraId="2F24E06B" w14:textId="77777777" w:rsidR="00E92A24" w:rsidRPr="002C5718" w:rsidRDefault="00E92A24" w:rsidP="00E92A24">
            <w:pPr>
              <w:rPr>
                <w:b/>
                <w:lang w:val="en-US"/>
              </w:rPr>
            </w:pPr>
            <w:r w:rsidRPr="002C5718">
              <w:rPr>
                <w:b/>
                <w:lang w:val="en-US"/>
              </w:rPr>
              <w:t>COP</w:t>
            </w:r>
            <w:r>
              <w:rPr>
                <w:b/>
                <w:lang w:val="en-US"/>
              </w:rPr>
              <w:t>9</w:t>
            </w:r>
          </w:p>
        </w:tc>
        <w:tc>
          <w:tcPr>
            <w:tcW w:w="7371" w:type="dxa"/>
          </w:tcPr>
          <w:p w14:paraId="34C240C3" w14:textId="77777777" w:rsidR="00E92A24" w:rsidRPr="000D2FEB" w:rsidRDefault="00E92A24" w:rsidP="00E92A24">
            <w:pPr>
              <w:pStyle w:val="NormalWeb"/>
              <w:rPr>
                <w:rFonts w:asciiTheme="minorHAnsi" w:hAnsiTheme="minorHAnsi"/>
                <w:sz w:val="22"/>
                <w:szCs w:val="22"/>
                <w:lang w:val="en-US"/>
              </w:rPr>
            </w:pPr>
          </w:p>
        </w:tc>
        <w:tc>
          <w:tcPr>
            <w:tcW w:w="2829" w:type="dxa"/>
          </w:tcPr>
          <w:p w14:paraId="1B3B5527" w14:textId="77777777" w:rsidR="00E92A24" w:rsidRDefault="00E92A24" w:rsidP="00E92A24">
            <w:pPr>
              <w:rPr>
                <w:lang w:val="en-US"/>
              </w:rPr>
            </w:pPr>
          </w:p>
        </w:tc>
      </w:tr>
      <w:tr w:rsidR="00E92A24" w:rsidRPr="002340EA" w14:paraId="10943330" w14:textId="77777777" w:rsidTr="007B7631">
        <w:tc>
          <w:tcPr>
            <w:tcW w:w="3681" w:type="dxa"/>
          </w:tcPr>
          <w:p w14:paraId="712E1FB0" w14:textId="750FB760" w:rsidR="00E92A24" w:rsidRPr="00F55A13" w:rsidRDefault="00E92A24" w:rsidP="00E92A24">
            <w:pPr>
              <w:pStyle w:val="NormalWeb"/>
              <w:rPr>
                <w:rFonts w:asciiTheme="minorHAnsi" w:hAnsiTheme="minorHAnsi"/>
                <w:bCs/>
                <w:sz w:val="22"/>
                <w:szCs w:val="22"/>
              </w:rPr>
            </w:pPr>
            <w:r w:rsidRPr="00F55A13">
              <w:rPr>
                <w:rFonts w:asciiTheme="minorHAnsi" w:hAnsiTheme="minorHAnsi"/>
                <w:bCs/>
                <w:sz w:val="22"/>
                <w:szCs w:val="22"/>
              </w:rPr>
              <w:t xml:space="preserve">IX.1 </w:t>
            </w:r>
            <w:r w:rsidR="00F55A13" w:rsidRPr="00F55A13">
              <w:rPr>
                <w:rFonts w:asciiTheme="minorHAnsi" w:hAnsiTheme="minorHAnsi"/>
                <w:bCs/>
                <w:sz w:val="22"/>
                <w:szCs w:val="22"/>
              </w:rPr>
              <w:t>Orientations scientifiques et techniques additionnelles pour appliquer le concept d’utilisation rationnelle de Ramsar</w:t>
            </w:r>
          </w:p>
        </w:tc>
        <w:tc>
          <w:tcPr>
            <w:tcW w:w="7371" w:type="dxa"/>
          </w:tcPr>
          <w:p w14:paraId="5971E800" w14:textId="4BFAEC31" w:rsidR="00E92A24" w:rsidRPr="00F55A13" w:rsidRDefault="00E92A24" w:rsidP="00E92A24">
            <w:pPr>
              <w:pStyle w:val="NormalWeb"/>
              <w:rPr>
                <w:rFonts w:asciiTheme="minorHAnsi" w:hAnsiTheme="minorHAnsi"/>
                <w:sz w:val="22"/>
                <w:szCs w:val="22"/>
              </w:rPr>
            </w:pPr>
            <w:r w:rsidRPr="00F55A13">
              <w:rPr>
                <w:rFonts w:asciiTheme="minorHAnsi" w:hAnsiTheme="minorHAnsi"/>
                <w:sz w:val="22"/>
                <w:szCs w:val="22"/>
              </w:rPr>
              <w:t xml:space="preserve">7 </w:t>
            </w:r>
            <w:r w:rsidR="00F55A13" w:rsidRPr="00F55A13">
              <w:rPr>
                <w:rFonts w:asciiTheme="minorHAnsi" w:hAnsiTheme="minorHAnsi"/>
                <w:sz w:val="22"/>
                <w:szCs w:val="22"/>
              </w:rPr>
              <w:t>ACCUEILLE AVEC SATISFACTION les cadres, lignes directrices et autres avis fournis dans les annexes C, D et E à la présente Résolution et PRIE INSTAMMENT les Parties contractantes d’en faire bon usage, selon que de besoin, et de les adapter, le cas échéant, pour répondre aux conditions et circonstances nationales, dans le cadre des initiatives et engagements régionaux en vigueur et dans le contexte du développement durable</w:t>
            </w:r>
            <w:r w:rsidR="00F55A13">
              <w:rPr>
                <w:rFonts w:asciiTheme="minorHAnsi" w:hAnsiTheme="minorHAnsi"/>
                <w:sz w:val="22"/>
                <w:szCs w:val="22"/>
              </w:rPr>
              <w:t>.</w:t>
            </w:r>
            <w:r w:rsidR="00140161">
              <w:rPr>
                <w:rFonts w:asciiTheme="minorHAnsi" w:hAnsiTheme="minorHAnsi"/>
                <w:sz w:val="22"/>
                <w:szCs w:val="22"/>
              </w:rPr>
              <w:t xml:space="preserve"> </w:t>
            </w:r>
          </w:p>
        </w:tc>
        <w:tc>
          <w:tcPr>
            <w:tcW w:w="2829" w:type="dxa"/>
          </w:tcPr>
          <w:p w14:paraId="4656F224" w14:textId="5009B74E" w:rsidR="00E92A24" w:rsidRPr="0017080F" w:rsidRDefault="0017080F" w:rsidP="00E92A24">
            <w:pPr>
              <w:ind w:left="40" w:hanging="40"/>
              <w:rPr>
                <w:lang w:val="fr-FR"/>
              </w:rPr>
            </w:pPr>
            <w:r w:rsidRPr="00477DF3">
              <w:rPr>
                <w:color w:val="000000" w:themeColor="text1"/>
                <w:lang w:val="fr-FR"/>
              </w:rPr>
              <w:t xml:space="preserve">Il n’y aurait pas eu de suivi pour </w:t>
            </w:r>
            <w:r>
              <w:rPr>
                <w:color w:val="000000" w:themeColor="text1"/>
                <w:lang w:val="fr-FR"/>
              </w:rPr>
              <w:t>savoir si les IRR utilisent ce do</w:t>
            </w:r>
            <w:r w:rsidRPr="00477DF3">
              <w:rPr>
                <w:color w:val="000000" w:themeColor="text1"/>
                <w:lang w:val="fr-FR"/>
              </w:rPr>
              <w:t>cument</w:t>
            </w:r>
            <w:r>
              <w:rPr>
                <w:color w:val="000000" w:themeColor="text1"/>
                <w:lang w:val="fr-FR"/>
              </w:rPr>
              <w:t xml:space="preserve"> d’orientation</w:t>
            </w:r>
            <w:r w:rsidRPr="00477DF3">
              <w:rPr>
                <w:color w:val="000000" w:themeColor="text1"/>
                <w:lang w:val="fr-FR"/>
              </w:rPr>
              <w:t>.</w:t>
            </w:r>
          </w:p>
        </w:tc>
      </w:tr>
      <w:tr w:rsidR="00E92A24" w:rsidRPr="002340EA" w14:paraId="625E08A2" w14:textId="77777777" w:rsidTr="007B7631">
        <w:tc>
          <w:tcPr>
            <w:tcW w:w="3681" w:type="dxa"/>
          </w:tcPr>
          <w:p w14:paraId="207C7655" w14:textId="48B775FA" w:rsidR="00E92A24" w:rsidRPr="00F55A13" w:rsidRDefault="00E92A24" w:rsidP="00E92A24">
            <w:pPr>
              <w:pStyle w:val="NormalWeb"/>
              <w:rPr>
                <w:rFonts w:asciiTheme="minorHAnsi" w:hAnsiTheme="minorHAnsi"/>
                <w:bCs/>
                <w:sz w:val="22"/>
                <w:szCs w:val="22"/>
              </w:rPr>
            </w:pPr>
            <w:r w:rsidRPr="00F55A13">
              <w:rPr>
                <w:rFonts w:asciiTheme="minorHAnsi" w:hAnsiTheme="minorHAnsi"/>
                <w:bCs/>
                <w:sz w:val="22"/>
                <w:szCs w:val="22"/>
              </w:rPr>
              <w:t xml:space="preserve">IX.19 </w:t>
            </w:r>
            <w:r w:rsidR="00F55A13" w:rsidRPr="00F55A13">
              <w:rPr>
                <w:rFonts w:asciiTheme="minorHAnsi" w:hAnsiTheme="minorHAnsi"/>
                <w:bCs/>
                <w:sz w:val="22"/>
                <w:szCs w:val="22"/>
              </w:rPr>
              <w:t xml:space="preserve">L’importance des colloques régionaux sur les zones humides pour </w:t>
            </w:r>
            <w:r w:rsidR="00F55A13" w:rsidRPr="00F55A13">
              <w:rPr>
                <w:rFonts w:asciiTheme="minorHAnsi" w:hAnsiTheme="minorHAnsi"/>
                <w:bCs/>
                <w:sz w:val="22"/>
                <w:szCs w:val="22"/>
              </w:rPr>
              <w:lastRenderedPageBreak/>
              <w:t>l’application efficace de la Convention de Ramsar</w:t>
            </w:r>
          </w:p>
          <w:p w14:paraId="61D44FB4" w14:textId="77777777" w:rsidR="00E92A24" w:rsidRPr="00F55A13" w:rsidRDefault="00E92A24" w:rsidP="00E92A24">
            <w:pPr>
              <w:rPr>
                <w:lang w:val="fr-FR"/>
              </w:rPr>
            </w:pPr>
          </w:p>
        </w:tc>
        <w:tc>
          <w:tcPr>
            <w:tcW w:w="7371" w:type="dxa"/>
          </w:tcPr>
          <w:p w14:paraId="29028867" w14:textId="74649444" w:rsidR="00E92A24" w:rsidRPr="00F55A13" w:rsidRDefault="00E92A24" w:rsidP="00E92A24">
            <w:pPr>
              <w:pStyle w:val="NormalWeb"/>
              <w:rPr>
                <w:rFonts w:asciiTheme="minorHAnsi" w:hAnsiTheme="minorHAnsi"/>
                <w:sz w:val="22"/>
                <w:szCs w:val="22"/>
              </w:rPr>
            </w:pPr>
            <w:r w:rsidRPr="00F55A13">
              <w:rPr>
                <w:rFonts w:asciiTheme="minorHAnsi" w:hAnsiTheme="minorHAnsi"/>
                <w:sz w:val="22"/>
                <w:szCs w:val="22"/>
              </w:rPr>
              <w:lastRenderedPageBreak/>
              <w:t xml:space="preserve">15 </w:t>
            </w:r>
            <w:r w:rsidR="00F55A13" w:rsidRPr="00F55A13">
              <w:rPr>
                <w:rFonts w:asciiTheme="minorHAnsi" w:hAnsiTheme="minorHAnsi"/>
                <w:sz w:val="22"/>
                <w:szCs w:val="22"/>
              </w:rPr>
              <w:t xml:space="preserve">RECOMMANDE aux Parties contractantes, aux ONG internationales et à d’autres organisations scientifiques et techniques pertinentes d’envisager, </w:t>
            </w:r>
            <w:r w:rsidR="00F55A13" w:rsidRPr="00F55A13">
              <w:rPr>
                <w:rFonts w:asciiTheme="minorHAnsi" w:hAnsiTheme="minorHAnsi"/>
                <w:sz w:val="22"/>
                <w:szCs w:val="22"/>
              </w:rPr>
              <w:lastRenderedPageBreak/>
              <w:t>lorsqu’il n’en existe pas, d’établir des forums scientifiques et techniques régionaux semblables, se réunissant périodiquement, en s’inspirant de l’expérience du Colloque sur les zones humides d’Asie, comme moyen d’augmenter l’appui scientifique et technique à l’application de la Convention, comprenant, entre autres, toute initiative régionale établie dans le cadre de la Convention</w:t>
            </w:r>
          </w:p>
        </w:tc>
        <w:tc>
          <w:tcPr>
            <w:tcW w:w="2829" w:type="dxa"/>
          </w:tcPr>
          <w:p w14:paraId="6137B35A" w14:textId="77777777" w:rsidR="00E92A24" w:rsidRPr="00F55A13" w:rsidRDefault="00E92A24" w:rsidP="00E92A24">
            <w:pPr>
              <w:rPr>
                <w:lang w:val="fr-FR"/>
              </w:rPr>
            </w:pPr>
          </w:p>
          <w:p w14:paraId="30E87F07" w14:textId="77777777" w:rsidR="00E92A24" w:rsidRPr="00F55A13" w:rsidRDefault="00E92A24" w:rsidP="00E92A24">
            <w:pPr>
              <w:rPr>
                <w:lang w:val="fr-FR"/>
              </w:rPr>
            </w:pPr>
          </w:p>
        </w:tc>
      </w:tr>
      <w:tr w:rsidR="00E92A24" w14:paraId="0FD7FC05" w14:textId="77777777" w:rsidTr="007B7631">
        <w:tc>
          <w:tcPr>
            <w:tcW w:w="3681" w:type="dxa"/>
          </w:tcPr>
          <w:p w14:paraId="4C7E0791" w14:textId="77777777" w:rsidR="00E92A24" w:rsidRPr="00E367CA" w:rsidRDefault="00E92A24" w:rsidP="00E92A24">
            <w:pPr>
              <w:rPr>
                <w:b/>
                <w:lang w:val="en-US"/>
              </w:rPr>
            </w:pPr>
            <w:r w:rsidRPr="00E367CA">
              <w:rPr>
                <w:b/>
                <w:lang w:val="en-US"/>
              </w:rPr>
              <w:t>COP</w:t>
            </w:r>
            <w:r>
              <w:rPr>
                <w:b/>
                <w:lang w:val="en-US"/>
              </w:rPr>
              <w:t>7</w:t>
            </w:r>
          </w:p>
        </w:tc>
        <w:tc>
          <w:tcPr>
            <w:tcW w:w="7371" w:type="dxa"/>
          </w:tcPr>
          <w:p w14:paraId="19F521EA" w14:textId="77777777" w:rsidR="00E92A24" w:rsidRPr="00E367CA" w:rsidRDefault="00E92A24" w:rsidP="00E92A24">
            <w:pPr>
              <w:pStyle w:val="NormalWeb"/>
              <w:rPr>
                <w:rFonts w:asciiTheme="minorHAnsi" w:hAnsiTheme="minorHAnsi"/>
                <w:sz w:val="22"/>
                <w:szCs w:val="22"/>
                <w:lang w:val="en-US"/>
              </w:rPr>
            </w:pPr>
          </w:p>
        </w:tc>
        <w:tc>
          <w:tcPr>
            <w:tcW w:w="2829" w:type="dxa"/>
          </w:tcPr>
          <w:p w14:paraId="6C22D87C" w14:textId="77777777" w:rsidR="00E92A24" w:rsidRPr="00E367CA" w:rsidRDefault="00E92A24" w:rsidP="00E92A24">
            <w:pPr>
              <w:rPr>
                <w:lang w:val="en-US"/>
              </w:rPr>
            </w:pPr>
          </w:p>
        </w:tc>
      </w:tr>
      <w:tr w:rsidR="00E92A24" w:rsidRPr="002340EA" w14:paraId="53D6B148" w14:textId="77777777" w:rsidTr="007B7631">
        <w:tc>
          <w:tcPr>
            <w:tcW w:w="3681" w:type="dxa"/>
          </w:tcPr>
          <w:p w14:paraId="6BEBFFBD" w14:textId="48CA55EB" w:rsidR="00E92A24" w:rsidRPr="00F55A13" w:rsidRDefault="00F55A13" w:rsidP="00E92A24">
            <w:pPr>
              <w:rPr>
                <w:lang w:val="fr-FR"/>
              </w:rPr>
            </w:pPr>
            <w:r>
              <w:rPr>
                <w:lang w:val="fr-FR"/>
              </w:rPr>
              <w:t>VII</w:t>
            </w:r>
            <w:r w:rsidR="00E92A24" w:rsidRPr="00F55A13">
              <w:rPr>
                <w:lang w:val="fr-FR"/>
              </w:rPr>
              <w:t xml:space="preserve">.19 </w:t>
            </w:r>
            <w:r w:rsidRPr="00F55A13">
              <w:rPr>
                <w:lang w:val="fr-FR"/>
              </w:rPr>
              <w:t>Lignes directrices pour la coopération internationale dans le cadre de la Convention de Ramsar</w:t>
            </w:r>
          </w:p>
        </w:tc>
        <w:tc>
          <w:tcPr>
            <w:tcW w:w="7371" w:type="dxa"/>
          </w:tcPr>
          <w:p w14:paraId="57BEF124" w14:textId="2BA3EBD7" w:rsidR="00E92A24" w:rsidRPr="00F55A13" w:rsidRDefault="00F55A13" w:rsidP="00E92A24">
            <w:pPr>
              <w:pStyle w:val="NormalWeb"/>
              <w:rPr>
                <w:rFonts w:asciiTheme="minorHAnsi" w:hAnsiTheme="minorHAnsi"/>
                <w:sz w:val="22"/>
                <w:szCs w:val="22"/>
              </w:rPr>
            </w:pPr>
            <w:r w:rsidRPr="00F55A13">
              <w:rPr>
                <w:rFonts w:asciiTheme="minorHAnsi" w:hAnsiTheme="minorHAnsi"/>
                <w:sz w:val="22"/>
                <w:szCs w:val="22"/>
              </w:rPr>
              <w:t>Aucune référence aux Initiatives régionales Ramsar mais cette résolution est citée dans d’</w:t>
            </w:r>
            <w:r>
              <w:rPr>
                <w:rFonts w:asciiTheme="minorHAnsi" w:hAnsiTheme="minorHAnsi"/>
                <w:sz w:val="22"/>
                <w:szCs w:val="22"/>
              </w:rPr>
              <w:t>autres résolutions concernant les IRR</w:t>
            </w:r>
            <w:r w:rsidR="00E92A24" w:rsidRPr="00F55A13">
              <w:rPr>
                <w:rFonts w:asciiTheme="minorHAnsi" w:hAnsiTheme="minorHAnsi"/>
                <w:sz w:val="22"/>
                <w:szCs w:val="22"/>
              </w:rPr>
              <w:t>.</w:t>
            </w:r>
          </w:p>
        </w:tc>
        <w:tc>
          <w:tcPr>
            <w:tcW w:w="2829" w:type="dxa"/>
          </w:tcPr>
          <w:p w14:paraId="5335D91B" w14:textId="77777777" w:rsidR="00E92A24" w:rsidRPr="00F55A13" w:rsidRDefault="00E92A24" w:rsidP="00E92A24">
            <w:pPr>
              <w:rPr>
                <w:lang w:val="fr-FR"/>
              </w:rPr>
            </w:pPr>
          </w:p>
        </w:tc>
      </w:tr>
    </w:tbl>
    <w:p w14:paraId="5C326BFC" w14:textId="77777777" w:rsidR="007B7631" w:rsidRPr="00F55A13" w:rsidRDefault="007B7631" w:rsidP="007B7631">
      <w:pPr>
        <w:rPr>
          <w:lang w:val="fr-FR"/>
        </w:rPr>
      </w:pPr>
    </w:p>
    <w:p w14:paraId="15658083" w14:textId="77777777" w:rsidR="007B7631" w:rsidRPr="00F55A13" w:rsidRDefault="007B7631" w:rsidP="007B7631">
      <w:pPr>
        <w:rPr>
          <w:lang w:val="fr-FR"/>
        </w:rPr>
        <w:sectPr w:rsidR="007B7631" w:rsidRPr="00F55A13" w:rsidSect="007B7631">
          <w:footerReference w:type="default" r:id="rId16"/>
          <w:pgSz w:w="16838" w:h="11906" w:orient="landscape"/>
          <w:pgMar w:top="1440" w:right="709" w:bottom="1440" w:left="1440" w:header="708" w:footer="708" w:gutter="0"/>
          <w:cols w:space="708"/>
          <w:docGrid w:linePitch="360"/>
        </w:sectPr>
      </w:pPr>
    </w:p>
    <w:p w14:paraId="3A7B7187" w14:textId="45D7F77F" w:rsidR="0012489A" w:rsidRPr="00303FBA" w:rsidRDefault="0012489A" w:rsidP="0012489A">
      <w:pPr>
        <w:rPr>
          <w:b/>
          <w:i/>
          <w:lang w:val="fr-FR"/>
        </w:rPr>
      </w:pPr>
      <w:r w:rsidRPr="00303FBA">
        <w:rPr>
          <w:b/>
          <w:i/>
          <w:lang w:val="fr-FR"/>
        </w:rPr>
        <w:lastRenderedPageBreak/>
        <w:t>Annex</w:t>
      </w:r>
      <w:r w:rsidR="00303FBA" w:rsidRPr="00303FBA">
        <w:rPr>
          <w:b/>
          <w:i/>
          <w:lang w:val="fr-FR"/>
        </w:rPr>
        <w:t>e</w:t>
      </w:r>
      <w:r w:rsidRPr="00303FBA">
        <w:rPr>
          <w:b/>
          <w:i/>
          <w:lang w:val="fr-FR"/>
        </w:rPr>
        <w:t xml:space="preserve"> III </w:t>
      </w:r>
      <w:r w:rsidR="00303FBA" w:rsidRPr="00303FBA">
        <w:rPr>
          <w:b/>
          <w:i/>
          <w:lang w:val="fr-FR"/>
        </w:rPr>
        <w:t>du projet de ré</w:t>
      </w:r>
      <w:r w:rsidRPr="00303FBA">
        <w:rPr>
          <w:b/>
          <w:i/>
          <w:lang w:val="fr-FR"/>
        </w:rPr>
        <w:t>solution</w:t>
      </w:r>
    </w:p>
    <w:p w14:paraId="7BBBCA7A" w14:textId="17CE513C" w:rsidR="007B7631" w:rsidRPr="00303FBA" w:rsidRDefault="00303FBA" w:rsidP="0012489A">
      <w:pPr>
        <w:ind w:left="0" w:firstLine="0"/>
        <w:rPr>
          <w:b/>
          <w:i/>
          <w:lang w:val="fr-FR"/>
        </w:rPr>
      </w:pPr>
      <w:r w:rsidRPr="00303FBA">
        <w:rPr>
          <w:b/>
          <w:i/>
          <w:lang w:val="fr-FR"/>
        </w:rPr>
        <w:t xml:space="preserve">Les </w:t>
      </w:r>
      <w:r w:rsidR="007B7631" w:rsidRPr="00303FBA">
        <w:rPr>
          <w:b/>
          <w:i/>
          <w:lang w:val="fr-FR"/>
        </w:rPr>
        <w:t>R</w:t>
      </w:r>
      <w:r w:rsidRPr="00303FBA">
        <w:rPr>
          <w:b/>
          <w:i/>
          <w:lang w:val="fr-FR"/>
        </w:rPr>
        <w:t>é</w:t>
      </w:r>
      <w:r w:rsidR="007B7631" w:rsidRPr="00303FBA">
        <w:rPr>
          <w:b/>
          <w:i/>
          <w:lang w:val="fr-FR"/>
        </w:rPr>
        <w:t>solution</w:t>
      </w:r>
      <w:r>
        <w:rPr>
          <w:b/>
          <w:i/>
          <w:lang w:val="fr-FR"/>
        </w:rPr>
        <w:t>s</w:t>
      </w:r>
      <w:r w:rsidR="007B7631" w:rsidRPr="00303FBA">
        <w:rPr>
          <w:b/>
          <w:i/>
          <w:lang w:val="fr-FR"/>
        </w:rPr>
        <w:t xml:space="preserve"> </w:t>
      </w:r>
      <w:r w:rsidRPr="00303FBA">
        <w:rPr>
          <w:b/>
          <w:i/>
          <w:lang w:val="fr-FR"/>
        </w:rPr>
        <w:t>et</w:t>
      </w:r>
      <w:r w:rsidR="007B7631" w:rsidRPr="00303FBA">
        <w:rPr>
          <w:b/>
          <w:i/>
          <w:lang w:val="fr-FR"/>
        </w:rPr>
        <w:t xml:space="preserve"> Recomm</w:t>
      </w:r>
      <w:r w:rsidRPr="00303FBA">
        <w:rPr>
          <w:b/>
          <w:i/>
          <w:lang w:val="fr-FR"/>
        </w:rPr>
        <w:t>a</w:t>
      </w:r>
      <w:r w:rsidR="007B7631" w:rsidRPr="00303FBA">
        <w:rPr>
          <w:b/>
          <w:i/>
          <w:lang w:val="fr-FR"/>
        </w:rPr>
        <w:t xml:space="preserve">ndations </w:t>
      </w:r>
      <w:r>
        <w:rPr>
          <w:b/>
          <w:i/>
          <w:lang w:val="fr-FR"/>
        </w:rPr>
        <w:t xml:space="preserve">suivantes, </w:t>
      </w:r>
      <w:r w:rsidRPr="00303FBA">
        <w:rPr>
          <w:b/>
          <w:i/>
          <w:lang w:val="fr-FR"/>
        </w:rPr>
        <w:t xml:space="preserve">relatives aux </w:t>
      </w:r>
      <w:r w:rsidR="007B7631" w:rsidRPr="00303FBA">
        <w:rPr>
          <w:b/>
          <w:i/>
          <w:lang w:val="fr-FR"/>
        </w:rPr>
        <w:t>Initiative</w:t>
      </w:r>
      <w:r w:rsidRPr="00303FBA">
        <w:rPr>
          <w:b/>
          <w:i/>
          <w:lang w:val="fr-FR"/>
        </w:rPr>
        <w:t xml:space="preserve">s </w:t>
      </w:r>
      <w:r>
        <w:rPr>
          <w:b/>
          <w:i/>
          <w:lang w:val="fr-FR"/>
        </w:rPr>
        <w:t>ré</w:t>
      </w:r>
      <w:r w:rsidRPr="00303FBA">
        <w:rPr>
          <w:b/>
          <w:i/>
          <w:lang w:val="fr-FR"/>
        </w:rPr>
        <w:t>gional</w:t>
      </w:r>
      <w:r>
        <w:rPr>
          <w:b/>
          <w:i/>
          <w:lang w:val="fr-FR"/>
        </w:rPr>
        <w:t>es</w:t>
      </w:r>
      <w:r w:rsidRPr="00303FBA">
        <w:rPr>
          <w:b/>
          <w:i/>
          <w:lang w:val="fr-FR"/>
        </w:rPr>
        <w:t xml:space="preserve"> Ramsar</w:t>
      </w:r>
      <w:r w:rsidR="007B7631" w:rsidRPr="00303FBA">
        <w:rPr>
          <w:b/>
          <w:i/>
          <w:lang w:val="fr-FR"/>
        </w:rPr>
        <w:t xml:space="preserve"> </w:t>
      </w:r>
      <w:r>
        <w:rPr>
          <w:b/>
          <w:i/>
          <w:lang w:val="fr-FR"/>
        </w:rPr>
        <w:t xml:space="preserve">sont abrogées </w:t>
      </w:r>
      <w:r w:rsidR="007B7631" w:rsidRPr="00303FBA">
        <w:rPr>
          <w:b/>
          <w:i/>
          <w:lang w:val="fr-FR"/>
        </w:rPr>
        <w:t>:</w:t>
      </w:r>
    </w:p>
    <w:p w14:paraId="6E539C83" w14:textId="77777777" w:rsidR="007B7631" w:rsidRPr="00303FBA" w:rsidRDefault="007B7631" w:rsidP="007B7631">
      <w:pPr>
        <w:jc w:val="center"/>
        <w:rPr>
          <w:lang w:val="fr-FR"/>
        </w:rPr>
      </w:pPr>
    </w:p>
    <w:p w14:paraId="7375F07E" w14:textId="2030C541" w:rsidR="007B7631" w:rsidRPr="00303FBA" w:rsidRDefault="007B7631" w:rsidP="007B7631">
      <w:pPr>
        <w:rPr>
          <w:lang w:val="fr-FR"/>
        </w:rPr>
      </w:pPr>
      <w:r w:rsidRPr="00303FBA">
        <w:rPr>
          <w:lang w:val="fr-FR"/>
        </w:rPr>
        <w:t>R</w:t>
      </w:r>
      <w:r w:rsidR="00303FBA" w:rsidRPr="00303FBA">
        <w:rPr>
          <w:lang w:val="fr-FR"/>
        </w:rPr>
        <w:t>é</w:t>
      </w:r>
      <w:r w:rsidRPr="00303FBA">
        <w:rPr>
          <w:lang w:val="fr-FR"/>
        </w:rPr>
        <w:t>solution XII.8</w:t>
      </w:r>
    </w:p>
    <w:p w14:paraId="0E980671" w14:textId="03117661" w:rsidR="007B7631" w:rsidRPr="00303FBA" w:rsidRDefault="007B7631" w:rsidP="007B7631">
      <w:pPr>
        <w:rPr>
          <w:lang w:val="fr-FR"/>
        </w:rPr>
      </w:pPr>
      <w:r w:rsidRPr="00303FBA">
        <w:rPr>
          <w:lang w:val="fr-FR"/>
        </w:rPr>
        <w:t>R</w:t>
      </w:r>
      <w:r w:rsidR="00303FBA" w:rsidRPr="00303FBA">
        <w:rPr>
          <w:lang w:val="fr-FR"/>
        </w:rPr>
        <w:t>é</w:t>
      </w:r>
      <w:r w:rsidRPr="00303FBA">
        <w:rPr>
          <w:lang w:val="fr-FR"/>
        </w:rPr>
        <w:t>solution XI.5</w:t>
      </w:r>
    </w:p>
    <w:p w14:paraId="793BC97B" w14:textId="742477F0" w:rsidR="007B7631" w:rsidRPr="00303FBA" w:rsidRDefault="00303FBA" w:rsidP="007B7631">
      <w:pPr>
        <w:rPr>
          <w:lang w:val="fr-FR"/>
        </w:rPr>
      </w:pPr>
      <w:r w:rsidRPr="00303FBA">
        <w:rPr>
          <w:lang w:val="fr-FR"/>
        </w:rPr>
        <w:t xml:space="preserve">Résolution </w:t>
      </w:r>
      <w:r w:rsidR="007B7631" w:rsidRPr="00303FBA">
        <w:rPr>
          <w:lang w:val="fr-FR"/>
        </w:rPr>
        <w:t xml:space="preserve">X.6 </w:t>
      </w:r>
    </w:p>
    <w:p w14:paraId="05AD68E0" w14:textId="25DDFA25" w:rsidR="007B7631" w:rsidRPr="00303FBA" w:rsidRDefault="00303FBA" w:rsidP="007B7631">
      <w:pPr>
        <w:rPr>
          <w:lang w:val="fr-FR"/>
        </w:rPr>
      </w:pPr>
      <w:r w:rsidRPr="00303FBA">
        <w:rPr>
          <w:lang w:val="fr-FR"/>
        </w:rPr>
        <w:t xml:space="preserve">Résolution </w:t>
      </w:r>
      <w:r w:rsidR="007B7631" w:rsidRPr="00303FBA">
        <w:rPr>
          <w:lang w:val="fr-FR"/>
        </w:rPr>
        <w:t>IX.7</w:t>
      </w:r>
    </w:p>
    <w:p w14:paraId="689D1025" w14:textId="4DFBBE33" w:rsidR="007B7631" w:rsidRPr="00303FBA" w:rsidRDefault="00303FBA" w:rsidP="007B7631">
      <w:pPr>
        <w:rPr>
          <w:lang w:val="fr-FR"/>
        </w:rPr>
      </w:pPr>
      <w:r w:rsidRPr="00303FBA">
        <w:rPr>
          <w:lang w:val="fr-FR"/>
        </w:rPr>
        <w:t xml:space="preserve">Résolution </w:t>
      </w:r>
      <w:r w:rsidR="007B7631" w:rsidRPr="00303FBA">
        <w:rPr>
          <w:lang w:val="fr-FR"/>
        </w:rPr>
        <w:t>VIII.43</w:t>
      </w:r>
    </w:p>
    <w:p w14:paraId="6C81532D" w14:textId="54D2B473" w:rsidR="007B7631" w:rsidRPr="00303FBA" w:rsidRDefault="00303FBA" w:rsidP="007B7631">
      <w:pPr>
        <w:rPr>
          <w:lang w:val="fr-FR"/>
        </w:rPr>
      </w:pPr>
      <w:r w:rsidRPr="00303FBA">
        <w:rPr>
          <w:lang w:val="fr-FR"/>
        </w:rPr>
        <w:t xml:space="preserve">Résolution </w:t>
      </w:r>
      <w:r w:rsidR="007B7631" w:rsidRPr="00303FBA">
        <w:rPr>
          <w:lang w:val="fr-FR"/>
        </w:rPr>
        <w:t>VIII.41</w:t>
      </w:r>
    </w:p>
    <w:p w14:paraId="3860C93A" w14:textId="5FBD1CFE" w:rsidR="007B7631" w:rsidRPr="00303FBA" w:rsidRDefault="00303FBA" w:rsidP="007B7631">
      <w:pPr>
        <w:rPr>
          <w:lang w:val="fr-FR"/>
        </w:rPr>
      </w:pPr>
      <w:r w:rsidRPr="00303FBA">
        <w:rPr>
          <w:lang w:val="fr-FR"/>
        </w:rPr>
        <w:t xml:space="preserve">Résolution </w:t>
      </w:r>
      <w:r w:rsidR="007B7631" w:rsidRPr="00303FBA">
        <w:rPr>
          <w:lang w:val="fr-FR"/>
        </w:rPr>
        <w:t>VIII.30</w:t>
      </w:r>
    </w:p>
    <w:p w14:paraId="741494DA" w14:textId="3AC06DB2" w:rsidR="007B7631" w:rsidRPr="00303FBA" w:rsidRDefault="00303FBA" w:rsidP="007B7631">
      <w:pPr>
        <w:rPr>
          <w:lang w:val="fr-FR"/>
        </w:rPr>
      </w:pPr>
      <w:r w:rsidRPr="00303FBA">
        <w:rPr>
          <w:lang w:val="fr-FR"/>
        </w:rPr>
        <w:t xml:space="preserve">Résolution </w:t>
      </w:r>
      <w:r w:rsidR="007B7631" w:rsidRPr="00303FBA">
        <w:rPr>
          <w:lang w:val="fr-FR"/>
        </w:rPr>
        <w:t>VII.26</w:t>
      </w:r>
    </w:p>
    <w:p w14:paraId="549F66C8" w14:textId="5AC06B9A" w:rsidR="007B7631" w:rsidRPr="00303FBA" w:rsidRDefault="00303FBA" w:rsidP="007B7631">
      <w:pPr>
        <w:rPr>
          <w:lang w:val="fr-FR"/>
        </w:rPr>
      </w:pPr>
      <w:r w:rsidRPr="00303FBA">
        <w:rPr>
          <w:lang w:val="fr-FR"/>
        </w:rPr>
        <w:t xml:space="preserve">Résolution </w:t>
      </w:r>
      <w:r w:rsidR="007B7631" w:rsidRPr="00303FBA">
        <w:rPr>
          <w:lang w:val="fr-FR"/>
        </w:rPr>
        <w:t>VII.22</w:t>
      </w:r>
    </w:p>
    <w:p w14:paraId="0236DC9A" w14:textId="0832FDC4" w:rsidR="007B7631" w:rsidRPr="00651E4A" w:rsidRDefault="007B7631" w:rsidP="007B7631">
      <w:pPr>
        <w:rPr>
          <w:lang w:val="fr-FR"/>
        </w:rPr>
      </w:pPr>
      <w:r w:rsidRPr="00651E4A">
        <w:rPr>
          <w:lang w:val="fr-FR"/>
        </w:rPr>
        <w:t>Recomm</w:t>
      </w:r>
      <w:r w:rsidR="00303FBA" w:rsidRPr="00651E4A">
        <w:rPr>
          <w:lang w:val="fr-FR"/>
        </w:rPr>
        <w:t>a</w:t>
      </w:r>
      <w:r w:rsidRPr="00651E4A">
        <w:rPr>
          <w:lang w:val="fr-FR"/>
        </w:rPr>
        <w:t xml:space="preserve">ndation </w:t>
      </w:r>
      <w:r w:rsidR="00CA400D" w:rsidRPr="00651E4A">
        <w:rPr>
          <w:lang w:val="fr-FR"/>
        </w:rPr>
        <w:t>6</w:t>
      </w:r>
      <w:r w:rsidRPr="00651E4A">
        <w:rPr>
          <w:lang w:val="fr-FR"/>
        </w:rPr>
        <w:t>.11</w:t>
      </w:r>
    </w:p>
    <w:p w14:paraId="0DB9C089" w14:textId="1268574E" w:rsidR="007B7631" w:rsidRPr="00651E4A" w:rsidRDefault="007B7631" w:rsidP="007B7631">
      <w:pPr>
        <w:rPr>
          <w:lang w:val="fr-FR"/>
        </w:rPr>
      </w:pPr>
      <w:r w:rsidRPr="00651E4A">
        <w:rPr>
          <w:lang w:val="fr-FR"/>
        </w:rPr>
        <w:t>Recomm</w:t>
      </w:r>
      <w:r w:rsidR="00303FBA" w:rsidRPr="00651E4A">
        <w:rPr>
          <w:lang w:val="fr-FR"/>
        </w:rPr>
        <w:t>a</w:t>
      </w:r>
      <w:r w:rsidRPr="00651E4A">
        <w:rPr>
          <w:lang w:val="fr-FR"/>
        </w:rPr>
        <w:t xml:space="preserve">ndation </w:t>
      </w:r>
      <w:r w:rsidR="00CA400D" w:rsidRPr="00651E4A">
        <w:rPr>
          <w:lang w:val="fr-FR"/>
        </w:rPr>
        <w:t>5</w:t>
      </w:r>
      <w:r w:rsidRPr="00651E4A">
        <w:rPr>
          <w:lang w:val="fr-FR"/>
        </w:rPr>
        <w:t>.14</w:t>
      </w:r>
    </w:p>
    <w:bookmarkEnd w:id="2"/>
    <w:p w14:paraId="02836B98" w14:textId="77777777" w:rsidR="002F7454" w:rsidRPr="00651E4A" w:rsidRDefault="002F7454" w:rsidP="00D3734D">
      <w:pPr>
        <w:rPr>
          <w:rFonts w:eastAsia="Times New Roman" w:cs="Calibri"/>
          <w:sz w:val="24"/>
          <w:szCs w:val="24"/>
          <w:lang w:val="fr-FR" w:eastAsia="en-GB"/>
        </w:rPr>
      </w:pPr>
      <w:r w:rsidRPr="00651E4A">
        <w:rPr>
          <w:rFonts w:eastAsia="Times New Roman" w:cs="Calibri"/>
          <w:sz w:val="24"/>
          <w:szCs w:val="24"/>
          <w:lang w:val="fr-FR" w:eastAsia="en-GB"/>
        </w:rPr>
        <w:br w:type="page"/>
      </w:r>
    </w:p>
    <w:p w14:paraId="32093700" w14:textId="42F63BD7" w:rsidR="0012489A" w:rsidRPr="00651E4A" w:rsidRDefault="0096430E" w:rsidP="0012489A">
      <w:pPr>
        <w:rPr>
          <w:rFonts w:cs="Arial"/>
          <w:sz w:val="24"/>
          <w:szCs w:val="24"/>
          <w:lang w:val="fr-FR"/>
        </w:rPr>
      </w:pPr>
      <w:r w:rsidRPr="00651E4A">
        <w:rPr>
          <w:rFonts w:eastAsia="Times New Roman" w:cs="Calibri"/>
          <w:b/>
          <w:sz w:val="24"/>
          <w:szCs w:val="24"/>
          <w:lang w:val="fr-FR" w:eastAsia="en-GB"/>
        </w:rPr>
        <w:lastRenderedPageBreak/>
        <w:t>Annex</w:t>
      </w:r>
      <w:r w:rsidR="00D056CC" w:rsidRPr="00651E4A">
        <w:rPr>
          <w:rFonts w:eastAsia="Times New Roman" w:cs="Calibri"/>
          <w:b/>
          <w:sz w:val="24"/>
          <w:szCs w:val="24"/>
          <w:lang w:val="fr-FR" w:eastAsia="en-GB"/>
        </w:rPr>
        <w:t>e</w:t>
      </w:r>
      <w:r w:rsidRPr="00651E4A">
        <w:rPr>
          <w:rFonts w:eastAsia="Times New Roman" w:cs="Calibri"/>
          <w:b/>
          <w:sz w:val="24"/>
          <w:szCs w:val="24"/>
          <w:lang w:val="fr-FR" w:eastAsia="en-GB"/>
        </w:rPr>
        <w:t xml:space="preserve"> </w:t>
      </w:r>
      <w:r w:rsidR="00C1292B" w:rsidRPr="00651E4A">
        <w:rPr>
          <w:rFonts w:eastAsia="Times New Roman" w:cs="Calibri"/>
          <w:b/>
          <w:sz w:val="24"/>
          <w:szCs w:val="24"/>
          <w:lang w:val="fr-FR" w:eastAsia="en-GB"/>
        </w:rPr>
        <w:t>2</w:t>
      </w:r>
      <w:r w:rsidR="0012489A" w:rsidRPr="00651E4A">
        <w:rPr>
          <w:rFonts w:eastAsia="Times New Roman" w:cs="Calibri"/>
          <w:b/>
          <w:sz w:val="24"/>
          <w:szCs w:val="24"/>
          <w:lang w:val="fr-FR" w:eastAsia="en-GB"/>
        </w:rPr>
        <w:t xml:space="preserve"> </w:t>
      </w:r>
      <w:r w:rsidR="00D056CC" w:rsidRPr="00651E4A">
        <w:rPr>
          <w:rFonts w:eastAsia="Times New Roman" w:cs="Calibri"/>
          <w:b/>
          <w:sz w:val="24"/>
          <w:szCs w:val="24"/>
          <w:lang w:val="fr-FR" w:eastAsia="en-GB"/>
        </w:rPr>
        <w:t>du</w:t>
      </w:r>
      <w:r w:rsidR="0012489A" w:rsidRPr="00651E4A">
        <w:rPr>
          <w:rFonts w:eastAsia="Times New Roman" w:cs="Calibri"/>
          <w:b/>
          <w:sz w:val="24"/>
          <w:szCs w:val="24"/>
          <w:lang w:val="fr-FR" w:eastAsia="en-GB"/>
        </w:rPr>
        <w:t xml:space="preserve"> document </w:t>
      </w:r>
      <w:r w:rsidR="0012489A" w:rsidRPr="00651E4A">
        <w:rPr>
          <w:rFonts w:cs="Arial"/>
          <w:b/>
          <w:sz w:val="24"/>
          <w:szCs w:val="24"/>
          <w:lang w:val="fr-FR"/>
        </w:rPr>
        <w:t xml:space="preserve">SC59 Doc.21.1 </w:t>
      </w:r>
    </w:p>
    <w:p w14:paraId="6FAF0E7D" w14:textId="6D19E4FF" w:rsidR="004D1625" w:rsidRPr="00F24F32" w:rsidRDefault="00F24F32" w:rsidP="00D3734D">
      <w:pPr>
        <w:ind w:left="0" w:firstLine="0"/>
        <w:rPr>
          <w:rFonts w:eastAsia="Times New Roman" w:cs="Calibri"/>
          <w:b/>
          <w:sz w:val="24"/>
          <w:szCs w:val="24"/>
          <w:lang w:val="fr-FR" w:eastAsia="en-GB"/>
        </w:rPr>
      </w:pPr>
      <w:r w:rsidRPr="00F24F32">
        <w:rPr>
          <w:rFonts w:eastAsia="Times New Roman" w:cs="Calibri"/>
          <w:b/>
          <w:sz w:val="24"/>
          <w:szCs w:val="24"/>
          <w:lang w:val="fr-FR" w:eastAsia="en-GB"/>
        </w:rPr>
        <w:t xml:space="preserve">Plan de travail du Groupe de travail sur les Initiatives régionales Ramsar  </w:t>
      </w:r>
      <w:r w:rsidR="004D1625" w:rsidRPr="00F24F32">
        <w:rPr>
          <w:rFonts w:eastAsia="Times New Roman" w:cs="Calibri"/>
          <w:b/>
          <w:sz w:val="24"/>
          <w:szCs w:val="24"/>
          <w:lang w:val="fr-FR" w:eastAsia="en-GB"/>
        </w:rPr>
        <w:t xml:space="preserve">  </w:t>
      </w:r>
    </w:p>
    <w:p w14:paraId="290E4FB9" w14:textId="77777777" w:rsidR="00ED1FA0" w:rsidRPr="00F24F32" w:rsidRDefault="00ED1FA0" w:rsidP="00D3734D">
      <w:pPr>
        <w:ind w:left="0" w:firstLine="0"/>
        <w:rPr>
          <w:rFonts w:eastAsia="Times New Roman" w:cs="Calibri"/>
          <w:b/>
          <w:sz w:val="20"/>
          <w:szCs w:val="20"/>
          <w:lang w:val="fr-FR" w:eastAsia="en-GB"/>
        </w:rPr>
      </w:pPr>
    </w:p>
    <w:p w14:paraId="5C19F0F6" w14:textId="77777777" w:rsidR="00F24F32" w:rsidRPr="00141800" w:rsidRDefault="00F24F32" w:rsidP="00F24F32">
      <w:pPr>
        <w:ind w:left="0" w:firstLine="0"/>
        <w:rPr>
          <w:rFonts w:cs="Calibri"/>
          <w:b/>
          <w:lang w:val="fr-CH" w:eastAsia="en-GB"/>
        </w:rPr>
      </w:pPr>
      <w:r>
        <w:rPr>
          <w:rFonts w:cs="Calibri"/>
          <w:b/>
          <w:lang w:val="fr-CH" w:eastAsia="en-GB"/>
        </w:rPr>
        <w:t>Calendrier, activités et résultats clés</w:t>
      </w:r>
    </w:p>
    <w:tbl>
      <w:tblPr>
        <w:tblStyle w:val="TableGrid2"/>
        <w:tblW w:w="9067" w:type="dxa"/>
        <w:tblLook w:val="04A0" w:firstRow="1" w:lastRow="0" w:firstColumn="1" w:lastColumn="0" w:noHBand="0" w:noVBand="1"/>
      </w:tblPr>
      <w:tblGrid>
        <w:gridCol w:w="3539"/>
        <w:gridCol w:w="5528"/>
      </w:tblGrid>
      <w:tr w:rsidR="00F24F32" w:rsidRPr="00717CCD" w14:paraId="6CF21F4C" w14:textId="77777777" w:rsidTr="001A4C3A">
        <w:trPr>
          <w:cantSplit/>
          <w:tblHeader/>
        </w:trPr>
        <w:tc>
          <w:tcPr>
            <w:tcW w:w="3539" w:type="dxa"/>
            <w:vAlign w:val="center"/>
          </w:tcPr>
          <w:p w14:paraId="00B36E70" w14:textId="786FCC01" w:rsidR="00F24F32" w:rsidRPr="00F24F32" w:rsidRDefault="00F24F32" w:rsidP="00F24F32">
            <w:pPr>
              <w:rPr>
                <w:rFonts w:eastAsia="Yu Mincho" w:cs="Calibri"/>
                <w:b/>
                <w:lang w:val="fr-FR"/>
              </w:rPr>
            </w:pPr>
            <w:r w:rsidRPr="00141800">
              <w:rPr>
                <w:rFonts w:cs="Calibri"/>
                <w:b/>
                <w:lang w:val="fr-CH"/>
              </w:rPr>
              <w:t>Date</w:t>
            </w:r>
            <w:r>
              <w:rPr>
                <w:rFonts w:cs="Calibri"/>
                <w:b/>
                <w:lang w:val="fr-CH"/>
              </w:rPr>
              <w:t> </w:t>
            </w:r>
            <w:r w:rsidRPr="00141800">
              <w:rPr>
                <w:rFonts w:cs="Calibri"/>
                <w:b/>
                <w:lang w:val="fr-CH"/>
              </w:rPr>
              <w:t>: (</w:t>
            </w:r>
            <w:r>
              <w:rPr>
                <w:rFonts w:cs="Calibri"/>
                <w:b/>
                <w:lang w:val="fr-CH"/>
              </w:rPr>
              <w:t>Envisager d’ajuster le programme en fonction des dates proposées pour la 58</w:t>
            </w:r>
            <w:r w:rsidRPr="00141800">
              <w:rPr>
                <w:rFonts w:cs="Calibri"/>
                <w:b/>
                <w:vertAlign w:val="superscript"/>
                <w:lang w:val="fr-CH"/>
              </w:rPr>
              <w:t>e</w:t>
            </w:r>
            <w:r>
              <w:rPr>
                <w:rFonts w:cs="Calibri"/>
                <w:b/>
                <w:lang w:val="fr-CH"/>
              </w:rPr>
              <w:t xml:space="preserve"> et la 59</w:t>
            </w:r>
            <w:r w:rsidRPr="00141800">
              <w:rPr>
                <w:rFonts w:cs="Calibri"/>
                <w:b/>
                <w:vertAlign w:val="superscript"/>
                <w:lang w:val="fr-CH"/>
              </w:rPr>
              <w:t>e</w:t>
            </w:r>
            <w:r>
              <w:rPr>
                <w:rFonts w:cs="Calibri"/>
                <w:b/>
                <w:lang w:val="fr-CH"/>
              </w:rPr>
              <w:t xml:space="preserve"> Réunions du Comité permanent ; veuillez noter la nécessité d’ajuster les calendriers qui suivent) </w:t>
            </w:r>
          </w:p>
        </w:tc>
        <w:tc>
          <w:tcPr>
            <w:tcW w:w="5528" w:type="dxa"/>
            <w:vAlign w:val="center"/>
          </w:tcPr>
          <w:p w14:paraId="7EA07695" w14:textId="1106AA2A" w:rsidR="00F24F32" w:rsidRPr="00717CCD" w:rsidRDefault="00F24F32" w:rsidP="00F24F32">
            <w:pPr>
              <w:rPr>
                <w:rFonts w:eastAsia="Yu Mincho" w:cs="Calibri"/>
                <w:b/>
                <w:lang w:val="en-US"/>
              </w:rPr>
            </w:pPr>
            <w:r w:rsidRPr="00717CCD">
              <w:rPr>
                <w:rFonts w:eastAsia="Yu Mincho" w:cs="Calibri"/>
                <w:b/>
                <w:lang w:val="en-US"/>
              </w:rPr>
              <w:t>Objecti</w:t>
            </w:r>
            <w:r>
              <w:rPr>
                <w:rFonts w:eastAsia="Yu Mincho" w:cs="Calibri"/>
                <w:b/>
                <w:lang w:val="en-US"/>
              </w:rPr>
              <w:t>f</w:t>
            </w:r>
          </w:p>
        </w:tc>
      </w:tr>
      <w:tr w:rsidR="00972D42" w:rsidRPr="002340EA" w14:paraId="253708AF" w14:textId="77777777" w:rsidTr="001A4C3A">
        <w:trPr>
          <w:cantSplit/>
        </w:trPr>
        <w:tc>
          <w:tcPr>
            <w:tcW w:w="3539" w:type="dxa"/>
          </w:tcPr>
          <w:p w14:paraId="1FA7A504" w14:textId="2E8656B8" w:rsidR="00972D42" w:rsidRPr="00717CCD" w:rsidRDefault="00972D42" w:rsidP="00972D42">
            <w:pPr>
              <w:rPr>
                <w:rFonts w:eastAsia="Yu Mincho" w:cs="Calibri"/>
                <w:b/>
                <w:lang w:val="en-US"/>
              </w:rPr>
            </w:pPr>
            <w:r>
              <w:rPr>
                <w:rFonts w:cs="Calibri"/>
                <w:b/>
                <w:lang w:val="fr-CH"/>
              </w:rPr>
              <w:t>Juillet</w:t>
            </w:r>
            <w:r w:rsidRPr="00141800">
              <w:rPr>
                <w:rFonts w:cs="Calibri"/>
                <w:b/>
                <w:lang w:val="fr-CH"/>
              </w:rPr>
              <w:t xml:space="preserve"> 2020</w:t>
            </w:r>
          </w:p>
        </w:tc>
        <w:tc>
          <w:tcPr>
            <w:tcW w:w="5528" w:type="dxa"/>
          </w:tcPr>
          <w:p w14:paraId="7D724E69" w14:textId="6CB757CD" w:rsidR="00972D42" w:rsidRPr="00972D42" w:rsidRDefault="00972D42" w:rsidP="00972D42">
            <w:pPr>
              <w:rPr>
                <w:rFonts w:eastAsia="Yu Mincho" w:cs="Calibri"/>
                <w:lang w:val="fr-FR"/>
              </w:rPr>
            </w:pPr>
            <w:r>
              <w:rPr>
                <w:rFonts w:cs="Calibri"/>
                <w:lang w:val="fr-CH"/>
              </w:rPr>
              <w:t xml:space="preserve">Réunion vidéo du Groupe de travail : discussion des thèmes du </w:t>
            </w:r>
            <w:r w:rsidRPr="00851AE5">
              <w:rPr>
                <w:rFonts w:cs="Calibri"/>
                <w:lang w:val="fr-CH"/>
              </w:rPr>
              <w:t>mandat</w:t>
            </w:r>
            <w:r>
              <w:rPr>
                <w:rFonts w:cs="Calibri"/>
                <w:lang w:val="fr-CH"/>
              </w:rPr>
              <w:t xml:space="preserve"> et du plan de travail à revoir.</w:t>
            </w:r>
            <w:r w:rsidRPr="00141800">
              <w:rPr>
                <w:rFonts w:cs="Calibri"/>
                <w:lang w:val="fr-CH"/>
              </w:rPr>
              <w:t xml:space="preserve"> </w:t>
            </w:r>
          </w:p>
        </w:tc>
      </w:tr>
      <w:tr w:rsidR="00972D42" w:rsidRPr="002340EA" w14:paraId="150988F7" w14:textId="77777777" w:rsidTr="001A4C3A">
        <w:trPr>
          <w:cantSplit/>
        </w:trPr>
        <w:tc>
          <w:tcPr>
            <w:tcW w:w="3539" w:type="dxa"/>
          </w:tcPr>
          <w:p w14:paraId="4B54E2D6" w14:textId="5626A0A5" w:rsidR="00972D42" w:rsidRPr="00717CCD" w:rsidDel="00CE1839" w:rsidRDefault="00972D42" w:rsidP="00972D42">
            <w:pPr>
              <w:rPr>
                <w:rFonts w:eastAsia="Yu Mincho" w:cs="Calibri"/>
                <w:b/>
                <w:lang w:val="en-US"/>
              </w:rPr>
            </w:pPr>
            <w:r w:rsidRPr="00141800">
              <w:rPr>
                <w:rFonts w:cs="Calibri"/>
                <w:b/>
                <w:lang w:val="fr-CH"/>
              </w:rPr>
              <w:t>A</w:t>
            </w:r>
            <w:r>
              <w:rPr>
                <w:rFonts w:cs="Calibri"/>
                <w:b/>
                <w:lang w:val="fr-CH"/>
              </w:rPr>
              <w:t>oût</w:t>
            </w:r>
            <w:r w:rsidRPr="00141800">
              <w:rPr>
                <w:rFonts w:cs="Calibri"/>
                <w:b/>
                <w:lang w:val="fr-CH"/>
              </w:rPr>
              <w:t xml:space="preserve"> 2020 </w:t>
            </w:r>
          </w:p>
        </w:tc>
        <w:tc>
          <w:tcPr>
            <w:tcW w:w="5528" w:type="dxa"/>
          </w:tcPr>
          <w:p w14:paraId="128F0D9A" w14:textId="15BDDA16" w:rsidR="00972D42" w:rsidRPr="00972D42" w:rsidRDefault="00972D42" w:rsidP="00972D42">
            <w:pPr>
              <w:rPr>
                <w:rFonts w:eastAsia="Yu Mincho" w:cs="Calibri"/>
                <w:lang w:val="fr-FR"/>
              </w:rPr>
            </w:pPr>
            <w:r>
              <w:rPr>
                <w:rFonts w:cs="Calibri"/>
                <w:lang w:val="fr-CH"/>
              </w:rPr>
              <w:t xml:space="preserve">Si nécessaire, une réunion vidéo pour convenir de la version finale du </w:t>
            </w:r>
            <w:r w:rsidRPr="00851AE5">
              <w:rPr>
                <w:rFonts w:cs="Calibri"/>
                <w:lang w:val="fr-CH"/>
              </w:rPr>
              <w:t>mandat</w:t>
            </w:r>
            <w:r>
              <w:rPr>
                <w:rFonts w:cs="Calibri"/>
                <w:lang w:val="fr-CH"/>
              </w:rPr>
              <w:t xml:space="preserve"> et du plan de travail.</w:t>
            </w:r>
          </w:p>
        </w:tc>
      </w:tr>
      <w:tr w:rsidR="00972D42" w:rsidRPr="002340EA" w14:paraId="0CB0D4D4" w14:textId="77777777" w:rsidTr="001A4C3A">
        <w:trPr>
          <w:cantSplit/>
        </w:trPr>
        <w:tc>
          <w:tcPr>
            <w:tcW w:w="3539" w:type="dxa"/>
          </w:tcPr>
          <w:p w14:paraId="29D8322A" w14:textId="14AC4A9B" w:rsidR="00972D42" w:rsidRPr="00717CCD" w:rsidDel="00CF60FF" w:rsidRDefault="00972D42" w:rsidP="00972D42">
            <w:pPr>
              <w:rPr>
                <w:rFonts w:eastAsia="Yu Mincho" w:cs="Calibri"/>
                <w:b/>
                <w:lang w:val="en-US"/>
              </w:rPr>
            </w:pPr>
            <w:r w:rsidRPr="00141800">
              <w:rPr>
                <w:rFonts w:cs="Calibri"/>
                <w:b/>
                <w:lang w:val="fr-CH"/>
              </w:rPr>
              <w:t>A</w:t>
            </w:r>
            <w:r>
              <w:rPr>
                <w:rFonts w:cs="Calibri"/>
                <w:b/>
                <w:lang w:val="fr-CH"/>
              </w:rPr>
              <w:t>oût</w:t>
            </w:r>
            <w:r w:rsidRPr="00141800">
              <w:rPr>
                <w:rFonts w:cs="Calibri"/>
                <w:b/>
                <w:lang w:val="fr-CH"/>
              </w:rPr>
              <w:t xml:space="preserve"> 2020</w:t>
            </w:r>
          </w:p>
        </w:tc>
        <w:tc>
          <w:tcPr>
            <w:tcW w:w="5528" w:type="dxa"/>
          </w:tcPr>
          <w:p w14:paraId="66094534" w14:textId="322F35BE" w:rsidR="00972D42" w:rsidRPr="00972D42" w:rsidRDefault="00972D42" w:rsidP="00972D42">
            <w:pPr>
              <w:rPr>
                <w:rFonts w:eastAsia="Yu Mincho" w:cs="Calibri"/>
                <w:lang w:val="fr-FR"/>
              </w:rPr>
            </w:pPr>
            <w:r>
              <w:rPr>
                <w:rFonts w:cs="Calibri"/>
                <w:lang w:val="fr-CH"/>
              </w:rPr>
              <w:t>Demande d’appui du Secrétariat pour la préparation du mandat du consultant/de la consultante par le Groupe de travail.</w:t>
            </w:r>
          </w:p>
        </w:tc>
      </w:tr>
      <w:tr w:rsidR="00972D42" w:rsidRPr="002340EA" w14:paraId="0971E467" w14:textId="77777777" w:rsidTr="001A4C3A">
        <w:trPr>
          <w:cantSplit/>
        </w:trPr>
        <w:tc>
          <w:tcPr>
            <w:tcW w:w="3539" w:type="dxa"/>
          </w:tcPr>
          <w:p w14:paraId="76E182EF" w14:textId="729E490C" w:rsidR="00972D42" w:rsidRPr="00717CCD" w:rsidRDefault="00972D42" w:rsidP="00972D42">
            <w:pPr>
              <w:rPr>
                <w:rFonts w:eastAsia="Yu Mincho" w:cs="Calibri"/>
                <w:b/>
                <w:lang w:val="en-US"/>
              </w:rPr>
            </w:pPr>
            <w:r w:rsidRPr="00141800">
              <w:rPr>
                <w:rFonts w:cs="Calibri"/>
                <w:b/>
                <w:lang w:val="fr-CH"/>
              </w:rPr>
              <w:t>A</w:t>
            </w:r>
            <w:r>
              <w:rPr>
                <w:rFonts w:cs="Calibri"/>
                <w:b/>
                <w:lang w:val="fr-CH"/>
              </w:rPr>
              <w:t>oût /septembre</w:t>
            </w:r>
            <w:r w:rsidRPr="00141800">
              <w:rPr>
                <w:rFonts w:cs="Calibri"/>
                <w:b/>
                <w:lang w:val="fr-CH"/>
              </w:rPr>
              <w:t xml:space="preserve"> 2020</w:t>
            </w:r>
          </w:p>
        </w:tc>
        <w:tc>
          <w:tcPr>
            <w:tcW w:w="5528" w:type="dxa"/>
          </w:tcPr>
          <w:p w14:paraId="4468F453" w14:textId="631EEA0A" w:rsidR="00972D42" w:rsidRPr="00972D42" w:rsidRDefault="00972D42" w:rsidP="00972D42">
            <w:pPr>
              <w:rPr>
                <w:rFonts w:eastAsia="Yu Mincho" w:cs="Calibri"/>
                <w:lang w:val="fr-FR"/>
              </w:rPr>
            </w:pPr>
            <w:r w:rsidRPr="00141800">
              <w:rPr>
                <w:rFonts w:cs="Calibri"/>
                <w:lang w:val="fr-CH"/>
              </w:rPr>
              <w:t>Finali</w:t>
            </w:r>
            <w:r>
              <w:rPr>
                <w:rFonts w:cs="Calibri"/>
                <w:lang w:val="fr-CH"/>
              </w:rPr>
              <w:t>ser les mesures nécessaires pour engager le/la consultant(e). Inclure les contributions du Groupe de travail pour faciliter les tâches du consultant/de la consultante.</w:t>
            </w:r>
            <w:r w:rsidRPr="00141800">
              <w:rPr>
                <w:rFonts w:cs="Calibri"/>
                <w:lang w:val="fr-CH"/>
              </w:rPr>
              <w:t xml:space="preserve"> </w:t>
            </w:r>
          </w:p>
        </w:tc>
      </w:tr>
      <w:tr w:rsidR="00972D42" w:rsidRPr="002340EA" w14:paraId="718737AE" w14:textId="77777777" w:rsidTr="001A4C3A">
        <w:trPr>
          <w:cantSplit/>
        </w:trPr>
        <w:tc>
          <w:tcPr>
            <w:tcW w:w="3539" w:type="dxa"/>
          </w:tcPr>
          <w:p w14:paraId="71540B7F" w14:textId="7227DC5E" w:rsidR="00972D42" w:rsidRPr="00717CCD" w:rsidDel="00CF60FF" w:rsidRDefault="00972D42" w:rsidP="00972D42">
            <w:pPr>
              <w:rPr>
                <w:rFonts w:eastAsia="Yu Mincho" w:cs="Calibri"/>
                <w:b/>
                <w:lang w:val="en-US"/>
              </w:rPr>
            </w:pPr>
            <w:r w:rsidRPr="00141800">
              <w:rPr>
                <w:rFonts w:cs="Calibri"/>
                <w:b/>
                <w:lang w:val="fr-CH"/>
              </w:rPr>
              <w:t>Octob</w:t>
            </w:r>
            <w:r>
              <w:rPr>
                <w:rFonts w:cs="Calibri"/>
                <w:b/>
                <w:lang w:val="fr-CH"/>
              </w:rPr>
              <w:t>re</w:t>
            </w:r>
            <w:r w:rsidRPr="00141800">
              <w:rPr>
                <w:rFonts w:cs="Calibri"/>
                <w:b/>
                <w:lang w:val="fr-CH"/>
              </w:rPr>
              <w:t xml:space="preserve"> 2020</w:t>
            </w:r>
          </w:p>
        </w:tc>
        <w:tc>
          <w:tcPr>
            <w:tcW w:w="5528" w:type="dxa"/>
          </w:tcPr>
          <w:p w14:paraId="4049FD4D" w14:textId="4EFD06D3" w:rsidR="00972D42" w:rsidRPr="00972D42" w:rsidRDefault="00972D42" w:rsidP="00972D42">
            <w:pPr>
              <w:rPr>
                <w:rFonts w:eastAsia="Yu Mincho" w:cs="Calibri"/>
                <w:lang w:val="fr-FR"/>
              </w:rPr>
            </w:pPr>
            <w:r>
              <w:rPr>
                <w:rFonts w:cs="Calibri"/>
                <w:lang w:val="fr-CH"/>
              </w:rPr>
              <w:t>Reconnaissance et discussion de la version finale du mandat de consultation et planification pour la présentation aux membres du Comité permanent pour approbation à la 58</w:t>
            </w:r>
            <w:r w:rsidRPr="00C740E9">
              <w:rPr>
                <w:rFonts w:cs="Calibri"/>
                <w:vertAlign w:val="superscript"/>
                <w:lang w:val="fr-CH"/>
              </w:rPr>
              <w:t>e</w:t>
            </w:r>
            <w:r>
              <w:rPr>
                <w:rFonts w:cs="Calibri"/>
                <w:lang w:val="fr-CH"/>
              </w:rPr>
              <w:t> Réunion du Comité permanent (par courriel et/ou vidéoconférence).</w:t>
            </w:r>
          </w:p>
        </w:tc>
      </w:tr>
      <w:tr w:rsidR="00972D42" w:rsidRPr="002340EA" w14:paraId="74875652" w14:textId="77777777" w:rsidTr="001A4C3A">
        <w:trPr>
          <w:cantSplit/>
        </w:trPr>
        <w:tc>
          <w:tcPr>
            <w:tcW w:w="3539" w:type="dxa"/>
          </w:tcPr>
          <w:p w14:paraId="6B6FFDB4" w14:textId="2B602EDB" w:rsidR="00972D42" w:rsidRPr="00F24F32" w:rsidRDefault="00972D42" w:rsidP="00972D42">
            <w:pPr>
              <w:rPr>
                <w:rFonts w:eastAsia="Yu Mincho" w:cs="Calibri"/>
                <w:b/>
                <w:lang w:val="fr-FR"/>
              </w:rPr>
            </w:pPr>
            <w:r w:rsidRPr="00141800">
              <w:rPr>
                <w:rFonts w:cs="Calibri"/>
                <w:b/>
                <w:lang w:val="fr-CH"/>
              </w:rPr>
              <w:t>A</w:t>
            </w:r>
            <w:r>
              <w:rPr>
                <w:rFonts w:cs="Calibri"/>
                <w:b/>
                <w:lang w:val="fr-CH"/>
              </w:rPr>
              <w:t>près approbation par la 58</w:t>
            </w:r>
            <w:r w:rsidRPr="00C740E9">
              <w:rPr>
                <w:rFonts w:cs="Calibri"/>
                <w:b/>
                <w:vertAlign w:val="superscript"/>
                <w:lang w:val="fr-CH"/>
              </w:rPr>
              <w:t>e</w:t>
            </w:r>
            <w:r>
              <w:rPr>
                <w:rFonts w:cs="Calibri"/>
                <w:b/>
                <w:lang w:val="fr-CH"/>
              </w:rPr>
              <w:t> Réunion du Comité permanent </w:t>
            </w:r>
            <w:r w:rsidRPr="00141800">
              <w:rPr>
                <w:rFonts w:cs="Calibri"/>
                <w:b/>
                <w:lang w:val="fr-CH"/>
              </w:rPr>
              <w:t>:</w:t>
            </w:r>
          </w:p>
        </w:tc>
        <w:tc>
          <w:tcPr>
            <w:tcW w:w="5528" w:type="dxa"/>
          </w:tcPr>
          <w:p w14:paraId="2F33E28F" w14:textId="77777777" w:rsidR="00972D42" w:rsidRPr="00F24F32" w:rsidRDefault="00972D42" w:rsidP="00972D42">
            <w:pPr>
              <w:rPr>
                <w:rFonts w:eastAsia="Yu Mincho" w:cs="Calibri"/>
                <w:lang w:val="fr-FR"/>
              </w:rPr>
            </w:pPr>
          </w:p>
        </w:tc>
      </w:tr>
      <w:tr w:rsidR="00972D42" w:rsidRPr="002340EA" w14:paraId="7A1CE564" w14:textId="77777777" w:rsidTr="001A4C3A">
        <w:trPr>
          <w:cantSplit/>
        </w:trPr>
        <w:tc>
          <w:tcPr>
            <w:tcW w:w="3539" w:type="dxa"/>
          </w:tcPr>
          <w:p w14:paraId="070787D8" w14:textId="225BF114" w:rsidR="00972D42" w:rsidRPr="00F24F32" w:rsidRDefault="00972D42" w:rsidP="00972D42">
            <w:pPr>
              <w:rPr>
                <w:rFonts w:eastAsia="Yu Mincho" w:cs="Calibri"/>
                <w:b/>
                <w:lang w:val="fr-FR"/>
              </w:rPr>
            </w:pPr>
            <w:r>
              <w:rPr>
                <w:rFonts w:cs="Calibri"/>
                <w:b/>
                <w:lang w:val="fr-CH"/>
              </w:rPr>
              <w:t>À décider par le Groupe de travail</w:t>
            </w:r>
          </w:p>
        </w:tc>
        <w:tc>
          <w:tcPr>
            <w:tcW w:w="5528" w:type="dxa"/>
          </w:tcPr>
          <w:p w14:paraId="46F32D47" w14:textId="5F90E88E" w:rsidR="00972D42" w:rsidRPr="00972D42" w:rsidRDefault="00972D42" w:rsidP="00972D42">
            <w:pPr>
              <w:rPr>
                <w:rFonts w:eastAsia="Yu Mincho" w:cs="Calibri"/>
                <w:lang w:val="fr-FR"/>
              </w:rPr>
            </w:pPr>
            <w:r>
              <w:rPr>
                <w:rFonts w:cs="Calibri"/>
                <w:lang w:val="fr-CH"/>
              </w:rPr>
              <w:t xml:space="preserve">Début du processus de sélection du consultant/de la consultante. Nomination d’une consultante et première réunion </w:t>
            </w:r>
            <w:r w:rsidRPr="006B4D81">
              <w:rPr>
                <w:rFonts w:cs="Calibri"/>
                <w:lang w:val="fr-CH"/>
              </w:rPr>
              <w:t>d’établissement du plan d’action</w:t>
            </w:r>
            <w:r>
              <w:rPr>
                <w:rFonts w:cs="Calibri"/>
                <w:lang w:val="fr-CH"/>
              </w:rPr>
              <w:t xml:space="preserve"> entre la consultante et le Groupe de travail pour discuter des questions à examiner et du programme de travail (via téléconférence). </w:t>
            </w:r>
          </w:p>
        </w:tc>
      </w:tr>
      <w:tr w:rsidR="00972D42" w:rsidRPr="002340EA" w14:paraId="49AE9494" w14:textId="77777777" w:rsidTr="001A4C3A">
        <w:trPr>
          <w:cantSplit/>
        </w:trPr>
        <w:tc>
          <w:tcPr>
            <w:tcW w:w="3539" w:type="dxa"/>
          </w:tcPr>
          <w:p w14:paraId="41991D0C" w14:textId="6EA56AD9" w:rsidR="00972D42" w:rsidRPr="00F24F32" w:rsidRDefault="00972D42" w:rsidP="00972D42">
            <w:pPr>
              <w:rPr>
                <w:rFonts w:eastAsia="Yu Mincho" w:cs="Calibri"/>
                <w:b/>
                <w:lang w:val="fr-FR"/>
              </w:rPr>
            </w:pPr>
            <w:r>
              <w:rPr>
                <w:rFonts w:cs="Calibri"/>
                <w:b/>
                <w:lang w:val="fr-CH"/>
              </w:rPr>
              <w:t>À décider par le Groupe de travail</w:t>
            </w:r>
          </w:p>
        </w:tc>
        <w:tc>
          <w:tcPr>
            <w:tcW w:w="5528" w:type="dxa"/>
          </w:tcPr>
          <w:p w14:paraId="29FC289B" w14:textId="289EB0E9" w:rsidR="00972D42" w:rsidRPr="00972D42" w:rsidRDefault="00972D42" w:rsidP="00972D42">
            <w:pPr>
              <w:rPr>
                <w:rFonts w:eastAsia="Yu Mincho" w:cs="Calibri"/>
                <w:lang w:val="fr-FR"/>
              </w:rPr>
            </w:pPr>
            <w:r>
              <w:rPr>
                <w:rFonts w:cs="Calibri"/>
                <w:lang w:val="fr-CH"/>
              </w:rPr>
              <w:t>Présentation du plan de travail par la consultante, par courriel, pour approbation. Début du processus de validation par le Groupe de travail.</w:t>
            </w:r>
          </w:p>
        </w:tc>
      </w:tr>
      <w:tr w:rsidR="00972D42" w:rsidRPr="002340EA" w14:paraId="5ECA53DD" w14:textId="77777777" w:rsidTr="001A4C3A">
        <w:trPr>
          <w:cantSplit/>
        </w:trPr>
        <w:tc>
          <w:tcPr>
            <w:tcW w:w="3539" w:type="dxa"/>
          </w:tcPr>
          <w:p w14:paraId="4986DC8A" w14:textId="4F4FCED9" w:rsidR="00972D42" w:rsidRPr="00F24F32" w:rsidRDefault="00972D42" w:rsidP="00972D42">
            <w:pPr>
              <w:rPr>
                <w:rFonts w:eastAsia="Yu Mincho" w:cs="Calibri"/>
                <w:b/>
                <w:lang w:val="fr-FR"/>
              </w:rPr>
            </w:pPr>
            <w:r>
              <w:rPr>
                <w:rFonts w:cs="Calibri"/>
                <w:b/>
                <w:lang w:val="fr-CH"/>
              </w:rPr>
              <w:t>À décider par le Groupe de travail</w:t>
            </w:r>
          </w:p>
        </w:tc>
        <w:tc>
          <w:tcPr>
            <w:tcW w:w="5528" w:type="dxa"/>
          </w:tcPr>
          <w:p w14:paraId="55C76DC0" w14:textId="6D453FCC" w:rsidR="00972D42" w:rsidRPr="00972D42" w:rsidRDefault="00972D42" w:rsidP="00972D42">
            <w:pPr>
              <w:rPr>
                <w:rFonts w:eastAsia="Yu Mincho" w:cs="Calibri"/>
                <w:lang w:val="fr-FR"/>
              </w:rPr>
            </w:pPr>
            <w:r>
              <w:rPr>
                <w:rFonts w:cs="Calibri"/>
                <w:lang w:val="fr-CH"/>
              </w:rPr>
              <w:t>Début des activités de la consultante en accord avec le plan de travail et le programme approuvé par le Groupe de travail.</w:t>
            </w:r>
          </w:p>
        </w:tc>
      </w:tr>
      <w:tr w:rsidR="00972D42" w:rsidRPr="002340EA" w14:paraId="154D585C" w14:textId="77777777" w:rsidTr="001A4C3A">
        <w:trPr>
          <w:cantSplit/>
        </w:trPr>
        <w:tc>
          <w:tcPr>
            <w:tcW w:w="3539" w:type="dxa"/>
          </w:tcPr>
          <w:p w14:paraId="13001B75" w14:textId="1826A9BD" w:rsidR="00972D42" w:rsidRPr="00717CCD" w:rsidRDefault="00972D42" w:rsidP="00972D42">
            <w:pPr>
              <w:rPr>
                <w:rFonts w:eastAsia="Yu Mincho" w:cs="Calibri"/>
                <w:b/>
                <w:lang w:val="en-US"/>
              </w:rPr>
            </w:pPr>
            <w:r>
              <w:rPr>
                <w:rFonts w:cs="Calibri"/>
                <w:b/>
                <w:lang w:val="fr-CH"/>
              </w:rPr>
              <w:t>Selon le programme approuvé</w:t>
            </w:r>
            <w:r w:rsidRPr="00141800" w:rsidDel="00797D77">
              <w:rPr>
                <w:rFonts w:cs="Calibri"/>
                <w:b/>
                <w:lang w:val="fr-CH"/>
              </w:rPr>
              <w:t xml:space="preserve"> </w:t>
            </w:r>
          </w:p>
        </w:tc>
        <w:tc>
          <w:tcPr>
            <w:tcW w:w="5528" w:type="dxa"/>
          </w:tcPr>
          <w:p w14:paraId="062A06A3" w14:textId="5A9A70EA" w:rsidR="00972D42" w:rsidRPr="00972D42" w:rsidRDefault="00972D42" w:rsidP="00972D42">
            <w:pPr>
              <w:rPr>
                <w:rFonts w:eastAsia="Yu Mincho" w:cs="Calibri"/>
                <w:lang w:val="fr-FR"/>
              </w:rPr>
            </w:pPr>
            <w:r>
              <w:rPr>
                <w:rFonts w:cs="Calibri"/>
                <w:lang w:val="fr-CH"/>
              </w:rPr>
              <w:t>Réunion vidéo du Groupe de travail avec la consultante pour discuter du premier rapport de situation et des étapes suivantes.</w:t>
            </w:r>
          </w:p>
        </w:tc>
      </w:tr>
      <w:tr w:rsidR="00972D42" w:rsidRPr="002340EA" w14:paraId="77817736" w14:textId="77777777" w:rsidTr="001A4C3A">
        <w:trPr>
          <w:cantSplit/>
        </w:trPr>
        <w:tc>
          <w:tcPr>
            <w:tcW w:w="3539" w:type="dxa"/>
          </w:tcPr>
          <w:p w14:paraId="53437D4A" w14:textId="2986BDAC" w:rsidR="00972D42" w:rsidRPr="00717CCD" w:rsidRDefault="00972D42" w:rsidP="00972D42">
            <w:pPr>
              <w:rPr>
                <w:rFonts w:eastAsia="Yu Mincho" w:cs="Calibri"/>
                <w:b/>
                <w:lang w:val="en-US"/>
              </w:rPr>
            </w:pPr>
            <w:r>
              <w:rPr>
                <w:rFonts w:cs="Calibri"/>
                <w:b/>
                <w:lang w:val="fr-CH"/>
              </w:rPr>
              <w:t>Selon le programme approuvé</w:t>
            </w:r>
          </w:p>
        </w:tc>
        <w:tc>
          <w:tcPr>
            <w:tcW w:w="5528" w:type="dxa"/>
          </w:tcPr>
          <w:p w14:paraId="5F2A5EBE" w14:textId="541D3C25" w:rsidR="00972D42" w:rsidRPr="00972D42" w:rsidRDefault="00972D42" w:rsidP="00972D42">
            <w:pPr>
              <w:rPr>
                <w:rFonts w:eastAsia="Yu Mincho" w:cs="Calibri"/>
                <w:lang w:val="fr-FR"/>
              </w:rPr>
            </w:pPr>
            <w:r w:rsidRPr="00141800">
              <w:rPr>
                <w:rFonts w:cs="Calibri"/>
                <w:lang w:val="fr-CH"/>
              </w:rPr>
              <w:t xml:space="preserve">Discussion </w:t>
            </w:r>
            <w:r>
              <w:rPr>
                <w:rFonts w:cs="Calibri"/>
                <w:lang w:val="fr-CH"/>
              </w:rPr>
              <w:t xml:space="preserve">par le Groupe de travail des résultats de la consultation et étapes suivantes (par téléconférence et échange de courriels). </w:t>
            </w:r>
          </w:p>
        </w:tc>
      </w:tr>
      <w:tr w:rsidR="00972D42" w:rsidRPr="002340EA" w14:paraId="03B95B76" w14:textId="77777777" w:rsidTr="001A4C3A">
        <w:trPr>
          <w:cantSplit/>
        </w:trPr>
        <w:tc>
          <w:tcPr>
            <w:tcW w:w="3539" w:type="dxa"/>
            <w:shd w:val="clear" w:color="auto" w:fill="92D050"/>
          </w:tcPr>
          <w:p w14:paraId="3CC74ACD" w14:textId="47049710" w:rsidR="00972D42" w:rsidRPr="00F24F32" w:rsidRDefault="00972D42" w:rsidP="00972D42">
            <w:pPr>
              <w:rPr>
                <w:rFonts w:eastAsia="Yu Mincho" w:cs="Calibri"/>
                <w:b/>
                <w:lang w:val="fr-FR"/>
              </w:rPr>
            </w:pPr>
            <w:r>
              <w:rPr>
                <w:rFonts w:cs="Calibri"/>
                <w:b/>
                <w:lang w:val="fr-CH"/>
              </w:rPr>
              <w:t>Selon la date de la 59</w:t>
            </w:r>
            <w:r w:rsidRPr="00F7364C">
              <w:rPr>
                <w:rFonts w:cs="Calibri"/>
                <w:b/>
                <w:vertAlign w:val="superscript"/>
                <w:lang w:val="fr-CH"/>
              </w:rPr>
              <w:t>e</w:t>
            </w:r>
            <w:r>
              <w:rPr>
                <w:rFonts w:cs="Calibri"/>
                <w:b/>
                <w:lang w:val="fr-CH"/>
              </w:rPr>
              <w:t> Réunion du Comité permanent</w:t>
            </w:r>
            <w:r w:rsidRPr="00141800">
              <w:rPr>
                <w:rFonts w:cs="Calibri"/>
                <w:b/>
                <w:lang w:val="fr-CH"/>
              </w:rPr>
              <w:t xml:space="preserve"> (</w:t>
            </w:r>
            <w:r>
              <w:rPr>
                <w:rFonts w:cs="Calibri"/>
                <w:b/>
                <w:lang w:val="fr-CH"/>
              </w:rPr>
              <w:t>mai </w:t>
            </w:r>
            <w:r w:rsidRPr="00141800">
              <w:rPr>
                <w:rFonts w:cs="Calibri"/>
                <w:b/>
                <w:lang w:val="fr-CH"/>
              </w:rPr>
              <w:t>2021)</w:t>
            </w:r>
          </w:p>
        </w:tc>
        <w:tc>
          <w:tcPr>
            <w:tcW w:w="5528" w:type="dxa"/>
            <w:shd w:val="clear" w:color="auto" w:fill="92D050"/>
          </w:tcPr>
          <w:p w14:paraId="448D81CC" w14:textId="77777777" w:rsidR="00972D42" w:rsidRPr="00F24F32" w:rsidRDefault="00972D42" w:rsidP="00972D42">
            <w:pPr>
              <w:rPr>
                <w:rFonts w:eastAsia="Yu Mincho" w:cs="Calibri"/>
                <w:lang w:val="fr-FR"/>
              </w:rPr>
            </w:pPr>
          </w:p>
        </w:tc>
      </w:tr>
      <w:tr w:rsidR="00972D42" w:rsidRPr="002340EA" w14:paraId="5CB3E26E" w14:textId="77777777" w:rsidTr="001A4C3A">
        <w:trPr>
          <w:cantSplit/>
        </w:trPr>
        <w:tc>
          <w:tcPr>
            <w:tcW w:w="3539" w:type="dxa"/>
          </w:tcPr>
          <w:p w14:paraId="78F66401" w14:textId="0272A698" w:rsidR="00972D42" w:rsidRPr="00F24F32" w:rsidRDefault="00972D42" w:rsidP="00972D42">
            <w:pPr>
              <w:rPr>
                <w:rFonts w:eastAsia="Yu Mincho" w:cs="Calibri"/>
                <w:b/>
                <w:lang w:val="fr-FR"/>
              </w:rPr>
            </w:pPr>
            <w:r w:rsidRPr="00141800">
              <w:rPr>
                <w:rFonts w:cs="Calibri"/>
                <w:b/>
                <w:lang w:val="fr-CH"/>
              </w:rPr>
              <w:t>5 mo</w:t>
            </w:r>
            <w:r>
              <w:rPr>
                <w:rFonts w:cs="Calibri"/>
                <w:b/>
                <w:lang w:val="fr-CH"/>
              </w:rPr>
              <w:t>is avant la 59</w:t>
            </w:r>
            <w:r w:rsidRPr="00F7364C">
              <w:rPr>
                <w:rFonts w:cs="Calibri"/>
                <w:b/>
                <w:vertAlign w:val="superscript"/>
                <w:lang w:val="fr-CH"/>
              </w:rPr>
              <w:t>e</w:t>
            </w:r>
            <w:r>
              <w:rPr>
                <w:rFonts w:cs="Calibri"/>
                <w:b/>
                <w:lang w:val="fr-CH"/>
              </w:rPr>
              <w:t> Réunion du Comité permanent</w:t>
            </w:r>
            <w:r w:rsidRPr="00141800">
              <w:rPr>
                <w:rFonts w:cs="Calibri"/>
                <w:b/>
                <w:lang w:val="fr-CH"/>
              </w:rPr>
              <w:t xml:space="preserve"> </w:t>
            </w:r>
          </w:p>
        </w:tc>
        <w:tc>
          <w:tcPr>
            <w:tcW w:w="5528" w:type="dxa"/>
          </w:tcPr>
          <w:p w14:paraId="1F6765AA" w14:textId="10D91F43" w:rsidR="00972D42" w:rsidRPr="00972D42" w:rsidRDefault="00972D42" w:rsidP="00972D42">
            <w:pPr>
              <w:rPr>
                <w:rFonts w:eastAsia="Yu Mincho" w:cs="Calibri"/>
                <w:lang w:val="fr-FR"/>
              </w:rPr>
            </w:pPr>
            <w:r>
              <w:rPr>
                <w:rFonts w:cs="Calibri"/>
                <w:lang w:val="fr-CH"/>
              </w:rPr>
              <w:t xml:space="preserve">Réunion du Groupe de travail – pour discuter des progrès des travaux (téléconférence). </w:t>
            </w:r>
          </w:p>
        </w:tc>
      </w:tr>
      <w:tr w:rsidR="00972D42" w:rsidRPr="002340EA" w14:paraId="5F74FE33" w14:textId="77777777" w:rsidTr="005538E4">
        <w:trPr>
          <w:cantSplit/>
        </w:trPr>
        <w:tc>
          <w:tcPr>
            <w:tcW w:w="3539" w:type="dxa"/>
          </w:tcPr>
          <w:p w14:paraId="7C026E39" w14:textId="6CC08E1C" w:rsidR="00972D42" w:rsidRPr="00F24F32" w:rsidRDefault="00972D42" w:rsidP="00972D42">
            <w:pPr>
              <w:rPr>
                <w:rFonts w:eastAsia="Yu Mincho" w:cs="Calibri"/>
                <w:b/>
                <w:lang w:val="fr-FR"/>
              </w:rPr>
            </w:pPr>
            <w:r>
              <w:rPr>
                <w:rFonts w:cs="Calibri"/>
                <w:b/>
                <w:lang w:val="fr-CH"/>
              </w:rPr>
              <w:lastRenderedPageBreak/>
              <w:t>3</w:t>
            </w:r>
            <w:r w:rsidRPr="00141800">
              <w:rPr>
                <w:rFonts w:cs="Calibri"/>
                <w:b/>
                <w:lang w:val="fr-CH"/>
              </w:rPr>
              <w:t xml:space="preserve"> mo</w:t>
            </w:r>
            <w:r>
              <w:rPr>
                <w:rFonts w:cs="Calibri"/>
                <w:b/>
                <w:lang w:val="fr-CH"/>
              </w:rPr>
              <w:t>is avant la 59</w:t>
            </w:r>
            <w:r w:rsidRPr="00F7364C">
              <w:rPr>
                <w:rFonts w:cs="Calibri"/>
                <w:b/>
                <w:vertAlign w:val="superscript"/>
                <w:lang w:val="fr-CH"/>
              </w:rPr>
              <w:t>e</w:t>
            </w:r>
            <w:r>
              <w:rPr>
                <w:rFonts w:cs="Calibri"/>
                <w:b/>
                <w:lang w:val="fr-CH"/>
              </w:rPr>
              <w:t> Réunion du Comité permanent</w:t>
            </w:r>
          </w:p>
        </w:tc>
        <w:tc>
          <w:tcPr>
            <w:tcW w:w="5528" w:type="dxa"/>
          </w:tcPr>
          <w:p w14:paraId="044B7FDD" w14:textId="4BB642EE" w:rsidR="00972D42" w:rsidRPr="00972D42" w:rsidRDefault="00972D42" w:rsidP="00972D42">
            <w:pPr>
              <w:rPr>
                <w:rFonts w:eastAsia="Yu Mincho" w:cs="Calibri"/>
                <w:lang w:val="fr-FR"/>
              </w:rPr>
            </w:pPr>
            <w:r>
              <w:rPr>
                <w:rFonts w:cs="Calibri"/>
                <w:lang w:val="fr-CH"/>
              </w:rPr>
              <w:t>Réunion du Groupe de travail avec la Consultante pour discuter du rapport final et de la préparation de l’annexe au projet de résolution tenant compte des principes énumérés au paragraphe 8 de la Résolution </w:t>
            </w:r>
            <w:r w:rsidRPr="00141800">
              <w:rPr>
                <w:rFonts w:cs="Calibri"/>
                <w:lang w:val="fr-CH"/>
              </w:rPr>
              <w:t>XIII.9 (</w:t>
            </w:r>
            <w:r>
              <w:rPr>
                <w:rFonts w:cs="Calibri"/>
                <w:lang w:val="fr-CH"/>
              </w:rPr>
              <w:t xml:space="preserve">pourrait être par téléconférence s’il n’y a pas la possibilité d’organiser une réunion présentielle). </w:t>
            </w:r>
          </w:p>
        </w:tc>
      </w:tr>
      <w:tr w:rsidR="00972D42" w:rsidRPr="002340EA" w14:paraId="22549765" w14:textId="77777777" w:rsidTr="001A4C3A">
        <w:trPr>
          <w:cantSplit/>
        </w:trPr>
        <w:tc>
          <w:tcPr>
            <w:tcW w:w="3539" w:type="dxa"/>
          </w:tcPr>
          <w:p w14:paraId="5481CF34" w14:textId="3218ACF4" w:rsidR="00972D42" w:rsidRPr="00972D42" w:rsidRDefault="00972D42" w:rsidP="00972D42">
            <w:pPr>
              <w:rPr>
                <w:rFonts w:eastAsia="Yu Mincho" w:cs="Calibri"/>
                <w:b/>
                <w:lang w:val="fr-FR"/>
              </w:rPr>
            </w:pPr>
            <w:r>
              <w:rPr>
                <w:rFonts w:cs="Calibri"/>
                <w:b/>
                <w:lang w:val="fr-CH"/>
              </w:rPr>
              <w:t>2</w:t>
            </w:r>
            <w:r w:rsidRPr="00141800">
              <w:rPr>
                <w:rFonts w:cs="Calibri"/>
                <w:b/>
                <w:lang w:val="fr-CH"/>
              </w:rPr>
              <w:t xml:space="preserve"> mo</w:t>
            </w:r>
            <w:r>
              <w:rPr>
                <w:rFonts w:cs="Calibri"/>
                <w:b/>
                <w:lang w:val="fr-CH"/>
              </w:rPr>
              <w:t>is avant la 59</w:t>
            </w:r>
            <w:r w:rsidRPr="00F7364C">
              <w:rPr>
                <w:rFonts w:cs="Calibri"/>
                <w:b/>
                <w:vertAlign w:val="superscript"/>
                <w:lang w:val="fr-CH"/>
              </w:rPr>
              <w:t>e</w:t>
            </w:r>
            <w:r>
              <w:rPr>
                <w:rFonts w:cs="Calibri"/>
                <w:b/>
                <w:lang w:val="fr-CH"/>
              </w:rPr>
              <w:t> Réunion du Comité permanent</w:t>
            </w:r>
            <w:r w:rsidRPr="00141800">
              <w:rPr>
                <w:rFonts w:cs="Calibri"/>
                <w:b/>
                <w:lang w:val="fr-CH"/>
              </w:rPr>
              <w:t xml:space="preserve"> </w:t>
            </w:r>
          </w:p>
        </w:tc>
        <w:tc>
          <w:tcPr>
            <w:tcW w:w="5528" w:type="dxa"/>
          </w:tcPr>
          <w:p w14:paraId="12F6D4F6" w14:textId="6F0A174C" w:rsidR="00972D42" w:rsidRPr="00972D42" w:rsidRDefault="00972D42" w:rsidP="00972D42">
            <w:pPr>
              <w:rPr>
                <w:rFonts w:eastAsia="Yu Mincho" w:cs="Calibri"/>
                <w:lang w:val="fr-FR"/>
              </w:rPr>
            </w:pPr>
            <w:r w:rsidRPr="00141800">
              <w:rPr>
                <w:rFonts w:cs="Calibri"/>
                <w:lang w:val="fr-CH"/>
              </w:rPr>
              <w:t>Pr</w:t>
            </w:r>
            <w:r>
              <w:rPr>
                <w:rFonts w:cs="Calibri"/>
                <w:lang w:val="fr-CH"/>
              </w:rPr>
              <w:t>ésentation, au Secrétariat, du rapport du Groupe de travail pour la 59</w:t>
            </w:r>
            <w:r w:rsidRPr="00453947">
              <w:rPr>
                <w:rFonts w:cs="Calibri"/>
                <w:vertAlign w:val="superscript"/>
                <w:lang w:val="fr-CH"/>
              </w:rPr>
              <w:t>e</w:t>
            </w:r>
            <w:r>
              <w:rPr>
                <w:rFonts w:cs="Calibri"/>
                <w:lang w:val="fr-CH"/>
              </w:rPr>
              <w:t> Réunion du Comité permanent.</w:t>
            </w:r>
          </w:p>
        </w:tc>
      </w:tr>
      <w:tr w:rsidR="00972D42" w:rsidRPr="002340EA" w14:paraId="54478AB6" w14:textId="77777777" w:rsidTr="001A4C3A">
        <w:trPr>
          <w:cantSplit/>
        </w:trPr>
        <w:tc>
          <w:tcPr>
            <w:tcW w:w="3539" w:type="dxa"/>
          </w:tcPr>
          <w:p w14:paraId="2240AFBF" w14:textId="77AFCBF4" w:rsidR="00972D42" w:rsidRPr="00972D42" w:rsidRDefault="00972D42" w:rsidP="00972D42">
            <w:pPr>
              <w:rPr>
                <w:rFonts w:eastAsia="Yu Mincho" w:cs="Calibri"/>
                <w:b/>
                <w:lang w:val="fr-FR"/>
              </w:rPr>
            </w:pPr>
            <w:r>
              <w:rPr>
                <w:rFonts w:cs="Calibri"/>
                <w:b/>
                <w:lang w:val="fr-CH"/>
              </w:rPr>
              <w:t>À la 59</w:t>
            </w:r>
            <w:r w:rsidRPr="00F7364C">
              <w:rPr>
                <w:rFonts w:cs="Calibri"/>
                <w:b/>
                <w:vertAlign w:val="superscript"/>
                <w:lang w:val="fr-CH"/>
              </w:rPr>
              <w:t>e</w:t>
            </w:r>
            <w:r>
              <w:rPr>
                <w:rFonts w:cs="Calibri"/>
                <w:b/>
                <w:lang w:val="fr-CH"/>
              </w:rPr>
              <w:t> Réunion du Comité permanent</w:t>
            </w:r>
            <w:r w:rsidRPr="00141800">
              <w:rPr>
                <w:rFonts w:cs="Calibri"/>
                <w:b/>
                <w:lang w:val="fr-CH"/>
              </w:rPr>
              <w:t xml:space="preserve"> </w:t>
            </w:r>
          </w:p>
        </w:tc>
        <w:tc>
          <w:tcPr>
            <w:tcW w:w="5528" w:type="dxa"/>
          </w:tcPr>
          <w:p w14:paraId="26A2F2C1" w14:textId="5925EB66" w:rsidR="00972D42" w:rsidRPr="00972D42" w:rsidRDefault="00972D42" w:rsidP="00972D42">
            <w:pPr>
              <w:rPr>
                <w:rFonts w:eastAsia="Yu Mincho" w:cs="Calibri"/>
                <w:lang w:val="fr-FR"/>
              </w:rPr>
            </w:pPr>
            <w:r w:rsidRPr="00141800">
              <w:rPr>
                <w:rFonts w:cs="Calibri"/>
                <w:lang w:val="fr-CH"/>
              </w:rPr>
              <w:t>Pr</w:t>
            </w:r>
            <w:r>
              <w:rPr>
                <w:rFonts w:cs="Calibri"/>
                <w:lang w:val="fr-CH"/>
              </w:rPr>
              <w:t xml:space="preserve">ésentation du rapport final du Groupe de travail. </w:t>
            </w:r>
          </w:p>
        </w:tc>
      </w:tr>
    </w:tbl>
    <w:p w14:paraId="21F15B85" w14:textId="5AC17C75" w:rsidR="00D3734D" w:rsidRPr="00972D42" w:rsidRDefault="00D3734D" w:rsidP="0012489A">
      <w:pPr>
        <w:ind w:left="0" w:firstLine="0"/>
        <w:rPr>
          <w:rFonts w:eastAsia="Yu Mincho" w:cs="Calibri"/>
          <w:b/>
          <w:lang w:val="fr-FR"/>
        </w:rPr>
      </w:pPr>
    </w:p>
    <w:sectPr w:rsidR="00D3734D" w:rsidRPr="00972D42" w:rsidSect="002137E0">
      <w:headerReference w:type="default" r:id="rId17"/>
      <w:footerReference w:type="default" r:id="rId18"/>
      <w:footerReference w:type="first" r:id="rId1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1E392" w14:textId="77777777" w:rsidR="005538E4" w:rsidRDefault="005538E4" w:rsidP="00DF2386">
      <w:r>
        <w:separator/>
      </w:r>
    </w:p>
  </w:endnote>
  <w:endnote w:type="continuationSeparator" w:id="0">
    <w:p w14:paraId="60015746" w14:textId="77777777" w:rsidR="005538E4" w:rsidRDefault="005538E4" w:rsidP="00DF2386">
      <w:r>
        <w:continuationSeparator/>
      </w:r>
    </w:p>
  </w:endnote>
  <w:endnote w:type="continuationNotice" w:id="1">
    <w:p w14:paraId="33565520" w14:textId="77777777" w:rsidR="005538E4" w:rsidRDefault="00553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a??f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9D883" w14:textId="5C899C62" w:rsidR="005538E4" w:rsidRPr="00B36CB0" w:rsidRDefault="005538E4" w:rsidP="00B36CB0">
    <w:pPr>
      <w:pStyle w:val="Header"/>
      <w:rPr>
        <w:noProof/>
        <w:sz w:val="20"/>
        <w:szCs w:val="20"/>
      </w:rPr>
    </w:pPr>
    <w:r w:rsidRPr="00A77D00">
      <w:rPr>
        <w:sz w:val="20"/>
        <w:szCs w:val="20"/>
      </w:rPr>
      <w:t>SC59 Doc.21.1</w:t>
    </w:r>
    <w:r w:rsidRPr="00A77D00">
      <w:rPr>
        <w:sz w:val="20"/>
        <w:szCs w:val="20"/>
      </w:rPr>
      <w:tab/>
    </w:r>
    <w:r w:rsidRPr="00A77D00">
      <w:rPr>
        <w:sz w:val="20"/>
        <w:szCs w:val="20"/>
      </w:rPr>
      <w:tab/>
    </w:r>
    <w:sdt>
      <w:sdtPr>
        <w:rPr>
          <w:sz w:val="20"/>
          <w:szCs w:val="20"/>
        </w:rPr>
        <w:id w:val="-1515519963"/>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972099">
          <w:rPr>
            <w:noProof/>
            <w:sz w:val="20"/>
            <w:szCs w:val="20"/>
          </w:rPr>
          <w:t>3</w:t>
        </w:r>
        <w:r w:rsidRPr="00A77D00">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F2FE" w14:textId="5AEAD217" w:rsidR="005538E4" w:rsidRPr="00A77D00" w:rsidRDefault="005538E4" w:rsidP="00E92A24">
    <w:pPr>
      <w:pStyle w:val="Header"/>
      <w:tabs>
        <w:tab w:val="clear" w:pos="9026"/>
        <w:tab w:val="right" w:pos="14034"/>
      </w:tabs>
      <w:rPr>
        <w:noProof/>
        <w:sz w:val="20"/>
        <w:szCs w:val="20"/>
      </w:rPr>
    </w:pPr>
    <w:r w:rsidRPr="00A77D00">
      <w:rPr>
        <w:sz w:val="20"/>
        <w:szCs w:val="20"/>
      </w:rPr>
      <w:t>SC59 Doc.21.1</w:t>
    </w:r>
    <w:r w:rsidRPr="00A77D00">
      <w:rPr>
        <w:sz w:val="20"/>
        <w:szCs w:val="20"/>
      </w:rPr>
      <w:tab/>
    </w:r>
    <w:r w:rsidRPr="00A77D00">
      <w:rPr>
        <w:sz w:val="20"/>
        <w:szCs w:val="20"/>
      </w:rPr>
      <w:tab/>
    </w:r>
    <w:sdt>
      <w:sdtPr>
        <w:rPr>
          <w:sz w:val="20"/>
          <w:szCs w:val="20"/>
        </w:rPr>
        <w:id w:val="1864174430"/>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972099">
          <w:rPr>
            <w:noProof/>
            <w:sz w:val="20"/>
            <w:szCs w:val="20"/>
          </w:rPr>
          <w:t>21</w:t>
        </w:r>
        <w:r w:rsidRPr="00A77D00">
          <w:rPr>
            <w:noProof/>
            <w:sz w:val="20"/>
            <w:szCs w:val="20"/>
          </w:rPr>
          <w:fldChar w:fldCharType="end"/>
        </w:r>
      </w:sdtContent>
    </w:sdt>
  </w:p>
  <w:p w14:paraId="58B0D90E" w14:textId="77777777" w:rsidR="005538E4" w:rsidRDefault="005538E4" w:rsidP="00A77D00">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BE40" w14:textId="774E35DB" w:rsidR="005538E4" w:rsidRPr="00A77D00" w:rsidRDefault="005538E4" w:rsidP="002137E0">
    <w:pPr>
      <w:pStyle w:val="Header"/>
      <w:rPr>
        <w:noProof/>
        <w:sz w:val="20"/>
        <w:szCs w:val="20"/>
      </w:rPr>
    </w:pPr>
    <w:r w:rsidRPr="00A77D00">
      <w:rPr>
        <w:sz w:val="20"/>
        <w:szCs w:val="20"/>
      </w:rPr>
      <w:t>SC59 Doc.21.1</w:t>
    </w:r>
    <w:r w:rsidRPr="00A77D00">
      <w:rPr>
        <w:sz w:val="20"/>
        <w:szCs w:val="20"/>
      </w:rPr>
      <w:tab/>
    </w:r>
    <w:r w:rsidRPr="00A77D00">
      <w:rPr>
        <w:sz w:val="20"/>
        <w:szCs w:val="20"/>
      </w:rPr>
      <w:tab/>
    </w:r>
    <w:sdt>
      <w:sdtPr>
        <w:rPr>
          <w:sz w:val="20"/>
          <w:szCs w:val="20"/>
        </w:rPr>
        <w:id w:val="-1790969534"/>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27343B">
          <w:rPr>
            <w:noProof/>
            <w:sz w:val="20"/>
            <w:szCs w:val="20"/>
          </w:rPr>
          <w:t>28</w:t>
        </w:r>
        <w:r w:rsidRPr="00A77D00">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352B" w14:textId="48A9C409" w:rsidR="005538E4" w:rsidRPr="00A77D00" w:rsidRDefault="005538E4" w:rsidP="00A77D00">
    <w:pPr>
      <w:pStyle w:val="Header"/>
      <w:rPr>
        <w:noProof/>
        <w:sz w:val="20"/>
        <w:szCs w:val="20"/>
      </w:rPr>
    </w:pPr>
    <w:r w:rsidRPr="00A77D00">
      <w:rPr>
        <w:sz w:val="20"/>
        <w:szCs w:val="20"/>
      </w:rPr>
      <w:t>SC59 Doc.21.1</w:t>
    </w:r>
    <w:r w:rsidRPr="00A77D00">
      <w:rPr>
        <w:sz w:val="20"/>
        <w:szCs w:val="20"/>
      </w:rPr>
      <w:tab/>
    </w:r>
    <w:r w:rsidRPr="00A77D00">
      <w:rPr>
        <w:sz w:val="20"/>
        <w:szCs w:val="20"/>
      </w:rPr>
      <w:tab/>
    </w:r>
    <w:sdt>
      <w:sdtPr>
        <w:rPr>
          <w:sz w:val="20"/>
          <w:szCs w:val="20"/>
        </w:rPr>
        <w:id w:val="2111695882"/>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27343B">
          <w:rPr>
            <w:noProof/>
            <w:sz w:val="20"/>
            <w:szCs w:val="20"/>
          </w:rPr>
          <w:t>26</w:t>
        </w:r>
        <w:r w:rsidRPr="00A77D0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A5125" w14:textId="77777777" w:rsidR="005538E4" w:rsidRDefault="005538E4" w:rsidP="00DF2386">
      <w:r>
        <w:separator/>
      </w:r>
    </w:p>
  </w:footnote>
  <w:footnote w:type="continuationSeparator" w:id="0">
    <w:p w14:paraId="3A125B06" w14:textId="77777777" w:rsidR="005538E4" w:rsidRDefault="005538E4" w:rsidP="00DF2386">
      <w:r>
        <w:continuationSeparator/>
      </w:r>
    </w:p>
  </w:footnote>
  <w:footnote w:type="continuationNotice" w:id="1">
    <w:p w14:paraId="00E04A20" w14:textId="77777777" w:rsidR="005538E4" w:rsidRDefault="005538E4"/>
  </w:footnote>
  <w:footnote w:id="2">
    <w:p w14:paraId="4356DB9C" w14:textId="367FE58B" w:rsidR="005538E4" w:rsidRPr="00876766" w:rsidRDefault="005538E4">
      <w:pPr>
        <w:pStyle w:val="FootnoteText"/>
        <w:rPr>
          <w:sz w:val="18"/>
          <w:szCs w:val="18"/>
          <w:lang w:val="fr-FR"/>
        </w:rPr>
      </w:pPr>
      <w:r>
        <w:rPr>
          <w:rStyle w:val="FootnoteReference"/>
        </w:rPr>
        <w:footnoteRef/>
      </w:r>
      <w:r w:rsidRPr="00DE1F91">
        <w:rPr>
          <w:lang w:val="fr-FR"/>
        </w:rPr>
        <w:t xml:space="preserve"> </w:t>
      </w:r>
      <w:r w:rsidRPr="00876766">
        <w:rPr>
          <w:sz w:val="18"/>
          <w:szCs w:val="18"/>
          <w:lang w:val="fr-FR"/>
        </w:rPr>
        <w:t xml:space="preserve">Un phénomène ou un ensemble de phénomènes incertains qui, s’ils se produisent, influenceront la réalisation des objectifs </w:t>
      </w:r>
    </w:p>
  </w:footnote>
  <w:footnote w:id="3">
    <w:p w14:paraId="722F7A9C" w14:textId="301EA658" w:rsidR="005538E4" w:rsidRPr="00F85858" w:rsidRDefault="005538E4" w:rsidP="007B7631">
      <w:pPr>
        <w:pStyle w:val="FootnoteText"/>
        <w:rPr>
          <w:lang w:val="fr-FR"/>
        </w:rPr>
      </w:pPr>
      <w:r>
        <w:rPr>
          <w:rStyle w:val="FootnoteReference"/>
        </w:rPr>
        <w:footnoteRef/>
      </w:r>
      <w:r w:rsidRPr="00F85858">
        <w:rPr>
          <w:lang w:val="fr-FR"/>
        </w:rPr>
        <w:t xml:space="preserve"> </w:t>
      </w:r>
      <w:r w:rsidRPr="00F85858">
        <w:rPr>
          <w:sz w:val="18"/>
          <w:szCs w:val="18"/>
          <w:lang w:val="fr-FR"/>
        </w:rPr>
        <w:t>1- IRR coordonnées par une Partie contractante ; 2- IRR coordonnées par un</w:t>
      </w:r>
      <w:r>
        <w:rPr>
          <w:sz w:val="18"/>
          <w:szCs w:val="18"/>
          <w:lang w:val="fr-FR"/>
        </w:rPr>
        <w:t xml:space="preserve"> s</w:t>
      </w:r>
      <w:r w:rsidRPr="00F85858">
        <w:rPr>
          <w:sz w:val="18"/>
          <w:szCs w:val="18"/>
          <w:lang w:val="fr-FR"/>
        </w:rPr>
        <w:t>ecrétariat indépendant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7BBB" w14:textId="77777777" w:rsidR="005538E4" w:rsidRDefault="005538E4">
    <w:pPr>
      <w:pStyle w:val="Header"/>
    </w:pPr>
  </w:p>
  <w:p w14:paraId="2AE5869B" w14:textId="77777777" w:rsidR="005538E4" w:rsidRDefault="00553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99A"/>
    <w:multiLevelType w:val="multilevel"/>
    <w:tmpl w:val="8B6069B4"/>
    <w:lvl w:ilvl="0">
      <w:start w:val="7"/>
      <w:numFmt w:val="decimal"/>
      <w:lvlText w:val="%1"/>
      <w:lvlJc w:val="left"/>
      <w:pPr>
        <w:ind w:left="360" w:hanging="360"/>
      </w:pPr>
      <w:rPr>
        <w:rFonts w:hint="default"/>
      </w:rPr>
    </w:lvl>
    <w:lvl w:ilvl="1">
      <w:start w:val="1"/>
      <w:numFmt w:val="decimal"/>
      <w:lvlText w:val="%2."/>
      <w:lvlJc w:val="left"/>
      <w:pPr>
        <w:ind w:left="1070" w:hanging="360"/>
      </w:pPr>
      <w:rPr>
        <w:rFonts w:ascii="Calibri" w:eastAsia="Calibri" w:hAnsi="Calibri" w:cstheme="minorHAnsi"/>
        <w:lang w:val="fr-FR"/>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5F04AE"/>
    <w:multiLevelType w:val="hybridMultilevel"/>
    <w:tmpl w:val="7A0A3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3" w15:restartNumberingAfterBreak="0">
    <w:nsid w:val="10FA7389"/>
    <w:multiLevelType w:val="hybridMultilevel"/>
    <w:tmpl w:val="64BAA4FC"/>
    <w:lvl w:ilvl="0" w:tplc="0A608148">
      <w:start w:val="3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E9B51A0"/>
    <w:multiLevelType w:val="hybridMultilevel"/>
    <w:tmpl w:val="54CEB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1F83B5C"/>
    <w:multiLevelType w:val="hybridMultilevel"/>
    <w:tmpl w:val="EF9E0A38"/>
    <w:lvl w:ilvl="0" w:tplc="CE9CED28">
      <w:start w:val="1"/>
      <w:numFmt w:val="bullet"/>
      <w:lvlText w:val="•"/>
      <w:lvlJc w:val="left"/>
      <w:pPr>
        <w:ind w:left="1092" w:hanging="360"/>
      </w:pPr>
      <w:rPr>
        <w:rFonts w:hint="default"/>
        <w:sz w:val="22"/>
        <w:szCs w:val="22"/>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33CE1121"/>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15:restartNumberingAfterBreak="0">
    <w:nsid w:val="33FD2BFF"/>
    <w:multiLevelType w:val="hybridMultilevel"/>
    <w:tmpl w:val="D6CCDC32"/>
    <w:lvl w:ilvl="0" w:tplc="EDCE8482">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8" w15:restartNumberingAfterBreak="0">
    <w:nsid w:val="55F13E21"/>
    <w:multiLevelType w:val="hybridMultilevel"/>
    <w:tmpl w:val="B978B748"/>
    <w:lvl w:ilvl="0" w:tplc="175ED4FE">
      <w:start w:val="1"/>
      <w:numFmt w:val="lowerLetter"/>
      <w:lvlText w:val="%1)"/>
      <w:lvlJc w:val="left"/>
      <w:pPr>
        <w:ind w:left="791" w:hanging="360"/>
      </w:pPr>
      <w:rPr>
        <w:rFonts w:hAnsi="Arial Unicode MS" w:hint="default"/>
        <w:caps w:val="0"/>
        <w:smallCaps w:val="0"/>
        <w:strike w:val="0"/>
        <w:dstrike w:val="0"/>
        <w:outline w:val="0"/>
        <w:emboss w:val="0"/>
        <w:imprint w:val="0"/>
        <w:spacing w:val="0"/>
        <w:w w:val="100"/>
        <w:kern w:val="0"/>
        <w:position w:val="0"/>
        <w:vertAlign w:val="baseline"/>
      </w:rPr>
    </w:lvl>
    <w:lvl w:ilvl="1" w:tplc="78CA80AA">
      <w:start w:val="1"/>
      <w:numFmt w:val="lowerRoman"/>
      <w:lvlText w:val="%2)"/>
      <w:lvlJc w:val="left"/>
      <w:pPr>
        <w:ind w:left="1511" w:hanging="360"/>
      </w:pPr>
      <w:rPr>
        <w:rFonts w:hAnsi="Arial Unicode MS" w:hint="default"/>
        <w:caps w:val="0"/>
        <w:smallCaps w:val="0"/>
        <w:strike w:val="0"/>
        <w:dstrike w:val="0"/>
        <w:outline w:val="0"/>
        <w:emboss w:val="0"/>
        <w:imprint w:val="0"/>
        <w:spacing w:val="0"/>
        <w:w w:val="100"/>
        <w:kern w:val="0"/>
        <w:position w:val="0"/>
        <w:vertAlign w:val="baseline"/>
      </w:rPr>
    </w:lvl>
    <w:lvl w:ilvl="2" w:tplc="041D0005">
      <w:start w:val="1"/>
      <w:numFmt w:val="bullet"/>
      <w:lvlText w:val=""/>
      <w:lvlJc w:val="left"/>
      <w:pPr>
        <w:ind w:left="2231" w:hanging="360"/>
      </w:pPr>
      <w:rPr>
        <w:rFonts w:ascii="Wingdings" w:hAnsi="Wingdings" w:hint="default"/>
      </w:rPr>
    </w:lvl>
    <w:lvl w:ilvl="3" w:tplc="041D0001" w:tentative="1">
      <w:start w:val="1"/>
      <w:numFmt w:val="bullet"/>
      <w:lvlText w:val=""/>
      <w:lvlJc w:val="left"/>
      <w:pPr>
        <w:ind w:left="2951" w:hanging="360"/>
      </w:pPr>
      <w:rPr>
        <w:rFonts w:ascii="Symbol" w:hAnsi="Symbol" w:hint="default"/>
      </w:rPr>
    </w:lvl>
    <w:lvl w:ilvl="4" w:tplc="041D0003" w:tentative="1">
      <w:start w:val="1"/>
      <w:numFmt w:val="bullet"/>
      <w:lvlText w:val="o"/>
      <w:lvlJc w:val="left"/>
      <w:pPr>
        <w:ind w:left="3671" w:hanging="360"/>
      </w:pPr>
      <w:rPr>
        <w:rFonts w:ascii="Courier New" w:hAnsi="Courier New" w:cs="Courier New" w:hint="default"/>
      </w:rPr>
    </w:lvl>
    <w:lvl w:ilvl="5" w:tplc="041D0005" w:tentative="1">
      <w:start w:val="1"/>
      <w:numFmt w:val="bullet"/>
      <w:lvlText w:val=""/>
      <w:lvlJc w:val="left"/>
      <w:pPr>
        <w:ind w:left="4391" w:hanging="360"/>
      </w:pPr>
      <w:rPr>
        <w:rFonts w:ascii="Wingdings" w:hAnsi="Wingdings" w:hint="default"/>
      </w:rPr>
    </w:lvl>
    <w:lvl w:ilvl="6" w:tplc="041D0001" w:tentative="1">
      <w:start w:val="1"/>
      <w:numFmt w:val="bullet"/>
      <w:lvlText w:val=""/>
      <w:lvlJc w:val="left"/>
      <w:pPr>
        <w:ind w:left="5111" w:hanging="360"/>
      </w:pPr>
      <w:rPr>
        <w:rFonts w:ascii="Symbol" w:hAnsi="Symbol" w:hint="default"/>
      </w:rPr>
    </w:lvl>
    <w:lvl w:ilvl="7" w:tplc="041D0003" w:tentative="1">
      <w:start w:val="1"/>
      <w:numFmt w:val="bullet"/>
      <w:lvlText w:val="o"/>
      <w:lvlJc w:val="left"/>
      <w:pPr>
        <w:ind w:left="5831" w:hanging="360"/>
      </w:pPr>
      <w:rPr>
        <w:rFonts w:ascii="Courier New" w:hAnsi="Courier New" w:cs="Courier New" w:hint="default"/>
      </w:rPr>
    </w:lvl>
    <w:lvl w:ilvl="8" w:tplc="041D0005" w:tentative="1">
      <w:start w:val="1"/>
      <w:numFmt w:val="bullet"/>
      <w:lvlText w:val=""/>
      <w:lvlJc w:val="left"/>
      <w:pPr>
        <w:ind w:left="6551" w:hanging="360"/>
      </w:pPr>
      <w:rPr>
        <w:rFonts w:ascii="Wingdings" w:hAnsi="Wingdings" w:hint="default"/>
      </w:rPr>
    </w:lvl>
  </w:abstractNum>
  <w:abstractNum w:abstractNumId="9" w15:restartNumberingAfterBreak="0">
    <w:nsid w:val="5D1957A4"/>
    <w:multiLevelType w:val="hybridMultilevel"/>
    <w:tmpl w:val="1AE64A00"/>
    <w:lvl w:ilvl="0" w:tplc="FC10B800">
      <w:start w:val="1"/>
      <w:numFmt w:val="decimal"/>
      <w:lvlText w:val="%1."/>
      <w:lvlJc w:val="left"/>
      <w:pPr>
        <w:ind w:left="502" w:hanging="360"/>
      </w:pPr>
      <w:rPr>
        <w:b w:val="0"/>
        <w:bCs w:val="0"/>
        <w:i w:val="0"/>
        <w:iCs w:val="0"/>
        <w:strike w:val="0"/>
      </w:rPr>
    </w:lvl>
    <w:lvl w:ilvl="1" w:tplc="0409000F">
      <w:start w:val="1"/>
      <w:numFmt w:val="decimal"/>
      <w:lvlText w:val="%2."/>
      <w:lvlJc w:val="left"/>
      <w:pPr>
        <w:ind w:left="928" w:hanging="360"/>
      </w:pPr>
    </w:lvl>
    <w:lvl w:ilvl="2" w:tplc="0409001B" w:tentative="1">
      <w:start w:val="1"/>
      <w:numFmt w:val="lowerRoman"/>
      <w:lvlText w:val="%3."/>
      <w:lvlJc w:val="right"/>
      <w:pPr>
        <w:ind w:left="1462" w:hanging="180"/>
      </w:pPr>
    </w:lvl>
    <w:lvl w:ilvl="3" w:tplc="0409000F">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10" w15:restartNumberingAfterBreak="0">
    <w:nsid w:val="6C48604C"/>
    <w:multiLevelType w:val="hybridMultilevel"/>
    <w:tmpl w:val="99724168"/>
    <w:lvl w:ilvl="0" w:tplc="6C0C90F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70F119E5"/>
    <w:multiLevelType w:val="hybridMultilevel"/>
    <w:tmpl w:val="076AD84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71E05E07"/>
    <w:multiLevelType w:val="hybridMultilevel"/>
    <w:tmpl w:val="0714D268"/>
    <w:lvl w:ilvl="0" w:tplc="CE9CED28">
      <w:start w:val="1"/>
      <w:numFmt w:val="bullet"/>
      <w:lvlText w:val="•"/>
      <w:lvlJc w:val="left"/>
      <w:pPr>
        <w:ind w:left="1092" w:hanging="360"/>
      </w:pPr>
      <w:rPr>
        <w:rFonts w:hint="default"/>
        <w:sz w:val="22"/>
        <w:szCs w:val="22"/>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7CB6213A"/>
    <w:multiLevelType w:val="hybridMultilevel"/>
    <w:tmpl w:val="F09C3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2"/>
  </w:num>
  <w:num w:numId="5">
    <w:abstractNumId w:val="13"/>
  </w:num>
  <w:num w:numId="6">
    <w:abstractNumId w:val="9"/>
  </w:num>
  <w:num w:numId="7">
    <w:abstractNumId w:val="0"/>
  </w:num>
  <w:num w:numId="8">
    <w:abstractNumId w:val="1"/>
  </w:num>
  <w:num w:numId="9">
    <w:abstractNumId w:val="10"/>
  </w:num>
  <w:num w:numId="10">
    <w:abstractNumId w:val="4"/>
  </w:num>
  <w:num w:numId="11">
    <w:abstractNumId w:val="11"/>
  </w:num>
  <w:num w:numId="12">
    <w:abstractNumId w:val="12"/>
  </w:num>
  <w:num w:numId="13">
    <w:abstractNumId w:val="5"/>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yNDEyMDI3MzY3MTRX0lEKTi0uzszPAykwrwUAkIbWZCwAAAA="/>
  </w:docVars>
  <w:rsids>
    <w:rsidRoot w:val="00DF2386"/>
    <w:rsid w:val="00006003"/>
    <w:rsid w:val="00006DE6"/>
    <w:rsid w:val="00011E7A"/>
    <w:rsid w:val="00014168"/>
    <w:rsid w:val="00014AD3"/>
    <w:rsid w:val="00017A16"/>
    <w:rsid w:val="00017FAF"/>
    <w:rsid w:val="00017FEA"/>
    <w:rsid w:val="00026791"/>
    <w:rsid w:val="00026E09"/>
    <w:rsid w:val="00027A80"/>
    <w:rsid w:val="00030371"/>
    <w:rsid w:val="00032C4D"/>
    <w:rsid w:val="000354DD"/>
    <w:rsid w:val="00036889"/>
    <w:rsid w:val="00037CE0"/>
    <w:rsid w:val="00042B63"/>
    <w:rsid w:val="00053929"/>
    <w:rsid w:val="00057D70"/>
    <w:rsid w:val="000749F6"/>
    <w:rsid w:val="00074DE8"/>
    <w:rsid w:val="00081070"/>
    <w:rsid w:val="000A3E3E"/>
    <w:rsid w:val="000A61DD"/>
    <w:rsid w:val="000C17B6"/>
    <w:rsid w:val="000C2489"/>
    <w:rsid w:val="000C317B"/>
    <w:rsid w:val="000C4A48"/>
    <w:rsid w:val="000C5EEF"/>
    <w:rsid w:val="000C7365"/>
    <w:rsid w:val="000D4F80"/>
    <w:rsid w:val="000D5C76"/>
    <w:rsid w:val="000E161E"/>
    <w:rsid w:val="000E2FA0"/>
    <w:rsid w:val="000E32EE"/>
    <w:rsid w:val="000E3816"/>
    <w:rsid w:val="000E47E9"/>
    <w:rsid w:val="000F310B"/>
    <w:rsid w:val="001006E9"/>
    <w:rsid w:val="001035E9"/>
    <w:rsid w:val="001119C6"/>
    <w:rsid w:val="00114138"/>
    <w:rsid w:val="001149F8"/>
    <w:rsid w:val="0012005C"/>
    <w:rsid w:val="0012096C"/>
    <w:rsid w:val="00123AFC"/>
    <w:rsid w:val="0012489A"/>
    <w:rsid w:val="00127828"/>
    <w:rsid w:val="00133864"/>
    <w:rsid w:val="00134258"/>
    <w:rsid w:val="00140161"/>
    <w:rsid w:val="00144454"/>
    <w:rsid w:val="00146A8B"/>
    <w:rsid w:val="001516A8"/>
    <w:rsid w:val="00153719"/>
    <w:rsid w:val="00154634"/>
    <w:rsid w:val="00161BDA"/>
    <w:rsid w:val="0017080F"/>
    <w:rsid w:val="00171618"/>
    <w:rsid w:val="00174DF2"/>
    <w:rsid w:val="001819B1"/>
    <w:rsid w:val="00197060"/>
    <w:rsid w:val="001A1578"/>
    <w:rsid w:val="001A15A3"/>
    <w:rsid w:val="001A2D10"/>
    <w:rsid w:val="001A4C3A"/>
    <w:rsid w:val="001B06BF"/>
    <w:rsid w:val="001B718A"/>
    <w:rsid w:val="001B72ED"/>
    <w:rsid w:val="001C5E41"/>
    <w:rsid w:val="001C77BC"/>
    <w:rsid w:val="001D18A0"/>
    <w:rsid w:val="001D48BB"/>
    <w:rsid w:val="001E00E3"/>
    <w:rsid w:val="001E1A95"/>
    <w:rsid w:val="001F2349"/>
    <w:rsid w:val="001F2A48"/>
    <w:rsid w:val="001F4532"/>
    <w:rsid w:val="001F502D"/>
    <w:rsid w:val="001F5ECA"/>
    <w:rsid w:val="002005D2"/>
    <w:rsid w:val="0020298B"/>
    <w:rsid w:val="00206111"/>
    <w:rsid w:val="002137E0"/>
    <w:rsid w:val="0021566A"/>
    <w:rsid w:val="002327D9"/>
    <w:rsid w:val="002340EA"/>
    <w:rsid w:val="002347F6"/>
    <w:rsid w:val="002433AA"/>
    <w:rsid w:val="00247AE7"/>
    <w:rsid w:val="0027343B"/>
    <w:rsid w:val="002741AC"/>
    <w:rsid w:val="002748D5"/>
    <w:rsid w:val="00275F13"/>
    <w:rsid w:val="00280714"/>
    <w:rsid w:val="002819C0"/>
    <w:rsid w:val="002842CA"/>
    <w:rsid w:val="00284D23"/>
    <w:rsid w:val="0029079B"/>
    <w:rsid w:val="00291F0A"/>
    <w:rsid w:val="00292637"/>
    <w:rsid w:val="00293919"/>
    <w:rsid w:val="002942F9"/>
    <w:rsid w:val="00295556"/>
    <w:rsid w:val="00295BB5"/>
    <w:rsid w:val="002963E7"/>
    <w:rsid w:val="002978F0"/>
    <w:rsid w:val="002A5A4D"/>
    <w:rsid w:val="002B106E"/>
    <w:rsid w:val="002B4262"/>
    <w:rsid w:val="002B6506"/>
    <w:rsid w:val="002C261A"/>
    <w:rsid w:val="002C7689"/>
    <w:rsid w:val="002D0F2E"/>
    <w:rsid w:val="002D211D"/>
    <w:rsid w:val="002D4469"/>
    <w:rsid w:val="002D5A4D"/>
    <w:rsid w:val="002E0960"/>
    <w:rsid w:val="002E22AF"/>
    <w:rsid w:val="002E6A2F"/>
    <w:rsid w:val="002F12D4"/>
    <w:rsid w:val="002F6155"/>
    <w:rsid w:val="002F7454"/>
    <w:rsid w:val="003022C6"/>
    <w:rsid w:val="00303FBA"/>
    <w:rsid w:val="0032388D"/>
    <w:rsid w:val="00324398"/>
    <w:rsid w:val="00324B9D"/>
    <w:rsid w:val="00325EED"/>
    <w:rsid w:val="00331449"/>
    <w:rsid w:val="0033280D"/>
    <w:rsid w:val="00335864"/>
    <w:rsid w:val="003370D3"/>
    <w:rsid w:val="00342C0A"/>
    <w:rsid w:val="00350B48"/>
    <w:rsid w:val="0035473A"/>
    <w:rsid w:val="003565B3"/>
    <w:rsid w:val="00366075"/>
    <w:rsid w:val="00380D31"/>
    <w:rsid w:val="00384FC3"/>
    <w:rsid w:val="003914D9"/>
    <w:rsid w:val="003A223D"/>
    <w:rsid w:val="003A3804"/>
    <w:rsid w:val="003A40E2"/>
    <w:rsid w:val="003A52BE"/>
    <w:rsid w:val="003A5866"/>
    <w:rsid w:val="003A6E9F"/>
    <w:rsid w:val="003B3444"/>
    <w:rsid w:val="003B7E13"/>
    <w:rsid w:val="003C2D9F"/>
    <w:rsid w:val="003D286E"/>
    <w:rsid w:val="003D4CD6"/>
    <w:rsid w:val="003D7287"/>
    <w:rsid w:val="003F43A0"/>
    <w:rsid w:val="003F4793"/>
    <w:rsid w:val="00400B9A"/>
    <w:rsid w:val="00400F34"/>
    <w:rsid w:val="00402393"/>
    <w:rsid w:val="00404A5F"/>
    <w:rsid w:val="0040748D"/>
    <w:rsid w:val="00415C75"/>
    <w:rsid w:val="004228C7"/>
    <w:rsid w:val="00424D50"/>
    <w:rsid w:val="0042798B"/>
    <w:rsid w:val="00427AC5"/>
    <w:rsid w:val="00427E55"/>
    <w:rsid w:val="0043222D"/>
    <w:rsid w:val="00434913"/>
    <w:rsid w:val="00435CD1"/>
    <w:rsid w:val="00437CB8"/>
    <w:rsid w:val="004474F8"/>
    <w:rsid w:val="00460388"/>
    <w:rsid w:val="00463E9C"/>
    <w:rsid w:val="004753B5"/>
    <w:rsid w:val="00477550"/>
    <w:rsid w:val="00477DF3"/>
    <w:rsid w:val="004824BB"/>
    <w:rsid w:val="004844A8"/>
    <w:rsid w:val="00491BEF"/>
    <w:rsid w:val="0049296A"/>
    <w:rsid w:val="004931ED"/>
    <w:rsid w:val="00496803"/>
    <w:rsid w:val="004B0666"/>
    <w:rsid w:val="004B6688"/>
    <w:rsid w:val="004B74FA"/>
    <w:rsid w:val="004B7FA1"/>
    <w:rsid w:val="004C2E2B"/>
    <w:rsid w:val="004C5CB6"/>
    <w:rsid w:val="004D1625"/>
    <w:rsid w:val="004F5159"/>
    <w:rsid w:val="0050202C"/>
    <w:rsid w:val="0051004C"/>
    <w:rsid w:val="00511D20"/>
    <w:rsid w:val="00514CC6"/>
    <w:rsid w:val="00522BC7"/>
    <w:rsid w:val="005244A4"/>
    <w:rsid w:val="005257C3"/>
    <w:rsid w:val="00527783"/>
    <w:rsid w:val="00534FC3"/>
    <w:rsid w:val="0054257B"/>
    <w:rsid w:val="00545D2C"/>
    <w:rsid w:val="00550AAA"/>
    <w:rsid w:val="00551945"/>
    <w:rsid w:val="005538E4"/>
    <w:rsid w:val="005641B5"/>
    <w:rsid w:val="005653BB"/>
    <w:rsid w:val="0057405B"/>
    <w:rsid w:val="005746D9"/>
    <w:rsid w:val="005814B5"/>
    <w:rsid w:val="00581EDA"/>
    <w:rsid w:val="00584215"/>
    <w:rsid w:val="00586442"/>
    <w:rsid w:val="00591F70"/>
    <w:rsid w:val="00597F39"/>
    <w:rsid w:val="005A291A"/>
    <w:rsid w:val="005B558D"/>
    <w:rsid w:val="005C2BB8"/>
    <w:rsid w:val="005D3E9D"/>
    <w:rsid w:val="005D587E"/>
    <w:rsid w:val="005D5D95"/>
    <w:rsid w:val="005E0D93"/>
    <w:rsid w:val="005E1D9E"/>
    <w:rsid w:val="005E29EA"/>
    <w:rsid w:val="005F5500"/>
    <w:rsid w:val="00603322"/>
    <w:rsid w:val="00603A46"/>
    <w:rsid w:val="00603AF0"/>
    <w:rsid w:val="00607547"/>
    <w:rsid w:val="00607A22"/>
    <w:rsid w:val="006168D9"/>
    <w:rsid w:val="00616B4C"/>
    <w:rsid w:val="006256D3"/>
    <w:rsid w:val="00627632"/>
    <w:rsid w:val="00627BB7"/>
    <w:rsid w:val="0063739A"/>
    <w:rsid w:val="00644A13"/>
    <w:rsid w:val="006471FA"/>
    <w:rsid w:val="0065136E"/>
    <w:rsid w:val="00651E4A"/>
    <w:rsid w:val="0066479C"/>
    <w:rsid w:val="00665315"/>
    <w:rsid w:val="00670D71"/>
    <w:rsid w:val="00685F8E"/>
    <w:rsid w:val="006902D3"/>
    <w:rsid w:val="00695D91"/>
    <w:rsid w:val="00695F3C"/>
    <w:rsid w:val="00697C1D"/>
    <w:rsid w:val="006A00E5"/>
    <w:rsid w:val="006A083C"/>
    <w:rsid w:val="006E5FA8"/>
    <w:rsid w:val="006E7DCE"/>
    <w:rsid w:val="006F3CBC"/>
    <w:rsid w:val="007050FF"/>
    <w:rsid w:val="0070596A"/>
    <w:rsid w:val="007133F1"/>
    <w:rsid w:val="00717118"/>
    <w:rsid w:val="00717CCD"/>
    <w:rsid w:val="00726751"/>
    <w:rsid w:val="00740DB4"/>
    <w:rsid w:val="00745B79"/>
    <w:rsid w:val="00746EC1"/>
    <w:rsid w:val="007472B2"/>
    <w:rsid w:val="00752764"/>
    <w:rsid w:val="007621B1"/>
    <w:rsid w:val="00762430"/>
    <w:rsid w:val="00762F77"/>
    <w:rsid w:val="0076682C"/>
    <w:rsid w:val="00766962"/>
    <w:rsid w:val="00774643"/>
    <w:rsid w:val="00775287"/>
    <w:rsid w:val="00776612"/>
    <w:rsid w:val="00781C79"/>
    <w:rsid w:val="007843C4"/>
    <w:rsid w:val="007B3A5C"/>
    <w:rsid w:val="007B7631"/>
    <w:rsid w:val="007B7FDF"/>
    <w:rsid w:val="007C1FF6"/>
    <w:rsid w:val="007D33F4"/>
    <w:rsid w:val="007E133B"/>
    <w:rsid w:val="007E25B1"/>
    <w:rsid w:val="007E6736"/>
    <w:rsid w:val="007F3ABE"/>
    <w:rsid w:val="007F50A6"/>
    <w:rsid w:val="007F7C00"/>
    <w:rsid w:val="007F7FB2"/>
    <w:rsid w:val="00806991"/>
    <w:rsid w:val="00806B2B"/>
    <w:rsid w:val="008128E0"/>
    <w:rsid w:val="0081553D"/>
    <w:rsid w:val="00816E0C"/>
    <w:rsid w:val="00823BF9"/>
    <w:rsid w:val="008249B2"/>
    <w:rsid w:val="008249D1"/>
    <w:rsid w:val="00825E19"/>
    <w:rsid w:val="00831A2F"/>
    <w:rsid w:val="008328E9"/>
    <w:rsid w:val="00835BCB"/>
    <w:rsid w:val="00835CDC"/>
    <w:rsid w:val="008465FE"/>
    <w:rsid w:val="00850B09"/>
    <w:rsid w:val="00852AAC"/>
    <w:rsid w:val="00857746"/>
    <w:rsid w:val="008617F9"/>
    <w:rsid w:val="00863B9D"/>
    <w:rsid w:val="00863BE6"/>
    <w:rsid w:val="00875462"/>
    <w:rsid w:val="00876766"/>
    <w:rsid w:val="008775BC"/>
    <w:rsid w:val="00881917"/>
    <w:rsid w:val="00882F1B"/>
    <w:rsid w:val="00883A54"/>
    <w:rsid w:val="008977E5"/>
    <w:rsid w:val="008A70CE"/>
    <w:rsid w:val="008B659C"/>
    <w:rsid w:val="008C1D2F"/>
    <w:rsid w:val="008C25E4"/>
    <w:rsid w:val="008C2DAE"/>
    <w:rsid w:val="008C59EB"/>
    <w:rsid w:val="008F6687"/>
    <w:rsid w:val="008F6A50"/>
    <w:rsid w:val="0090081F"/>
    <w:rsid w:val="009059A9"/>
    <w:rsid w:val="00913505"/>
    <w:rsid w:val="009138DA"/>
    <w:rsid w:val="009226AC"/>
    <w:rsid w:val="0092515E"/>
    <w:rsid w:val="00940A25"/>
    <w:rsid w:val="00941723"/>
    <w:rsid w:val="00942FBD"/>
    <w:rsid w:val="0094770B"/>
    <w:rsid w:val="0095590A"/>
    <w:rsid w:val="009575D2"/>
    <w:rsid w:val="009626BE"/>
    <w:rsid w:val="009627B2"/>
    <w:rsid w:val="00963DA4"/>
    <w:rsid w:val="0096430E"/>
    <w:rsid w:val="00972099"/>
    <w:rsid w:val="00972D42"/>
    <w:rsid w:val="00973739"/>
    <w:rsid w:val="00975E44"/>
    <w:rsid w:val="0097758C"/>
    <w:rsid w:val="00977B6A"/>
    <w:rsid w:val="009837E7"/>
    <w:rsid w:val="00986AE6"/>
    <w:rsid w:val="009878C9"/>
    <w:rsid w:val="009959E7"/>
    <w:rsid w:val="009A1374"/>
    <w:rsid w:val="009B2267"/>
    <w:rsid w:val="009B5B35"/>
    <w:rsid w:val="009C315E"/>
    <w:rsid w:val="009C460A"/>
    <w:rsid w:val="009C721C"/>
    <w:rsid w:val="009C79BE"/>
    <w:rsid w:val="009D5F38"/>
    <w:rsid w:val="009E0AE8"/>
    <w:rsid w:val="009E46C2"/>
    <w:rsid w:val="009E5374"/>
    <w:rsid w:val="009F0C3D"/>
    <w:rsid w:val="009F105D"/>
    <w:rsid w:val="009F1DD3"/>
    <w:rsid w:val="009F22AD"/>
    <w:rsid w:val="009F345D"/>
    <w:rsid w:val="009F3B0C"/>
    <w:rsid w:val="009F59C4"/>
    <w:rsid w:val="009F6240"/>
    <w:rsid w:val="00A038A0"/>
    <w:rsid w:val="00A103F9"/>
    <w:rsid w:val="00A11A0A"/>
    <w:rsid w:val="00A13218"/>
    <w:rsid w:val="00A16ADD"/>
    <w:rsid w:val="00A17151"/>
    <w:rsid w:val="00A227A3"/>
    <w:rsid w:val="00A22ED9"/>
    <w:rsid w:val="00A2595B"/>
    <w:rsid w:val="00A268B2"/>
    <w:rsid w:val="00A31448"/>
    <w:rsid w:val="00A35666"/>
    <w:rsid w:val="00A35BDA"/>
    <w:rsid w:val="00A37D4F"/>
    <w:rsid w:val="00A44886"/>
    <w:rsid w:val="00A46D6F"/>
    <w:rsid w:val="00A603F3"/>
    <w:rsid w:val="00A60B73"/>
    <w:rsid w:val="00A62B3E"/>
    <w:rsid w:val="00A637B6"/>
    <w:rsid w:val="00A77D00"/>
    <w:rsid w:val="00A80080"/>
    <w:rsid w:val="00A85614"/>
    <w:rsid w:val="00A87952"/>
    <w:rsid w:val="00A90BB4"/>
    <w:rsid w:val="00A92432"/>
    <w:rsid w:val="00AA02D4"/>
    <w:rsid w:val="00AA03C2"/>
    <w:rsid w:val="00AA142C"/>
    <w:rsid w:val="00AA3D34"/>
    <w:rsid w:val="00AA49F6"/>
    <w:rsid w:val="00AB24A9"/>
    <w:rsid w:val="00AB4951"/>
    <w:rsid w:val="00AC2554"/>
    <w:rsid w:val="00AD4069"/>
    <w:rsid w:val="00AD42F0"/>
    <w:rsid w:val="00AE4F70"/>
    <w:rsid w:val="00AE4FF2"/>
    <w:rsid w:val="00AE7CFF"/>
    <w:rsid w:val="00B059E2"/>
    <w:rsid w:val="00B156F6"/>
    <w:rsid w:val="00B17EFC"/>
    <w:rsid w:val="00B20C36"/>
    <w:rsid w:val="00B27CB5"/>
    <w:rsid w:val="00B315A0"/>
    <w:rsid w:val="00B34A18"/>
    <w:rsid w:val="00B34AF2"/>
    <w:rsid w:val="00B36CB0"/>
    <w:rsid w:val="00B43841"/>
    <w:rsid w:val="00B468CE"/>
    <w:rsid w:val="00B4709B"/>
    <w:rsid w:val="00B52CE4"/>
    <w:rsid w:val="00B579CB"/>
    <w:rsid w:val="00B626CD"/>
    <w:rsid w:val="00B6398B"/>
    <w:rsid w:val="00B67FE1"/>
    <w:rsid w:val="00B70083"/>
    <w:rsid w:val="00B7121F"/>
    <w:rsid w:val="00B73554"/>
    <w:rsid w:val="00B73B3A"/>
    <w:rsid w:val="00B764F6"/>
    <w:rsid w:val="00B773E1"/>
    <w:rsid w:val="00B83EF9"/>
    <w:rsid w:val="00B86089"/>
    <w:rsid w:val="00B947D5"/>
    <w:rsid w:val="00BA66E2"/>
    <w:rsid w:val="00BB28F6"/>
    <w:rsid w:val="00BB31F3"/>
    <w:rsid w:val="00BB3D89"/>
    <w:rsid w:val="00BB6F8F"/>
    <w:rsid w:val="00BC18A1"/>
    <w:rsid w:val="00BC2609"/>
    <w:rsid w:val="00BC6349"/>
    <w:rsid w:val="00BD4486"/>
    <w:rsid w:val="00BD4DA4"/>
    <w:rsid w:val="00BD565E"/>
    <w:rsid w:val="00BE49B0"/>
    <w:rsid w:val="00C02F25"/>
    <w:rsid w:val="00C0528F"/>
    <w:rsid w:val="00C1184B"/>
    <w:rsid w:val="00C1292B"/>
    <w:rsid w:val="00C13145"/>
    <w:rsid w:val="00C20858"/>
    <w:rsid w:val="00C26AC6"/>
    <w:rsid w:val="00C308A1"/>
    <w:rsid w:val="00C3561B"/>
    <w:rsid w:val="00C54833"/>
    <w:rsid w:val="00C54848"/>
    <w:rsid w:val="00C5611D"/>
    <w:rsid w:val="00C65A25"/>
    <w:rsid w:val="00C70C76"/>
    <w:rsid w:val="00C817CB"/>
    <w:rsid w:val="00C8780E"/>
    <w:rsid w:val="00C97A34"/>
    <w:rsid w:val="00CA08D5"/>
    <w:rsid w:val="00CA32AC"/>
    <w:rsid w:val="00CA400D"/>
    <w:rsid w:val="00CA7384"/>
    <w:rsid w:val="00CB1C90"/>
    <w:rsid w:val="00CD002B"/>
    <w:rsid w:val="00CE1E10"/>
    <w:rsid w:val="00CE750F"/>
    <w:rsid w:val="00CF06B6"/>
    <w:rsid w:val="00CF15EA"/>
    <w:rsid w:val="00CF1D9B"/>
    <w:rsid w:val="00CF4177"/>
    <w:rsid w:val="00CF4496"/>
    <w:rsid w:val="00CF74F3"/>
    <w:rsid w:val="00D03679"/>
    <w:rsid w:val="00D05019"/>
    <w:rsid w:val="00D056CC"/>
    <w:rsid w:val="00D058F6"/>
    <w:rsid w:val="00D122F6"/>
    <w:rsid w:val="00D154CC"/>
    <w:rsid w:val="00D160CB"/>
    <w:rsid w:val="00D245A1"/>
    <w:rsid w:val="00D26669"/>
    <w:rsid w:val="00D31F04"/>
    <w:rsid w:val="00D3734D"/>
    <w:rsid w:val="00D412FB"/>
    <w:rsid w:val="00D415E2"/>
    <w:rsid w:val="00D42055"/>
    <w:rsid w:val="00D61885"/>
    <w:rsid w:val="00D647C3"/>
    <w:rsid w:val="00D73AF3"/>
    <w:rsid w:val="00D83609"/>
    <w:rsid w:val="00D93258"/>
    <w:rsid w:val="00D9633A"/>
    <w:rsid w:val="00D965BC"/>
    <w:rsid w:val="00DA4E72"/>
    <w:rsid w:val="00DA7E51"/>
    <w:rsid w:val="00DC6424"/>
    <w:rsid w:val="00DD206E"/>
    <w:rsid w:val="00DD4889"/>
    <w:rsid w:val="00DE0776"/>
    <w:rsid w:val="00DE1F91"/>
    <w:rsid w:val="00DE3825"/>
    <w:rsid w:val="00DF02FE"/>
    <w:rsid w:val="00DF0924"/>
    <w:rsid w:val="00DF2386"/>
    <w:rsid w:val="00DF7FE7"/>
    <w:rsid w:val="00E21FBB"/>
    <w:rsid w:val="00E30CBA"/>
    <w:rsid w:val="00E4417F"/>
    <w:rsid w:val="00E46367"/>
    <w:rsid w:val="00E500D7"/>
    <w:rsid w:val="00E5511F"/>
    <w:rsid w:val="00E6069F"/>
    <w:rsid w:val="00E63F0B"/>
    <w:rsid w:val="00E70E88"/>
    <w:rsid w:val="00E75F82"/>
    <w:rsid w:val="00E766DA"/>
    <w:rsid w:val="00E81D16"/>
    <w:rsid w:val="00E82D0D"/>
    <w:rsid w:val="00E92301"/>
    <w:rsid w:val="00E92A24"/>
    <w:rsid w:val="00E94620"/>
    <w:rsid w:val="00E96D3E"/>
    <w:rsid w:val="00E9702A"/>
    <w:rsid w:val="00EA2595"/>
    <w:rsid w:val="00EA3A7F"/>
    <w:rsid w:val="00EA5DAF"/>
    <w:rsid w:val="00ED1FA0"/>
    <w:rsid w:val="00EE3230"/>
    <w:rsid w:val="00EE71D8"/>
    <w:rsid w:val="00EF6EC4"/>
    <w:rsid w:val="00F00320"/>
    <w:rsid w:val="00F01AC6"/>
    <w:rsid w:val="00F0280E"/>
    <w:rsid w:val="00F066F4"/>
    <w:rsid w:val="00F078F1"/>
    <w:rsid w:val="00F07E23"/>
    <w:rsid w:val="00F17E55"/>
    <w:rsid w:val="00F20B0D"/>
    <w:rsid w:val="00F24F32"/>
    <w:rsid w:val="00F25D0E"/>
    <w:rsid w:val="00F32D03"/>
    <w:rsid w:val="00F344DE"/>
    <w:rsid w:val="00F36CA5"/>
    <w:rsid w:val="00F42CC6"/>
    <w:rsid w:val="00F45DD5"/>
    <w:rsid w:val="00F478F9"/>
    <w:rsid w:val="00F5039D"/>
    <w:rsid w:val="00F55A13"/>
    <w:rsid w:val="00F63609"/>
    <w:rsid w:val="00F65790"/>
    <w:rsid w:val="00F65A01"/>
    <w:rsid w:val="00F73E71"/>
    <w:rsid w:val="00F76D97"/>
    <w:rsid w:val="00F8413B"/>
    <w:rsid w:val="00F85858"/>
    <w:rsid w:val="00F87D80"/>
    <w:rsid w:val="00F91FB8"/>
    <w:rsid w:val="00F95970"/>
    <w:rsid w:val="00FA52D3"/>
    <w:rsid w:val="00FA7462"/>
    <w:rsid w:val="00FB3160"/>
    <w:rsid w:val="00FB34A3"/>
    <w:rsid w:val="00FB3CAC"/>
    <w:rsid w:val="00FB7376"/>
    <w:rsid w:val="00FC6300"/>
    <w:rsid w:val="00FD3D90"/>
    <w:rsid w:val="00FE70CA"/>
    <w:rsid w:val="00FF57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73C88"/>
  <w15:docId w15:val="{5FBB3345-7917-4C1E-B834-C3830E13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DC64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table" w:customStyle="1" w:styleId="TableGrid1">
    <w:name w:val="Table Grid1"/>
    <w:basedOn w:val="TableNormal"/>
    <w:next w:val="TableGrid"/>
    <w:uiPriority w:val="39"/>
    <w:rsid w:val="004D162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43C4"/>
    <w:pPr>
      <w:ind w:left="0" w:firstLine="0"/>
    </w:pPr>
    <w:rPr>
      <w:rFonts w:eastAsia="Yu Mincho"/>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642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C64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424"/>
    <w:rPr>
      <w:rFonts w:asciiTheme="majorHAnsi" w:eastAsiaTheme="majorEastAsia" w:hAnsiTheme="majorHAnsi" w:cstheme="majorBidi"/>
      <w:spacing w:val="-10"/>
      <w:kern w:val="28"/>
      <w:sz w:val="56"/>
      <w:szCs w:val="56"/>
    </w:rPr>
  </w:style>
  <w:style w:type="paragraph" w:customStyle="1" w:styleId="Default">
    <w:name w:val="Default"/>
    <w:rsid w:val="007B7631"/>
    <w:pPr>
      <w:autoSpaceDE w:val="0"/>
      <w:autoSpaceDN w:val="0"/>
      <w:adjustRightInd w:val="0"/>
      <w:ind w:left="0" w:firstLine="0"/>
    </w:pPr>
    <w:rPr>
      <w:rFonts w:ascii="Calibri" w:hAnsi="Calibri" w:cs="Calibri"/>
      <w:color w:val="000000"/>
      <w:sz w:val="24"/>
      <w:szCs w:val="24"/>
    </w:rPr>
  </w:style>
  <w:style w:type="paragraph" w:styleId="BodyText">
    <w:name w:val="Body Text"/>
    <w:basedOn w:val="Normal"/>
    <w:link w:val="BodyTextChar"/>
    <w:uiPriority w:val="1"/>
    <w:qFormat/>
    <w:rsid w:val="007B7631"/>
    <w:pPr>
      <w:widowControl w:val="0"/>
      <w:ind w:left="827" w:hanging="708"/>
    </w:pPr>
    <w:rPr>
      <w:rFonts w:cstheme="minorBidi"/>
      <w:lang w:val="en-US"/>
    </w:rPr>
  </w:style>
  <w:style w:type="character" w:customStyle="1" w:styleId="BodyTextChar">
    <w:name w:val="Body Text Char"/>
    <w:basedOn w:val="DefaultParagraphFont"/>
    <w:link w:val="BodyText"/>
    <w:uiPriority w:val="1"/>
    <w:rsid w:val="007B7631"/>
    <w:rPr>
      <w:rFonts w:ascii="Calibri" w:eastAsia="Calibri" w:hAnsi="Calibri"/>
      <w:lang w:val="en-US"/>
    </w:rPr>
  </w:style>
  <w:style w:type="paragraph" w:styleId="NormalWeb">
    <w:name w:val="Normal (Web)"/>
    <w:basedOn w:val="Normal"/>
    <w:uiPriority w:val="99"/>
    <w:unhideWhenUsed/>
    <w:rsid w:val="007B7631"/>
    <w:pPr>
      <w:spacing w:before="100" w:beforeAutospacing="1" w:after="100" w:afterAutospacing="1"/>
      <w:ind w:left="0" w:firstLine="0"/>
    </w:pPr>
    <w:rPr>
      <w:rFonts w:ascii="Times New Roman" w:eastAsiaTheme="minorHAnsi" w:hAnsi="Times New Roman"/>
      <w:sz w:val="24"/>
      <w:szCs w:val="24"/>
      <w:lang w:val="fr-FR" w:eastAsia="fr-FR"/>
    </w:rPr>
  </w:style>
  <w:style w:type="character" w:styleId="FollowedHyperlink">
    <w:name w:val="FollowedHyperlink"/>
    <w:basedOn w:val="DefaultParagraphFont"/>
    <w:uiPriority w:val="99"/>
    <w:semiHidden/>
    <w:unhideWhenUsed/>
    <w:rsid w:val="00F50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84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769087218">
      <w:bodyDiv w:val="1"/>
      <w:marLeft w:val="0"/>
      <w:marRight w:val="0"/>
      <w:marTop w:val="0"/>
      <w:marBottom w:val="0"/>
      <w:divBdr>
        <w:top w:val="none" w:sz="0" w:space="0" w:color="auto"/>
        <w:left w:val="none" w:sz="0" w:space="0" w:color="auto"/>
        <w:bottom w:val="none" w:sz="0" w:space="0" w:color="auto"/>
        <w:right w:val="none" w:sz="0" w:space="0" w:color="auto"/>
      </w:divBdr>
    </w:div>
    <w:div w:id="955141471">
      <w:bodyDiv w:val="1"/>
      <w:marLeft w:val="0"/>
      <w:marRight w:val="0"/>
      <w:marTop w:val="0"/>
      <w:marBottom w:val="0"/>
      <w:divBdr>
        <w:top w:val="none" w:sz="0" w:space="0" w:color="auto"/>
        <w:left w:val="none" w:sz="0" w:space="0" w:color="auto"/>
        <w:bottom w:val="none" w:sz="0" w:space="0" w:color="auto"/>
        <w:right w:val="none" w:sz="0" w:space="0" w:color="auto"/>
      </w:divBdr>
      <w:divsChild>
        <w:div w:id="2116437081">
          <w:marLeft w:val="0"/>
          <w:marRight w:val="0"/>
          <w:marTop w:val="0"/>
          <w:marBottom w:val="0"/>
          <w:divBdr>
            <w:top w:val="none" w:sz="0" w:space="0" w:color="auto"/>
            <w:left w:val="none" w:sz="0" w:space="0" w:color="auto"/>
            <w:bottom w:val="none" w:sz="0" w:space="0" w:color="auto"/>
            <w:right w:val="none" w:sz="0" w:space="0" w:color="auto"/>
          </w:divBdr>
          <w:divsChild>
            <w:div w:id="877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amsar.org/document/consultants-ramsar-regional-initiatives-rris-assessment-2016-2019"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amsar.org/sites/default/files/documents/library/sc58-22.2_secretariat_report_rris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DB29C2AB6EB75541991FB3E24043BFB600582F7F37840F594BBCB087811BB6529F" ma:contentTypeVersion="24" ma:contentTypeDescription="SPIRE Document" ma:contentTypeScope="" ma:versionID="45a9d200ca0bc6cd93f3542b9e74c4e2">
  <xsd:schema xmlns:xsd="http://www.w3.org/2001/XMLSchema" xmlns:xs="http://www.w3.org/2001/XMLSchema" xmlns:p="http://schemas.microsoft.com/office/2006/metadata/properties" xmlns:ns2="5af92df4-ae3d-4772-abff-92e7cba13994" xmlns:ns3="http://schemas.microsoft.com/sharepoint/v4" targetNamespace="http://schemas.microsoft.com/office/2006/metadata/properties" ma:root="true" ma:fieldsID="ad856c9fd6ce3e2418f8237cf12b7dcb" ns2:_="" ns3:_="">
    <xsd:import namespace="5af92df4-ae3d-4772-abff-92e7cba13994"/>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 xsi:nil="true"/>
    <IconOverlay xmlns="http://schemas.microsoft.com/sharepoint/v4" xsi:nil="true"/>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8732-12CD-4FDB-8294-CBBF47525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A399B-199E-4E8E-B45E-437F95D59F06}">
  <ds:schemaRefs>
    <ds:schemaRef ds:uri="http://schemas.microsoft.com/sharepoint/events"/>
  </ds:schemaRefs>
</ds:datastoreItem>
</file>

<file path=customXml/itemProps3.xml><?xml version="1.0" encoding="utf-8"?>
<ds:datastoreItem xmlns:ds="http://schemas.openxmlformats.org/officeDocument/2006/customXml" ds:itemID="{7D62D6A4-A5C7-49F5-822C-909B25E79499}">
  <ds:schemaRefs>
    <ds:schemaRef ds:uri="http://schemas.microsoft.com/office/2006/metadata/customXsn"/>
  </ds:schemaRefs>
</ds:datastoreItem>
</file>

<file path=customXml/itemProps4.xml><?xml version="1.0" encoding="utf-8"?>
<ds:datastoreItem xmlns:ds="http://schemas.openxmlformats.org/officeDocument/2006/customXml" ds:itemID="{D3B545D4-7A6D-4782-A897-B7531D604AB8}">
  <ds:schemaRefs>
    <ds:schemaRef ds:uri="http://schemas.microsoft.com/sharepoint/v3/contenttype/forms"/>
  </ds:schemaRefs>
</ds:datastoreItem>
</file>

<file path=customXml/itemProps5.xml><?xml version="1.0" encoding="utf-8"?>
<ds:datastoreItem xmlns:ds="http://schemas.openxmlformats.org/officeDocument/2006/customXml" ds:itemID="{F09DE30D-9469-4031-ACF5-3BEB5D720E26}">
  <ds:schemaRefs>
    <ds:schemaRef ds:uri="5af92df4-ae3d-4772-abff-92e7cba13994"/>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schemas.microsoft.com/sharepoint/v4"/>
    <ds:schemaRef ds:uri="http://purl.org/dc/elements/1.1/"/>
    <ds:schemaRef ds:uri="http://schemas.microsoft.com/office/infopath/2007/PartnerControls"/>
  </ds:schemaRefs>
</ds:datastoreItem>
</file>

<file path=customXml/itemProps6.xml><?xml version="1.0" encoding="utf-8"?>
<ds:datastoreItem xmlns:ds="http://schemas.openxmlformats.org/officeDocument/2006/customXml" ds:itemID="{7BA1B361-6B38-4688-BF93-05D790E1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10016</Words>
  <Characters>57096</Characters>
  <Application>Microsoft Office Word</Application>
  <DocSecurity>0</DocSecurity>
  <Lines>475</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66979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3</cp:revision>
  <cp:lastPrinted>2021-06-21T08:02:00Z</cp:lastPrinted>
  <dcterms:created xsi:type="dcterms:W3CDTF">2021-06-28T09:12:00Z</dcterms:created>
  <dcterms:modified xsi:type="dcterms:W3CDTF">2021-06-28T09:13:00Z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0x010100DB29C2AB6EB75541991FB3E24043BFB600582F7F37840F594BBCB087811BB6529F</vt:lpwstr>
  </property>
  <property fmtid="{D5CDD505-2E9C-101B-9397-08002B2CF9AE}" pid="3" name="RecordPoint_ActiveItemUniqueId">
    <vt:lpwstr>{086ae4ea-fc5f-4716-a749-55eafd89fd66}</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