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87883" w14:textId="77777777" w:rsidR="00197D61" w:rsidRPr="008B34AB" w:rsidRDefault="00197D61" w:rsidP="00197D6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left="425" w:right="2790" w:hanging="425"/>
        <w:rPr>
          <w:bCs/>
          <w:sz w:val="24"/>
          <w:szCs w:val="24"/>
          <w:lang w:val="fr-FR"/>
        </w:rPr>
      </w:pPr>
      <w:r w:rsidRPr="008B34AB">
        <w:rPr>
          <w:bCs/>
          <w:sz w:val="24"/>
          <w:szCs w:val="24"/>
          <w:lang w:val="fr-FR"/>
        </w:rPr>
        <w:t>CONVENTION SUR LES ZONES HUMIDES</w:t>
      </w:r>
    </w:p>
    <w:p w14:paraId="78F77592" w14:textId="4518A617" w:rsidR="00343963" w:rsidRPr="008B34AB" w:rsidRDefault="00197D61" w:rsidP="00197D6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left="425" w:right="2790" w:hanging="425"/>
        <w:rPr>
          <w:bCs/>
          <w:sz w:val="24"/>
          <w:szCs w:val="24"/>
          <w:lang w:val="fr-FR"/>
        </w:rPr>
      </w:pPr>
      <w:r w:rsidRPr="008B34AB">
        <w:rPr>
          <w:bCs/>
          <w:sz w:val="24"/>
          <w:szCs w:val="24"/>
          <w:lang w:val="fr-FR"/>
        </w:rPr>
        <w:t>60e Réunion du Comité permanent</w:t>
      </w:r>
    </w:p>
    <w:p w14:paraId="486652F5" w14:textId="629EBB62" w:rsidR="00343963" w:rsidRPr="008B34AB" w:rsidRDefault="00343963" w:rsidP="0034396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left="425" w:right="2790" w:hanging="425"/>
        <w:rPr>
          <w:bCs/>
          <w:sz w:val="24"/>
          <w:szCs w:val="24"/>
          <w:lang w:val="fr-FR"/>
        </w:rPr>
      </w:pPr>
      <w:r w:rsidRPr="008B34AB">
        <w:rPr>
          <w:bCs/>
          <w:sz w:val="24"/>
          <w:szCs w:val="24"/>
          <w:lang w:val="fr-FR"/>
        </w:rPr>
        <w:t>Gen</w:t>
      </w:r>
      <w:r w:rsidR="00197D61" w:rsidRPr="008B34AB">
        <w:rPr>
          <w:bCs/>
          <w:sz w:val="24"/>
          <w:szCs w:val="24"/>
          <w:lang w:val="fr-FR"/>
        </w:rPr>
        <w:t>ève</w:t>
      </w:r>
      <w:r w:rsidRPr="008B34AB">
        <w:rPr>
          <w:bCs/>
          <w:sz w:val="24"/>
          <w:szCs w:val="24"/>
          <w:lang w:val="fr-FR"/>
        </w:rPr>
        <w:t>, S</w:t>
      </w:r>
      <w:r w:rsidR="00197D61" w:rsidRPr="008B34AB">
        <w:rPr>
          <w:bCs/>
          <w:sz w:val="24"/>
          <w:szCs w:val="24"/>
          <w:lang w:val="fr-FR"/>
        </w:rPr>
        <w:t>uisse</w:t>
      </w:r>
      <w:r w:rsidRPr="008B34AB">
        <w:rPr>
          <w:bCs/>
          <w:sz w:val="24"/>
          <w:szCs w:val="24"/>
          <w:lang w:val="fr-FR"/>
        </w:rPr>
        <w:t xml:space="preserve">, 5 </w:t>
      </w:r>
      <w:r w:rsidR="00197D61" w:rsidRPr="008B34AB">
        <w:rPr>
          <w:bCs/>
          <w:sz w:val="24"/>
          <w:szCs w:val="24"/>
          <w:lang w:val="fr-FR"/>
        </w:rPr>
        <w:t>n</w:t>
      </w:r>
      <w:r w:rsidRPr="008B34AB">
        <w:rPr>
          <w:bCs/>
          <w:sz w:val="24"/>
          <w:szCs w:val="24"/>
          <w:lang w:val="fr-FR"/>
        </w:rPr>
        <w:t>ovemb</w:t>
      </w:r>
      <w:r w:rsidR="00197D61" w:rsidRPr="008B34AB">
        <w:rPr>
          <w:bCs/>
          <w:sz w:val="24"/>
          <w:szCs w:val="24"/>
          <w:lang w:val="fr-FR"/>
        </w:rPr>
        <w:t>re</w:t>
      </w:r>
      <w:r w:rsidRPr="008B34AB">
        <w:rPr>
          <w:bCs/>
          <w:sz w:val="24"/>
          <w:szCs w:val="24"/>
          <w:lang w:val="fr-FR"/>
        </w:rPr>
        <w:t xml:space="preserve"> 2022</w:t>
      </w:r>
    </w:p>
    <w:p w14:paraId="40C01035" w14:textId="77777777" w:rsidR="008902A5" w:rsidRPr="008B34AB" w:rsidRDefault="008902A5" w:rsidP="00DC6C7C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fr-FR"/>
        </w:rPr>
      </w:pPr>
    </w:p>
    <w:p w14:paraId="233A8750" w14:textId="7521D8C6" w:rsidR="00DF2386" w:rsidRPr="008B34AB" w:rsidRDefault="00A726B6" w:rsidP="004F4DC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fr-FR"/>
        </w:rPr>
      </w:pPr>
      <w:bookmarkStart w:id="0" w:name="_GoBack"/>
      <w:r w:rsidRPr="008B34AB">
        <w:rPr>
          <w:rFonts w:cs="Arial"/>
          <w:b/>
          <w:sz w:val="28"/>
          <w:szCs w:val="28"/>
          <w:lang w:val="fr-FR"/>
        </w:rPr>
        <w:t xml:space="preserve">SC60 </w:t>
      </w:r>
      <w:r w:rsidR="00605039" w:rsidRPr="008B34AB">
        <w:rPr>
          <w:rFonts w:cs="Arial"/>
          <w:b/>
          <w:sz w:val="28"/>
          <w:szCs w:val="28"/>
          <w:lang w:val="fr-FR"/>
        </w:rPr>
        <w:t>Doc.</w:t>
      </w:r>
      <w:r w:rsidR="00B64CD9" w:rsidRPr="008B34AB">
        <w:rPr>
          <w:rFonts w:cs="Arial"/>
          <w:b/>
          <w:sz w:val="28"/>
          <w:szCs w:val="28"/>
          <w:lang w:val="fr-FR"/>
        </w:rPr>
        <w:t>8.1</w:t>
      </w:r>
    </w:p>
    <w:p w14:paraId="1765DB89" w14:textId="77777777" w:rsidR="00605039" w:rsidRPr="008B34AB" w:rsidRDefault="00605039" w:rsidP="004F4DC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fr-FR"/>
        </w:rPr>
      </w:pPr>
    </w:p>
    <w:p w14:paraId="39A3D795" w14:textId="76A0F833" w:rsidR="00ED780A" w:rsidRPr="008B34AB" w:rsidRDefault="003B587F" w:rsidP="004F4DC9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  <w:r w:rsidRPr="008B34AB">
        <w:rPr>
          <w:rFonts w:cs="Arial"/>
          <w:b/>
          <w:sz w:val="28"/>
          <w:szCs w:val="28"/>
          <w:lang w:val="fr-FR"/>
        </w:rPr>
        <w:t xml:space="preserve">Questions financières et </w:t>
      </w:r>
      <w:r w:rsidR="00ED780A" w:rsidRPr="008B34AB">
        <w:rPr>
          <w:rFonts w:cs="Arial"/>
          <w:b/>
          <w:sz w:val="28"/>
          <w:szCs w:val="28"/>
          <w:lang w:val="fr-FR"/>
        </w:rPr>
        <w:t>budg</w:t>
      </w:r>
      <w:r w:rsidRPr="008B34AB">
        <w:rPr>
          <w:rFonts w:cs="Arial"/>
          <w:b/>
          <w:sz w:val="28"/>
          <w:szCs w:val="28"/>
          <w:lang w:val="fr-FR"/>
        </w:rPr>
        <w:t>é</w:t>
      </w:r>
      <w:r w:rsidR="00ED780A" w:rsidRPr="008B34AB">
        <w:rPr>
          <w:rFonts w:cs="Arial"/>
          <w:b/>
          <w:sz w:val="28"/>
          <w:szCs w:val="28"/>
          <w:lang w:val="fr-FR"/>
        </w:rPr>
        <w:t>ta</w:t>
      </w:r>
      <w:r w:rsidRPr="008B34AB">
        <w:rPr>
          <w:rFonts w:cs="Arial"/>
          <w:b/>
          <w:sz w:val="28"/>
          <w:szCs w:val="28"/>
          <w:lang w:val="fr-FR"/>
        </w:rPr>
        <w:t xml:space="preserve">ires </w:t>
      </w:r>
      <w:r w:rsidR="00FB6F4B" w:rsidRPr="008B34AB">
        <w:rPr>
          <w:rFonts w:cs="Arial"/>
          <w:b/>
          <w:sz w:val="28"/>
          <w:szCs w:val="28"/>
          <w:lang w:val="fr-FR"/>
        </w:rPr>
        <w:br/>
      </w:r>
      <w:r w:rsidR="000828D3" w:rsidRPr="008B34AB">
        <w:rPr>
          <w:rFonts w:cs="Arial"/>
          <w:b/>
          <w:sz w:val="28"/>
          <w:szCs w:val="28"/>
          <w:lang w:val="fr-FR"/>
        </w:rPr>
        <w:t xml:space="preserve">Mise à jour du budget administratif </w:t>
      </w:r>
      <w:r w:rsidR="00A726B6" w:rsidRPr="008B34AB">
        <w:rPr>
          <w:rFonts w:cs="Arial"/>
          <w:b/>
          <w:sz w:val="28"/>
          <w:szCs w:val="28"/>
          <w:lang w:val="fr-FR"/>
        </w:rPr>
        <w:t xml:space="preserve">2022 </w:t>
      </w:r>
    </w:p>
    <w:bookmarkEnd w:id="0"/>
    <w:p w14:paraId="5D924D89" w14:textId="77777777" w:rsidR="004F4DC9" w:rsidRPr="008B34AB" w:rsidRDefault="004F4DC9" w:rsidP="004F4DC9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</w:p>
    <w:p w14:paraId="50B57BE0" w14:textId="77777777" w:rsidR="00ED780A" w:rsidRPr="008B34AB" w:rsidRDefault="00ED780A" w:rsidP="0060503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-Bold"/>
          <w:b/>
          <w:bCs/>
          <w:lang w:val="fr-FR"/>
        </w:rPr>
      </w:pPr>
      <w:r w:rsidRPr="008B34AB">
        <w:rPr>
          <w:noProof/>
          <w:lang w:eastAsia="en-GB"/>
        </w:rPr>
        <mc:AlternateContent>
          <mc:Choice Requires="wps">
            <w:drawing>
              <wp:inline distT="0" distB="0" distL="0" distR="0" wp14:anchorId="560495A5" wp14:editId="7FCF58B6">
                <wp:extent cx="5731510" cy="866775"/>
                <wp:effectExtent l="0" t="0" r="21590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C242B" w14:textId="08A4EAA8" w:rsidR="008D002E" w:rsidRPr="000828D3" w:rsidRDefault="000828D3" w:rsidP="00605039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0828D3">
                              <w:rPr>
                                <w:b/>
                                <w:bCs/>
                                <w:lang w:val="fr-FR"/>
                              </w:rPr>
                              <w:t>Mesure requise :</w:t>
                            </w:r>
                            <w:r w:rsidR="008D002E" w:rsidRPr="000828D3">
                              <w:rPr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</w:p>
                          <w:p w14:paraId="3BA48F1D" w14:textId="77777777" w:rsidR="008D002E" w:rsidRPr="000828D3" w:rsidRDefault="008D002E" w:rsidP="00605039">
                            <w:pPr>
                              <w:pStyle w:val="ColorfulList-Accent11"/>
                              <w:ind w:left="0"/>
                              <w:rPr>
                                <w:lang w:val="fr-FR"/>
                              </w:rPr>
                            </w:pPr>
                          </w:p>
                          <w:p w14:paraId="0786241E" w14:textId="7BBAEA77" w:rsidR="008D002E" w:rsidRPr="000828D3" w:rsidRDefault="000828D3" w:rsidP="00D82B62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lang w:val="fr-FR"/>
                              </w:rPr>
                            </w:pPr>
                            <w:r w:rsidRPr="000828D3">
                              <w:rPr>
                                <w:lang w:val="fr-FR"/>
                              </w:rPr>
                              <w:t xml:space="preserve">Le Comité permanent est invité à examiner et à approuver </w:t>
                            </w:r>
                            <w:r>
                              <w:rPr>
                                <w:lang w:val="fr-FR"/>
                              </w:rPr>
                              <w:t xml:space="preserve">la réaffectation proposée du budget administratif </w:t>
                            </w:r>
                            <w:r w:rsidR="008D002E" w:rsidRPr="000828D3">
                              <w:rPr>
                                <w:rFonts w:cs="Calibri"/>
                                <w:lang w:val="fr-FR"/>
                              </w:rPr>
                              <w:t>2022.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0495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">
                <v:textbox>
                  <w:txbxContent>
                    <w:p w14:paraId="7D1C242B" w14:textId="08A4EAA8" w:rsidR="008D002E" w:rsidRPr="000828D3" w:rsidRDefault="000828D3" w:rsidP="00605039">
                      <w:pPr>
                        <w:spacing w:after="0" w:line="240" w:lineRule="auto"/>
                        <w:rPr>
                          <w:b/>
                          <w:bCs/>
                          <w:lang w:val="fr-FR"/>
                        </w:rPr>
                      </w:pPr>
                      <w:r w:rsidRPr="000828D3">
                        <w:rPr>
                          <w:b/>
                          <w:bCs/>
                          <w:lang w:val="fr-FR"/>
                        </w:rPr>
                        <w:t>Mesure requise :</w:t>
                      </w:r>
                      <w:r w:rsidR="008D002E" w:rsidRPr="000828D3">
                        <w:rPr>
                          <w:b/>
                          <w:bCs/>
                          <w:lang w:val="fr-FR"/>
                        </w:rPr>
                        <w:t xml:space="preserve"> </w:t>
                      </w:r>
                    </w:p>
                    <w:p w14:paraId="3BA48F1D" w14:textId="77777777" w:rsidR="008D002E" w:rsidRPr="000828D3" w:rsidRDefault="008D002E" w:rsidP="00605039">
                      <w:pPr>
                        <w:pStyle w:val="ColorfulList-Accent11"/>
                        <w:ind w:left="0"/>
                        <w:rPr>
                          <w:lang w:val="fr-FR"/>
                        </w:rPr>
                      </w:pPr>
                    </w:p>
                    <w:p w14:paraId="0786241E" w14:textId="7BBAEA77" w:rsidR="008D002E" w:rsidRPr="000828D3" w:rsidRDefault="000828D3" w:rsidP="00D82B62">
                      <w:pPr>
                        <w:pStyle w:val="ColorfulList-Accent11"/>
                        <w:ind w:left="0" w:firstLine="0"/>
                        <w:rPr>
                          <w:rFonts w:cs="Calibri"/>
                          <w:lang w:val="fr-FR"/>
                        </w:rPr>
                      </w:pPr>
                      <w:r w:rsidRPr="000828D3">
                        <w:rPr>
                          <w:lang w:val="fr-FR"/>
                        </w:rPr>
                        <w:t xml:space="preserve">Le Comité permanent est invité à examiner et à approuver </w:t>
                      </w:r>
                      <w:r>
                        <w:rPr>
                          <w:lang w:val="fr-FR"/>
                        </w:rPr>
                        <w:t xml:space="preserve">la réaffectation proposée du budget administratif </w:t>
                      </w:r>
                      <w:r w:rsidR="008D002E" w:rsidRPr="000828D3">
                        <w:rPr>
                          <w:rFonts w:cs="Calibri"/>
                          <w:lang w:val="fr-FR"/>
                        </w:rPr>
                        <w:t>2022.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5E2AEC" w14:textId="6B7E1756" w:rsidR="00605039" w:rsidRPr="008B34AB" w:rsidRDefault="00605039" w:rsidP="009B496E">
      <w:pPr>
        <w:spacing w:after="0" w:line="240" w:lineRule="auto"/>
        <w:rPr>
          <w:u w:val="single"/>
          <w:lang w:val="fr-FR"/>
        </w:rPr>
      </w:pPr>
    </w:p>
    <w:p w14:paraId="5F52263E" w14:textId="77777777" w:rsidR="00343963" w:rsidRPr="008B34AB" w:rsidRDefault="00343963" w:rsidP="009B496E">
      <w:pPr>
        <w:spacing w:after="0" w:line="240" w:lineRule="auto"/>
        <w:rPr>
          <w:u w:val="single"/>
          <w:lang w:val="fr-FR"/>
        </w:rPr>
      </w:pPr>
    </w:p>
    <w:p w14:paraId="072F7D5B" w14:textId="1C0E3638" w:rsidR="00E6226E" w:rsidRPr="008B34AB" w:rsidRDefault="00C31DAC" w:rsidP="00C31DAC">
      <w:pPr>
        <w:spacing w:after="0" w:line="240" w:lineRule="auto"/>
        <w:ind w:left="425" w:hanging="425"/>
        <w:rPr>
          <w:lang w:val="fr-FR"/>
        </w:rPr>
      </w:pPr>
      <w:r w:rsidRPr="008B34AB">
        <w:rPr>
          <w:lang w:val="fr-FR"/>
        </w:rPr>
        <w:t>1.</w:t>
      </w:r>
      <w:r w:rsidRPr="008B34AB">
        <w:rPr>
          <w:lang w:val="fr-FR"/>
        </w:rPr>
        <w:tab/>
      </w:r>
      <w:r w:rsidR="003E0E6C" w:rsidRPr="008B34AB">
        <w:rPr>
          <w:lang w:val="fr-FR"/>
        </w:rPr>
        <w:t>Lors de la reprise de sa 59e Réunion (SC59/2022), par la Décision SC59/2022-36, le Comité permanent a approuvé le rapport du Sous-groupe des finances, y compris l</w:t>
      </w:r>
      <w:r w:rsidR="00A56183" w:rsidRPr="008B34AB">
        <w:rPr>
          <w:lang w:val="fr-FR"/>
        </w:rPr>
        <w:t>e</w:t>
      </w:r>
      <w:r w:rsidR="003E0E6C" w:rsidRPr="008B34AB">
        <w:rPr>
          <w:lang w:val="fr-FR"/>
        </w:rPr>
        <w:t xml:space="preserve"> budget administratif révisé pour 2022 (voir annexe 1 du rapport du Sous-groupe des finances, document SC59/2022 Com.2 Rev.</w:t>
      </w:r>
      <w:r w:rsidR="00A56183" w:rsidRPr="008B34AB">
        <w:rPr>
          <w:lang w:val="fr-FR"/>
        </w:rPr>
        <w:t>1</w:t>
      </w:r>
      <w:r w:rsidR="009933EA" w:rsidRPr="008B34AB">
        <w:rPr>
          <w:rStyle w:val="FootnoteReference"/>
          <w:lang w:val="fr-FR"/>
        </w:rPr>
        <w:footnoteReference w:id="2"/>
      </w:r>
      <w:r w:rsidR="00E6226E" w:rsidRPr="008B34AB">
        <w:rPr>
          <w:lang w:val="fr-FR"/>
        </w:rPr>
        <w:t xml:space="preserve">). </w:t>
      </w:r>
    </w:p>
    <w:p w14:paraId="43E8B246" w14:textId="77777777" w:rsidR="00291102" w:rsidRPr="008B34AB" w:rsidRDefault="00291102" w:rsidP="00C31DAC">
      <w:pPr>
        <w:pStyle w:val="ListParagraph"/>
        <w:spacing w:after="0" w:line="240" w:lineRule="auto"/>
        <w:ind w:left="425" w:hanging="425"/>
        <w:rPr>
          <w:lang w:val="fr-FR"/>
        </w:rPr>
      </w:pPr>
    </w:p>
    <w:p w14:paraId="510BF355" w14:textId="31BFBC43" w:rsidR="009B496E" w:rsidRPr="008B34AB" w:rsidRDefault="00C31DAC" w:rsidP="00712E39">
      <w:pPr>
        <w:spacing w:after="0" w:line="240" w:lineRule="auto"/>
        <w:ind w:left="425" w:hanging="425"/>
        <w:rPr>
          <w:lang w:val="fr-FR"/>
        </w:rPr>
      </w:pPr>
      <w:r w:rsidRPr="008B34AB">
        <w:rPr>
          <w:lang w:val="fr-FR"/>
        </w:rPr>
        <w:t>2.</w:t>
      </w:r>
      <w:r w:rsidRPr="008B34AB">
        <w:rPr>
          <w:lang w:val="fr-FR"/>
        </w:rPr>
        <w:tab/>
      </w:r>
      <w:r w:rsidR="00033F51" w:rsidRPr="008B34AB">
        <w:rPr>
          <w:lang w:val="fr-FR"/>
        </w:rPr>
        <w:t xml:space="preserve">Le Secrétariat propose une nouvelle réaffectation budgétaire </w:t>
      </w:r>
      <w:r w:rsidR="00105FD1">
        <w:rPr>
          <w:lang w:val="fr-FR"/>
        </w:rPr>
        <w:t>(voir</w:t>
      </w:r>
      <w:r w:rsidR="00033F51" w:rsidRPr="008B34AB">
        <w:rPr>
          <w:lang w:val="fr-FR"/>
        </w:rPr>
        <w:t xml:space="preserve"> tableau 1 ci-dessous</w:t>
      </w:r>
      <w:r w:rsidR="00105FD1">
        <w:rPr>
          <w:lang w:val="fr-FR"/>
        </w:rPr>
        <w:t>)</w:t>
      </w:r>
      <w:r w:rsidR="00033F51" w:rsidRPr="008B34AB">
        <w:rPr>
          <w:lang w:val="fr-FR"/>
        </w:rPr>
        <w:t xml:space="preserve">, notamment en ce qui concerne les avantages </w:t>
      </w:r>
      <w:r w:rsidR="00712E39">
        <w:rPr>
          <w:lang w:val="fr-FR"/>
        </w:rPr>
        <w:t xml:space="preserve">sociaux </w:t>
      </w:r>
      <w:r w:rsidR="00033F51" w:rsidRPr="008B34AB">
        <w:rPr>
          <w:lang w:val="fr-FR"/>
        </w:rPr>
        <w:t xml:space="preserve">du personnel entre les lignes budgétaires « Salaires, charges sociales et autres prestations </w:t>
      </w:r>
      <w:r w:rsidR="00F67298" w:rsidRPr="008B34AB">
        <w:rPr>
          <w:lang w:val="fr-FR"/>
        </w:rPr>
        <w:t>liées</w:t>
      </w:r>
      <w:r w:rsidR="00033F51" w:rsidRPr="008B34AB">
        <w:rPr>
          <w:lang w:val="fr-FR"/>
        </w:rPr>
        <w:t xml:space="preserve"> à l’emploi », et les services du Comité permanent ainsi que les déplacements du Secrétariat, en réponse </w:t>
      </w:r>
      <w:r w:rsidR="0035155A" w:rsidRPr="008B34AB">
        <w:rPr>
          <w:lang w:val="fr-FR"/>
        </w:rPr>
        <w:t xml:space="preserve">à la situation nouvelle qui prévaut </w:t>
      </w:r>
      <w:r w:rsidR="00033F51" w:rsidRPr="008B34AB">
        <w:rPr>
          <w:lang w:val="fr-FR"/>
        </w:rPr>
        <w:t xml:space="preserve">depuis </w:t>
      </w:r>
      <w:r w:rsidR="0035155A" w:rsidRPr="008B34AB">
        <w:rPr>
          <w:lang w:val="fr-FR"/>
        </w:rPr>
        <w:t>la 59</w:t>
      </w:r>
      <w:r w:rsidR="0035155A" w:rsidRPr="008B34AB">
        <w:rPr>
          <w:vertAlign w:val="superscript"/>
          <w:lang w:val="fr-FR"/>
        </w:rPr>
        <w:t>e</w:t>
      </w:r>
      <w:r w:rsidR="0035155A" w:rsidRPr="008B34AB">
        <w:rPr>
          <w:lang w:val="fr-FR"/>
        </w:rPr>
        <w:t xml:space="preserve"> Réunion du Comité -permanent (</w:t>
      </w:r>
      <w:r w:rsidR="00033F51" w:rsidRPr="008B34AB">
        <w:rPr>
          <w:lang w:val="fr-FR"/>
        </w:rPr>
        <w:t>SC59/2022</w:t>
      </w:r>
      <w:r w:rsidR="0035155A" w:rsidRPr="008B34AB">
        <w:rPr>
          <w:lang w:val="fr-FR"/>
        </w:rPr>
        <w:t>)</w:t>
      </w:r>
      <w:r w:rsidR="00033F51" w:rsidRPr="008B34AB">
        <w:rPr>
          <w:lang w:val="fr-FR"/>
        </w:rPr>
        <w:t>.</w:t>
      </w:r>
    </w:p>
    <w:p w14:paraId="5282DDCB" w14:textId="77777777" w:rsidR="009B496E" w:rsidRPr="008B34AB" w:rsidRDefault="009B496E" w:rsidP="00C31DAC">
      <w:pPr>
        <w:pStyle w:val="ListParagraph"/>
        <w:spacing w:after="0" w:line="240" w:lineRule="auto"/>
        <w:ind w:left="425" w:hanging="425"/>
        <w:rPr>
          <w:lang w:val="fr-FR"/>
        </w:rPr>
      </w:pPr>
    </w:p>
    <w:p w14:paraId="28EA4F42" w14:textId="42956872" w:rsidR="004B52D7" w:rsidRPr="008B34AB" w:rsidRDefault="00C31DAC" w:rsidP="00A660C9">
      <w:pPr>
        <w:spacing w:after="0" w:line="240" w:lineRule="auto"/>
        <w:ind w:left="425" w:hanging="425"/>
        <w:rPr>
          <w:lang w:val="fr-FR"/>
        </w:rPr>
      </w:pPr>
      <w:r w:rsidRPr="008B34AB">
        <w:rPr>
          <w:lang w:val="fr-FR"/>
        </w:rPr>
        <w:t>3.</w:t>
      </w:r>
      <w:r w:rsidRPr="008B34AB">
        <w:rPr>
          <w:lang w:val="fr-FR"/>
        </w:rPr>
        <w:tab/>
      </w:r>
      <w:r w:rsidR="004B52D7" w:rsidRPr="008B34AB">
        <w:rPr>
          <w:lang w:val="fr-FR"/>
        </w:rPr>
        <w:t xml:space="preserve">Les réaffectations des </w:t>
      </w:r>
      <w:r w:rsidR="00712E39">
        <w:rPr>
          <w:lang w:val="fr-FR"/>
        </w:rPr>
        <w:t>indemnités</w:t>
      </w:r>
      <w:r w:rsidR="004B52D7" w:rsidRPr="008B34AB">
        <w:rPr>
          <w:lang w:val="fr-FR"/>
        </w:rPr>
        <w:t xml:space="preserve"> entre les lignes budgétaires « Salaires, charges sociales et autres prestations liées à l’emploi » </w:t>
      </w:r>
      <w:r w:rsidR="00A240D8">
        <w:rPr>
          <w:lang w:val="fr-FR"/>
        </w:rPr>
        <w:t>ont trait aux</w:t>
      </w:r>
      <w:r w:rsidR="004B52D7" w:rsidRPr="008B34AB">
        <w:rPr>
          <w:lang w:val="fr-FR"/>
        </w:rPr>
        <w:t xml:space="preserve"> ajustements des </w:t>
      </w:r>
      <w:r w:rsidR="00A240D8">
        <w:rPr>
          <w:lang w:val="fr-FR"/>
        </w:rPr>
        <w:t xml:space="preserve">avantages sociaux </w:t>
      </w:r>
      <w:r w:rsidR="004B52D7" w:rsidRPr="008B34AB">
        <w:rPr>
          <w:lang w:val="fr-FR"/>
        </w:rPr>
        <w:t xml:space="preserve">du personnel entre les sections budgétaires afin de refléter les </w:t>
      </w:r>
      <w:r w:rsidR="00A240D8">
        <w:rPr>
          <w:lang w:val="fr-FR"/>
        </w:rPr>
        <w:t>estimations budgétaires</w:t>
      </w:r>
      <w:r w:rsidR="004B52D7" w:rsidRPr="008B34AB">
        <w:rPr>
          <w:lang w:val="fr-FR"/>
        </w:rPr>
        <w:t xml:space="preserve"> pour les </w:t>
      </w:r>
      <w:r w:rsidR="00A240D8">
        <w:rPr>
          <w:lang w:val="fr-FR"/>
        </w:rPr>
        <w:t xml:space="preserve">indemnités </w:t>
      </w:r>
      <w:r w:rsidR="004B52D7" w:rsidRPr="008B34AB">
        <w:rPr>
          <w:lang w:val="fr-FR"/>
        </w:rPr>
        <w:t xml:space="preserve">liés à l'emploi du personnel, notamment les allocations d'études et les allocations de réinstallation pour 2022. </w:t>
      </w:r>
    </w:p>
    <w:p w14:paraId="52547C54" w14:textId="77777777" w:rsidR="002C74E8" w:rsidRPr="008B34AB" w:rsidRDefault="002C74E8" w:rsidP="00C31DAC">
      <w:pPr>
        <w:pStyle w:val="ListParagraph"/>
        <w:spacing w:after="0" w:line="240" w:lineRule="auto"/>
        <w:ind w:left="425" w:hanging="425"/>
        <w:rPr>
          <w:lang w:val="fr-FR"/>
        </w:rPr>
      </w:pPr>
    </w:p>
    <w:p w14:paraId="0E3286B3" w14:textId="0B56C2BD" w:rsidR="00A660C9" w:rsidRPr="00A240D8" w:rsidRDefault="001B2FC7" w:rsidP="00A240D8">
      <w:pPr>
        <w:pStyle w:val="ListParagraph"/>
        <w:spacing w:after="0" w:line="240" w:lineRule="auto"/>
        <w:ind w:left="425" w:hanging="425"/>
        <w:rPr>
          <w:lang w:val="fr-FR"/>
        </w:rPr>
      </w:pPr>
      <w:r w:rsidRPr="008B34AB">
        <w:rPr>
          <w:lang w:val="fr-FR"/>
        </w:rPr>
        <w:lastRenderedPageBreak/>
        <w:t xml:space="preserve">4. </w:t>
      </w:r>
      <w:r w:rsidRPr="008B34AB">
        <w:rPr>
          <w:lang w:val="fr-FR"/>
        </w:rPr>
        <w:tab/>
      </w:r>
      <w:r w:rsidR="00A240D8">
        <w:rPr>
          <w:lang w:val="fr-FR"/>
        </w:rPr>
        <w:t>D</w:t>
      </w:r>
      <w:r w:rsidR="00B74936" w:rsidRPr="008B34AB">
        <w:rPr>
          <w:lang w:val="fr-FR"/>
        </w:rPr>
        <w:t xml:space="preserve">es réaffectations entre les lignes budgétaires des </w:t>
      </w:r>
      <w:r w:rsidR="00A240D8">
        <w:rPr>
          <w:lang w:val="fr-FR"/>
        </w:rPr>
        <w:t>r</w:t>
      </w:r>
      <w:r w:rsidR="00B74936" w:rsidRPr="008B34AB">
        <w:rPr>
          <w:lang w:val="fr-FR"/>
        </w:rPr>
        <w:t>éunions du Comité permanent</w:t>
      </w:r>
      <w:r w:rsidR="00A240D8">
        <w:rPr>
          <w:lang w:val="fr-FR"/>
        </w:rPr>
        <w:t xml:space="preserve"> sont proposées</w:t>
      </w:r>
      <w:r w:rsidR="00B74936" w:rsidRPr="008B34AB">
        <w:rPr>
          <w:lang w:val="fr-FR"/>
        </w:rPr>
        <w:t xml:space="preserve">, car les coûts encourus pour l'organisation des </w:t>
      </w:r>
      <w:r w:rsidR="00A240D8">
        <w:rPr>
          <w:lang w:val="fr-FR"/>
        </w:rPr>
        <w:t>r</w:t>
      </w:r>
      <w:r w:rsidR="00B74936" w:rsidRPr="008B34AB">
        <w:rPr>
          <w:lang w:val="fr-FR"/>
        </w:rPr>
        <w:t xml:space="preserve">éunions du Comité permanent et le soutien à ces réunions se sont avérés supérieurs au budget administratif approuvé pour 2022 dans les lignes budgétaires « Réunions du CP » et « Interprétation simultanée aux Réunions du CP ». L’augmentation des coûts </w:t>
      </w:r>
      <w:r w:rsidR="00A240D8">
        <w:rPr>
          <w:lang w:val="fr-FR"/>
        </w:rPr>
        <w:t xml:space="preserve">s’explique par </w:t>
      </w:r>
      <w:r w:rsidR="00B74936" w:rsidRPr="008B34AB">
        <w:rPr>
          <w:lang w:val="fr-FR"/>
        </w:rPr>
        <w:t xml:space="preserve">l'organisation des réunions intersessions du Comité permanent, l'achat de licences </w:t>
      </w:r>
      <w:r w:rsidR="00A240D8">
        <w:rPr>
          <w:lang w:val="fr-FR"/>
        </w:rPr>
        <w:t xml:space="preserve">pour accéder aux </w:t>
      </w:r>
      <w:r w:rsidR="00B74936" w:rsidRPr="008B34AB">
        <w:rPr>
          <w:lang w:val="fr-FR"/>
        </w:rPr>
        <w:t xml:space="preserve">plateformes de </w:t>
      </w:r>
      <w:r w:rsidR="00A240D8">
        <w:rPr>
          <w:lang w:val="fr-FR"/>
        </w:rPr>
        <w:t>conférences</w:t>
      </w:r>
      <w:r w:rsidR="00B74936" w:rsidRPr="008B34AB">
        <w:rPr>
          <w:lang w:val="fr-FR"/>
        </w:rPr>
        <w:t xml:space="preserve"> virtuelles et </w:t>
      </w:r>
      <w:r w:rsidR="00C47071">
        <w:rPr>
          <w:lang w:val="fr-FR"/>
        </w:rPr>
        <w:t>le</w:t>
      </w:r>
      <w:r w:rsidR="00B74936" w:rsidRPr="008B34AB">
        <w:rPr>
          <w:lang w:val="fr-FR"/>
        </w:rPr>
        <w:t xml:space="preserve"> coût de l'interprétation pendant les heures supplémentaires de la SC59/2022 et des réunions intersessions du Comité permanent. Le Secrétariat propose que ces coûts </w:t>
      </w:r>
      <w:r w:rsidR="00F67298" w:rsidRPr="008B34AB">
        <w:rPr>
          <w:lang w:val="fr-FR"/>
        </w:rPr>
        <w:t xml:space="preserve">supplémentaires </w:t>
      </w:r>
      <w:r w:rsidR="00B74936" w:rsidRPr="008B34AB">
        <w:rPr>
          <w:lang w:val="fr-FR"/>
        </w:rPr>
        <w:t xml:space="preserve">soient couverts par les économies réalisées sur les lignes budgétaires </w:t>
      </w:r>
      <w:r w:rsidR="00F67298" w:rsidRPr="008B34AB">
        <w:rPr>
          <w:lang w:val="fr-FR"/>
        </w:rPr>
        <w:t>« Appui</w:t>
      </w:r>
      <w:r w:rsidR="00B74936" w:rsidRPr="008B34AB">
        <w:rPr>
          <w:lang w:val="fr-FR"/>
        </w:rPr>
        <w:t xml:space="preserve"> aux délégués du C</w:t>
      </w:r>
      <w:r w:rsidR="00F67298" w:rsidRPr="008B34AB">
        <w:rPr>
          <w:lang w:val="fr-FR"/>
        </w:rPr>
        <w:t>P »</w:t>
      </w:r>
      <w:r w:rsidR="00B74936" w:rsidRPr="008B34AB">
        <w:rPr>
          <w:lang w:val="fr-FR"/>
        </w:rPr>
        <w:t xml:space="preserve"> et </w:t>
      </w:r>
      <w:r w:rsidR="00F67298" w:rsidRPr="008B34AB">
        <w:rPr>
          <w:lang w:val="fr-FR"/>
        </w:rPr>
        <w:t>« Déplacements »</w:t>
      </w:r>
      <w:r w:rsidR="00B74936" w:rsidRPr="008B34AB">
        <w:rPr>
          <w:lang w:val="fr-FR"/>
        </w:rPr>
        <w:t xml:space="preserve"> du Secrétariat.</w:t>
      </w:r>
    </w:p>
    <w:p w14:paraId="436645E3" w14:textId="77777777" w:rsidR="00A660C9" w:rsidRPr="008B34AB" w:rsidRDefault="00A660C9" w:rsidP="00C31DAC">
      <w:pPr>
        <w:pStyle w:val="ListParagraph"/>
        <w:spacing w:after="0" w:line="240" w:lineRule="auto"/>
        <w:ind w:left="425" w:hanging="425"/>
        <w:rPr>
          <w:lang w:val="fr-FR"/>
        </w:rPr>
      </w:pPr>
    </w:p>
    <w:p w14:paraId="4593EC88" w14:textId="3418E8EE" w:rsidR="002C74E8" w:rsidRPr="008B34AB" w:rsidRDefault="00E70B45" w:rsidP="00C47071">
      <w:pPr>
        <w:spacing w:after="0" w:line="240" w:lineRule="auto"/>
        <w:ind w:left="425" w:hanging="425"/>
        <w:rPr>
          <w:lang w:val="fr-FR"/>
        </w:rPr>
      </w:pPr>
      <w:r w:rsidRPr="008B34AB">
        <w:rPr>
          <w:lang w:val="fr-FR"/>
        </w:rPr>
        <w:t>5</w:t>
      </w:r>
      <w:r w:rsidR="00C31DAC" w:rsidRPr="008B34AB">
        <w:rPr>
          <w:lang w:val="fr-FR"/>
        </w:rPr>
        <w:t>.</w:t>
      </w:r>
      <w:r w:rsidR="00C31DAC" w:rsidRPr="008B34AB">
        <w:rPr>
          <w:lang w:val="fr-FR"/>
        </w:rPr>
        <w:tab/>
      </w:r>
      <w:r w:rsidR="00F67298" w:rsidRPr="008B34AB">
        <w:rPr>
          <w:lang w:val="fr-FR"/>
        </w:rPr>
        <w:t xml:space="preserve">Les réaffectations budgétaires proposées se font entre </w:t>
      </w:r>
      <w:r w:rsidR="00C47071">
        <w:rPr>
          <w:lang w:val="fr-FR"/>
        </w:rPr>
        <w:t>d</w:t>
      </w:r>
      <w:r w:rsidR="00F67298" w:rsidRPr="008B34AB">
        <w:rPr>
          <w:lang w:val="fr-FR"/>
        </w:rPr>
        <w:t>es lignes budgétaires approuvées, le budget administrati</w:t>
      </w:r>
      <w:r w:rsidR="00C47071">
        <w:rPr>
          <w:lang w:val="fr-FR"/>
        </w:rPr>
        <w:t>f</w:t>
      </w:r>
      <w:r w:rsidR="00F67298" w:rsidRPr="008B34AB">
        <w:rPr>
          <w:lang w:val="fr-FR"/>
        </w:rPr>
        <w:t xml:space="preserve"> général approuvé pour 2022 restant inchangé.</w:t>
      </w:r>
    </w:p>
    <w:p w14:paraId="56E5F9CB" w14:textId="77777777" w:rsidR="00053480" w:rsidRPr="008B34AB" w:rsidRDefault="00053480" w:rsidP="00C31DAC">
      <w:pPr>
        <w:pStyle w:val="ListParagraph"/>
        <w:spacing w:after="0" w:line="240" w:lineRule="auto"/>
        <w:ind w:left="425" w:hanging="425"/>
        <w:rPr>
          <w:lang w:val="fr-FR"/>
        </w:rPr>
      </w:pPr>
    </w:p>
    <w:p w14:paraId="41B6A2E3" w14:textId="555376B4" w:rsidR="00F67298" w:rsidRDefault="00E70B45" w:rsidP="00C31DAC">
      <w:pPr>
        <w:spacing w:after="0" w:line="240" w:lineRule="auto"/>
        <w:ind w:left="425" w:hanging="425"/>
        <w:rPr>
          <w:lang w:val="fr-FR"/>
        </w:rPr>
      </w:pPr>
      <w:r w:rsidRPr="008B34AB">
        <w:rPr>
          <w:lang w:val="fr-FR"/>
        </w:rPr>
        <w:t>6</w:t>
      </w:r>
      <w:r w:rsidR="00C31DAC" w:rsidRPr="008B34AB">
        <w:rPr>
          <w:lang w:val="fr-FR"/>
        </w:rPr>
        <w:t>.</w:t>
      </w:r>
      <w:r w:rsidR="00C31DAC" w:rsidRPr="008B34AB">
        <w:rPr>
          <w:lang w:val="fr-FR"/>
        </w:rPr>
        <w:tab/>
      </w:r>
      <w:r w:rsidR="00C47071">
        <w:rPr>
          <w:lang w:val="fr-FR"/>
        </w:rPr>
        <w:t xml:space="preserve">compte tenu </w:t>
      </w:r>
      <w:r w:rsidR="00F67298" w:rsidRPr="008B34AB">
        <w:rPr>
          <w:lang w:val="fr-FR"/>
        </w:rPr>
        <w:t>des informations ci-dessus, le Comité permanent est invité, lors de sa 60</w:t>
      </w:r>
      <w:r w:rsidR="00F67298" w:rsidRPr="008B34AB">
        <w:rPr>
          <w:vertAlign w:val="superscript"/>
          <w:lang w:val="fr-FR"/>
        </w:rPr>
        <w:t>e</w:t>
      </w:r>
      <w:r w:rsidR="00F67298" w:rsidRPr="008B34AB">
        <w:rPr>
          <w:lang w:val="fr-FR"/>
        </w:rPr>
        <w:t xml:space="preserve"> Réunion, à examiner et à approuver les réaffectations budgétaires proposées au tableau 1 ci-dessous.</w:t>
      </w:r>
    </w:p>
    <w:p w14:paraId="22E5A7BE" w14:textId="77777777" w:rsidR="000F31C9" w:rsidRDefault="000F31C9" w:rsidP="00C31DAC">
      <w:pPr>
        <w:spacing w:after="0" w:line="240" w:lineRule="auto"/>
        <w:ind w:left="425" w:hanging="425"/>
        <w:rPr>
          <w:lang w:val="fr-FR"/>
        </w:rPr>
        <w:sectPr w:rsidR="000F31C9" w:rsidSect="000F31C9">
          <w:footerReference w:type="defaul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DAE6278" w14:textId="19DEF7F6" w:rsidR="006B7A83" w:rsidRPr="008B34AB" w:rsidRDefault="00731B27" w:rsidP="00605039">
      <w:pPr>
        <w:pStyle w:val="ListParagraph"/>
        <w:spacing w:after="0" w:line="240" w:lineRule="auto"/>
        <w:ind w:left="0"/>
        <w:rPr>
          <w:i/>
          <w:lang w:val="fr-FR"/>
        </w:rPr>
      </w:pPr>
      <w:r w:rsidRPr="008B34AB">
        <w:rPr>
          <w:i/>
          <w:lang w:val="fr-FR"/>
        </w:rPr>
        <w:t>Table</w:t>
      </w:r>
      <w:r w:rsidR="00911F48" w:rsidRPr="008B34AB">
        <w:rPr>
          <w:i/>
          <w:lang w:val="fr-FR"/>
        </w:rPr>
        <w:t>au</w:t>
      </w:r>
      <w:r w:rsidRPr="008B34AB">
        <w:rPr>
          <w:i/>
          <w:lang w:val="fr-FR"/>
        </w:rPr>
        <w:t xml:space="preserve"> 1</w:t>
      </w:r>
      <w:r w:rsidR="00911F48" w:rsidRPr="008B34AB">
        <w:rPr>
          <w:i/>
          <w:lang w:val="fr-FR"/>
        </w:rPr>
        <w:t xml:space="preserve"> </w:t>
      </w:r>
      <w:r w:rsidRPr="008B34AB">
        <w:rPr>
          <w:i/>
          <w:lang w:val="fr-FR"/>
        </w:rPr>
        <w:t>: Budget</w:t>
      </w:r>
      <w:r w:rsidR="00911F48" w:rsidRPr="008B34AB">
        <w:rPr>
          <w:i/>
          <w:lang w:val="fr-FR"/>
        </w:rPr>
        <w:t xml:space="preserve"> administratif pour </w:t>
      </w:r>
      <w:r w:rsidRPr="008B34AB">
        <w:rPr>
          <w:i/>
          <w:lang w:val="fr-FR"/>
        </w:rPr>
        <w:t>2022</w:t>
      </w:r>
      <w:r w:rsidR="009524FD" w:rsidRPr="008B34AB">
        <w:rPr>
          <w:i/>
          <w:lang w:val="fr-FR"/>
        </w:rPr>
        <w:t xml:space="preserve"> </w:t>
      </w:r>
      <w:r w:rsidR="00911F48" w:rsidRPr="008B34AB">
        <w:rPr>
          <w:i/>
          <w:lang w:val="fr-FR"/>
        </w:rPr>
        <w:t>avec ajustements proposés</w:t>
      </w:r>
    </w:p>
    <w:p w14:paraId="0F5A287F" w14:textId="57ACBE63" w:rsidR="00731B27" w:rsidRDefault="00731B27" w:rsidP="00731B27">
      <w:pPr>
        <w:spacing w:after="0" w:line="240" w:lineRule="auto"/>
        <w:rPr>
          <w:rFonts w:eastAsia="Times New Roman" w:cs="Calibri"/>
          <w:color w:val="000000"/>
          <w:lang w:val="fr-FR" w:eastAsia="en-GB"/>
        </w:rPr>
      </w:pPr>
      <w:r w:rsidRPr="008B34AB">
        <w:rPr>
          <w:rFonts w:eastAsia="Times New Roman" w:cs="Calibri"/>
          <w:color w:val="000000"/>
          <w:lang w:val="fr-FR" w:eastAsia="en-GB"/>
        </w:rPr>
        <w:t>(</w:t>
      </w:r>
      <w:r w:rsidR="00911F48" w:rsidRPr="008B34AB">
        <w:rPr>
          <w:rFonts w:eastAsia="Times New Roman" w:cs="Calibri"/>
          <w:color w:val="000000"/>
          <w:lang w:val="fr-FR" w:eastAsia="en-GB"/>
        </w:rPr>
        <w:t>en milliers de CHF incluant d’</w:t>
      </w:r>
      <w:r w:rsidR="00C47071" w:rsidRPr="008B34AB">
        <w:rPr>
          <w:rFonts w:eastAsia="Times New Roman" w:cs="Calibri"/>
          <w:color w:val="000000"/>
          <w:lang w:val="fr-FR" w:eastAsia="en-GB"/>
        </w:rPr>
        <w:t>éventuels</w:t>
      </w:r>
      <w:r w:rsidR="00911F48" w:rsidRPr="008B34AB">
        <w:rPr>
          <w:rFonts w:eastAsia="Times New Roman" w:cs="Calibri"/>
          <w:color w:val="000000"/>
          <w:lang w:val="fr-FR" w:eastAsia="en-GB"/>
        </w:rPr>
        <w:t xml:space="preserve"> </w:t>
      </w:r>
      <w:r w:rsidR="00C47071" w:rsidRPr="008B34AB">
        <w:rPr>
          <w:rFonts w:eastAsia="Times New Roman" w:cs="Calibri"/>
          <w:color w:val="000000"/>
          <w:lang w:val="fr-FR" w:eastAsia="en-GB"/>
        </w:rPr>
        <w:t>écarts</w:t>
      </w:r>
      <w:r w:rsidR="00911F48" w:rsidRPr="008B34AB">
        <w:rPr>
          <w:rFonts w:eastAsia="Times New Roman" w:cs="Calibri"/>
          <w:color w:val="000000"/>
          <w:lang w:val="fr-FR" w:eastAsia="en-GB"/>
        </w:rPr>
        <w:t xml:space="preserve"> d’arrondis</w:t>
      </w:r>
      <w:r w:rsidRPr="008B34AB">
        <w:rPr>
          <w:rFonts w:eastAsia="Times New Roman" w:cs="Calibri"/>
          <w:color w:val="000000"/>
          <w:lang w:val="fr-FR" w:eastAsia="en-GB"/>
        </w:rPr>
        <w:t>)</w:t>
      </w:r>
    </w:p>
    <w:p w14:paraId="770C037A" w14:textId="77777777" w:rsidR="00C47071" w:rsidRPr="008B34AB" w:rsidRDefault="00C47071" w:rsidP="00731B27">
      <w:pPr>
        <w:spacing w:after="0" w:line="240" w:lineRule="auto"/>
        <w:rPr>
          <w:rFonts w:eastAsia="Times New Roman" w:cs="Calibri"/>
          <w:color w:val="000000"/>
          <w:lang w:val="fr-FR" w:eastAsia="en-GB"/>
        </w:rPr>
      </w:pPr>
    </w:p>
    <w:tbl>
      <w:tblPr>
        <w:tblW w:w="14225" w:type="dxa"/>
        <w:tblInd w:w="-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907"/>
        <w:gridCol w:w="1474"/>
        <w:gridCol w:w="1474"/>
        <w:gridCol w:w="1474"/>
        <w:gridCol w:w="1474"/>
        <w:gridCol w:w="1474"/>
        <w:gridCol w:w="1474"/>
        <w:gridCol w:w="1474"/>
      </w:tblGrid>
      <w:tr w:rsidR="00F40746" w:rsidRPr="008B34AB" w14:paraId="28F7CE97" w14:textId="77777777" w:rsidTr="003A1118">
        <w:trPr>
          <w:trHeight w:val="1260"/>
          <w:tblHeader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3BC"/>
            <w:hideMark/>
          </w:tcPr>
          <w:p w14:paraId="2CC36843" w14:textId="77777777" w:rsidR="000F31C9" w:rsidRDefault="000F31C9" w:rsidP="00F40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</w:p>
          <w:p w14:paraId="79FE080A" w14:textId="77777777" w:rsidR="000F31C9" w:rsidRDefault="000F31C9" w:rsidP="00F40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</w:p>
          <w:p w14:paraId="0945CD89" w14:textId="60BAD158" w:rsidR="00F40746" w:rsidRPr="008B34AB" w:rsidRDefault="00F40746" w:rsidP="00F40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  <w:r w:rsidRPr="008B34AB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Budget Ramsar 2022 </w:t>
            </w:r>
          </w:p>
          <w:p w14:paraId="075CC296" w14:textId="77777777" w:rsidR="00F40746" w:rsidRPr="008B34AB" w:rsidRDefault="00F40746" w:rsidP="00F4074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</w:p>
          <w:p w14:paraId="6E6922F7" w14:textId="7D1E1D73" w:rsidR="00F40746" w:rsidRPr="008B34AB" w:rsidRDefault="00F40746" w:rsidP="00F407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Approuvé par l’ExCOP3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6BA199F" w14:textId="77777777" w:rsidR="00F40746" w:rsidRPr="00F40746" w:rsidRDefault="00F40746" w:rsidP="00F407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F40746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 xml:space="preserve">Budget approuvé (approuvé par l’ExCOP3) </w:t>
            </w:r>
          </w:p>
          <w:p w14:paraId="526F5803" w14:textId="76716199" w:rsidR="00F40746" w:rsidRPr="008B34AB" w:rsidRDefault="00F40746" w:rsidP="00F407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3362162" w14:textId="77777777" w:rsidR="00F40746" w:rsidRPr="00F40746" w:rsidRDefault="00F40746" w:rsidP="00F407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F40746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 xml:space="preserve">Utilisation </w:t>
            </w:r>
          </w:p>
          <w:p w14:paraId="149055B7" w14:textId="40A4A364" w:rsidR="00F40746" w:rsidRPr="008B34AB" w:rsidRDefault="008B34AB" w:rsidP="000F31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F40746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autorisée</w:t>
            </w:r>
            <w:r w:rsidR="00F40746" w:rsidRPr="00F40746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 xml:space="preserve"> par la SC59 des </w:t>
            </w:r>
            <w:r w:rsidRPr="00F40746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économies</w:t>
            </w:r>
            <w:r w:rsidR="00F40746" w:rsidRPr="00F40746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 xml:space="preserve"> sur le budget 2020 (</w:t>
            </w:r>
            <w:r w:rsidRPr="00F40746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approuvée</w:t>
            </w:r>
            <w:r w:rsidR="00F40746" w:rsidRPr="00F40746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 xml:space="preserve"> par l’ExCOP3)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960C2CE" w14:textId="2852FFE8" w:rsidR="00F40746" w:rsidRPr="00F40746" w:rsidRDefault="00F40746" w:rsidP="00F407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F40746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Fonds engag</w:t>
            </w:r>
            <w:r w:rsidR="009E4977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é</w:t>
            </w:r>
            <w:r w:rsidRPr="00F40746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s de 2021 à d</w:t>
            </w:r>
            <w:r w:rsidR="009E4977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é</w:t>
            </w:r>
            <w:r w:rsidRPr="00F40746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 xml:space="preserve">penser en 2022 </w:t>
            </w:r>
          </w:p>
          <w:p w14:paraId="0035132B" w14:textId="15D1B6DC" w:rsidR="00F40746" w:rsidRPr="008B34AB" w:rsidRDefault="00F40746" w:rsidP="00F407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ED3A9E0" w14:textId="77777777" w:rsidR="00F40746" w:rsidRPr="00F40746" w:rsidRDefault="00F40746" w:rsidP="00F407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F40746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 xml:space="preserve">Ajustements par SC59/2022 au budget 2022 approuvé à l’ExCOP3 </w:t>
            </w:r>
          </w:p>
          <w:p w14:paraId="0F2D0941" w14:textId="31DD38AA" w:rsidR="00F40746" w:rsidRPr="008B34AB" w:rsidRDefault="00F40746" w:rsidP="00F407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DC8B1AB" w14:textId="05F98054" w:rsidR="00F40746" w:rsidRPr="008B34AB" w:rsidRDefault="00F40746" w:rsidP="00F407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 xml:space="preserve">Total du budget 2022 </w:t>
            </w:r>
            <w:r w:rsidR="009E4977"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approuvé par</w:t>
            </w:r>
            <w:r w:rsidR="00911F48"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 xml:space="preserve"> la</w:t>
            </w: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 xml:space="preserve"> SC59/2022-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B1C5B58" w14:textId="77777777" w:rsidR="00F40746" w:rsidRPr="008B34AB" w:rsidRDefault="00F40746" w:rsidP="00F407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 xml:space="preserve">Ajustements au budget </w:t>
            </w:r>
          </w:p>
          <w:p w14:paraId="2754D807" w14:textId="0BF4C76F" w:rsidR="00F40746" w:rsidRPr="008B34AB" w:rsidRDefault="009E4977" w:rsidP="00F407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a</w:t>
            </w: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pprouvé</w:t>
            </w:r>
            <w:r w:rsidR="00F40746"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 xml:space="preserve"> par</w:t>
            </w:r>
            <w:r w:rsidR="00911F48"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 xml:space="preserve"> la</w:t>
            </w:r>
            <w:r w:rsidR="00F40746"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 xml:space="preserve"> SC59/2022-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D591447" w14:textId="77777777" w:rsidR="00F40746" w:rsidRPr="00F40746" w:rsidRDefault="00F40746" w:rsidP="00F407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F40746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 xml:space="preserve">Total du budget 2022 </w:t>
            </w:r>
          </w:p>
          <w:p w14:paraId="7CF0479A" w14:textId="005EBBD9" w:rsidR="00F40746" w:rsidRPr="008B34AB" w:rsidRDefault="00F40746" w:rsidP="00F407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</w:p>
        </w:tc>
      </w:tr>
      <w:tr w:rsidR="00F40746" w:rsidRPr="008B34AB" w14:paraId="2D45B0AE" w14:textId="77777777" w:rsidTr="003A1118">
        <w:trPr>
          <w:tblHeader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3BC"/>
            <w:hideMark/>
          </w:tcPr>
          <w:p w14:paraId="0583C929" w14:textId="0CA1A712" w:rsidR="00F40746" w:rsidRPr="008B34AB" w:rsidRDefault="00F40746" w:rsidP="00F407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cs="Calibri"/>
                <w:b/>
                <w:bCs/>
                <w:sz w:val="20"/>
                <w:szCs w:val="20"/>
                <w:lang w:val="fr-FR"/>
              </w:rPr>
              <w:t>en milliers de francs suisses (CHF)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BC8E2D7" w14:textId="77777777" w:rsidR="00F40746" w:rsidRPr="008B34AB" w:rsidRDefault="00F40746" w:rsidP="00F407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(A)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4B32DBE" w14:textId="77777777" w:rsidR="00F40746" w:rsidRPr="008B34AB" w:rsidRDefault="00F40746" w:rsidP="00F407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(B)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8EEB17B" w14:textId="77777777" w:rsidR="00F40746" w:rsidRPr="008B34AB" w:rsidRDefault="00F40746" w:rsidP="00F407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(C)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81BA541" w14:textId="77777777" w:rsidR="00F40746" w:rsidRPr="008B34AB" w:rsidRDefault="00F40746" w:rsidP="00F407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(D)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79FAC44" w14:textId="77777777" w:rsidR="00F40746" w:rsidRPr="008B34AB" w:rsidRDefault="00F40746" w:rsidP="00F407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(E)=(A)+(B)+(C)+(D)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3A09E12" w14:textId="77777777" w:rsidR="00F40746" w:rsidRPr="008B34AB" w:rsidRDefault="00F40746" w:rsidP="00F407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(F)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3DCEB8F" w14:textId="77777777" w:rsidR="00F40746" w:rsidRPr="008B34AB" w:rsidRDefault="00F40746" w:rsidP="00F407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(G)=(E)+(F)</w:t>
            </w:r>
          </w:p>
        </w:tc>
      </w:tr>
      <w:tr w:rsidR="00731B27" w:rsidRPr="008B34AB" w14:paraId="289C7EBD" w14:textId="77777777" w:rsidTr="00434F81">
        <w:trPr>
          <w:trHeight w:val="28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DF42E" w14:textId="77777777" w:rsidR="00434F81" w:rsidRPr="008B34AB" w:rsidRDefault="00434F81" w:rsidP="00434F8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</w:p>
          <w:p w14:paraId="758E49F9" w14:textId="0DD96D19" w:rsidR="00731B27" w:rsidRPr="008B34AB" w:rsidRDefault="00911F48" w:rsidP="00434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RECETTES</w:t>
            </w:r>
          </w:p>
        </w:tc>
        <w:tc>
          <w:tcPr>
            <w:tcW w:w="147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6EB8D5A8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43E98624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70CBF382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5B49B9A9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366476EA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4732C5C6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DA23CF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</w:p>
        </w:tc>
      </w:tr>
      <w:tr w:rsidR="00731B27" w:rsidRPr="008B34AB" w14:paraId="43E33840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1288" w14:textId="0E19B132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Contributions</w:t>
            </w:r>
            <w:r w:rsidR="00911F48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 des Parties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95D2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3,779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456D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198D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FD7A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278F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3,779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648E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59A1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</w:tr>
      <w:tr w:rsidR="00731B27" w:rsidRPr="008B34AB" w14:paraId="462C64A9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C305" w14:textId="67770756" w:rsidR="00731B27" w:rsidRPr="008B34AB" w:rsidRDefault="00911F48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Contributions volontaires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8A82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1,065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6217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BD0F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C4D6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1E29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1,065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CB42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7DF0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</w:tr>
      <w:tr w:rsidR="00731B27" w:rsidRPr="008B34AB" w14:paraId="56CE2062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86A1" w14:textId="50F27D76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I</w:t>
            </w:r>
            <w:r w:rsidR="00911F48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mpôts sur le revenu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A329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191D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305F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873F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7AD1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7260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AD89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</w:tr>
      <w:tr w:rsidR="00731B27" w:rsidRPr="008B34AB" w14:paraId="32D00475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319C" w14:textId="27E4081A" w:rsidR="00731B27" w:rsidRPr="008B34AB" w:rsidRDefault="00911F48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Autres revenus (y compris revenus d’</w:t>
            </w:r>
            <w:r w:rsidR="009E4977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intérêts</w:t>
            </w: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F7A0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99AE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78E9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4E2D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CB6C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B51E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134A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</w:tr>
      <w:tr w:rsidR="00731B27" w:rsidRPr="008B34AB" w14:paraId="3C20DA23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147B8AB" w14:textId="5848AB00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 xml:space="preserve">TOTAL </w:t>
            </w:r>
            <w:r w:rsidR="00F67298"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RECETTES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78472DA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5,081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F37036A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C8ADAC3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5F76233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E7F25EF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5,081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EDEE86A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886F2E4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0</w:t>
            </w:r>
          </w:p>
        </w:tc>
      </w:tr>
      <w:tr w:rsidR="00731B27" w:rsidRPr="008B34AB" w14:paraId="2039F007" w14:textId="77777777" w:rsidTr="00434F81">
        <w:trPr>
          <w:trHeight w:val="27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A4A2E" w14:textId="77777777" w:rsidR="00434F81" w:rsidRPr="008B34AB" w:rsidRDefault="00434F81" w:rsidP="00434F8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</w:p>
          <w:p w14:paraId="57578CC7" w14:textId="29D48DAF" w:rsidR="00731B27" w:rsidRPr="008B34AB" w:rsidRDefault="00F67298" w:rsidP="00434F8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DÉPENSES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C081D6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41DCE2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C3CAC2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46234F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C55554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676A3C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36CB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</w:p>
        </w:tc>
      </w:tr>
      <w:tr w:rsidR="00731B27" w:rsidRPr="008B34AB" w14:paraId="79F0FB5B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B1F16CF" w14:textId="16E5750B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A.  </w:t>
            </w:r>
            <w:r w:rsidR="00F67298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Cadres </w:t>
            </w:r>
            <w:r w:rsidR="009E4977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supérieurs</w:t>
            </w:r>
            <w:r w:rsidR="00F67298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 du </w:t>
            </w:r>
            <w:r w:rsidR="009E4977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Secrétariat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2BAED26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1,030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8289E7F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9556A37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CD8B864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126AA46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1,035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35F0005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E908953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1,041</w:t>
            </w:r>
          </w:p>
        </w:tc>
      </w:tr>
      <w:tr w:rsidR="00731B27" w:rsidRPr="008B34AB" w14:paraId="1ED10983" w14:textId="77777777" w:rsidTr="008D002E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7D9D5" w14:textId="630C9463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Sala</w:t>
            </w:r>
            <w:r w:rsidR="00F67298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ires</w:t>
            </w: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, </w:t>
            </w:r>
            <w:r w:rsidR="002B0AA0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charges sociales et autres prestations </w:t>
            </w:r>
            <w:r w:rsidR="009E4977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liées</w:t>
            </w:r>
            <w:r w:rsidR="002B0AA0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 à l’emploi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78F3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990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E16F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5364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E4BD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1674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990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3A48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A357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1,000</w:t>
            </w:r>
          </w:p>
        </w:tc>
      </w:tr>
      <w:tr w:rsidR="00731B27" w:rsidRPr="008B34AB" w14:paraId="028DE04B" w14:textId="77777777" w:rsidTr="008D002E">
        <w:trPr>
          <w:trHeight w:val="27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B650" w14:textId="7CCAB9AC" w:rsidR="00731B27" w:rsidRPr="008B34AB" w:rsidRDefault="002B0AA0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Déplacements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FF19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0201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A260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17AF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9A7A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DE37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(4)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97AF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41</w:t>
            </w:r>
          </w:p>
        </w:tc>
      </w:tr>
      <w:tr w:rsidR="00731B27" w:rsidRPr="008B34AB" w14:paraId="59C18122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7E25299" w14:textId="2A7BBA3C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B.  </w:t>
            </w:r>
            <w:r w:rsidR="00B53212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Mobilisation des ressources et sensibilisation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08777A5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594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805F166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45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70AA495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211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E58A964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A674330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6894475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(90)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B1402F0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760</w:t>
            </w:r>
          </w:p>
        </w:tc>
      </w:tr>
      <w:tr w:rsidR="00731B27" w:rsidRPr="008B34AB" w14:paraId="1A4248A3" w14:textId="77777777" w:rsidTr="008D002E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3EE49" w14:textId="0E6BE891" w:rsidR="00731B27" w:rsidRPr="008B34AB" w:rsidRDefault="00B53212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Salaires, charges sociales et autres prestations </w:t>
            </w:r>
            <w:r w:rsidR="009E4977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liées</w:t>
            </w: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 à l’emploi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46CE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438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100D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7393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B8BA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9EC0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438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E3DE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(80)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BDB9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358</w:t>
            </w:r>
          </w:p>
        </w:tc>
      </w:tr>
      <w:tr w:rsidR="00731B27" w:rsidRPr="008B34AB" w14:paraId="20F3B690" w14:textId="77777777" w:rsidTr="00434F81">
        <w:trPr>
          <w:trHeight w:val="24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544D" w14:textId="0DA43FE3" w:rsidR="00731B27" w:rsidRPr="008B34AB" w:rsidRDefault="00B53212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Programme de CESP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0BED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69F9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5E5C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AE4A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0F92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86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20D8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B8E9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86</w:t>
            </w:r>
          </w:p>
        </w:tc>
      </w:tr>
      <w:tr w:rsidR="00731B27" w:rsidRPr="008B34AB" w14:paraId="72AAC7E4" w14:textId="77777777" w:rsidTr="00434F81">
        <w:trPr>
          <w:trHeight w:val="52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65CA" w14:textId="15757F8E" w:rsidR="00731B27" w:rsidRPr="008B34AB" w:rsidRDefault="00B53212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lastRenderedPageBreak/>
              <w:t>Communications, traductions, publications et rapports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C80F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9A7B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088B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57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AE9E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94A1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157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A4ED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FA07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157</w:t>
            </w:r>
          </w:p>
        </w:tc>
      </w:tr>
      <w:tr w:rsidR="00731B27" w:rsidRPr="008B34AB" w14:paraId="5A748FDC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35E81" w14:textId="522848E8" w:rsidR="00731B27" w:rsidRPr="008B34AB" w:rsidRDefault="009E497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Journée</w:t>
            </w:r>
            <w:r w:rsidR="003E1EF5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 mondiale des zones humides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4B44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1F5C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D3FB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0992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E129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A16F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FA5D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12</w:t>
            </w:r>
          </w:p>
        </w:tc>
      </w:tr>
      <w:tr w:rsidR="00731B27" w:rsidRPr="008B34AB" w14:paraId="2CCA99E7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CF1A" w14:textId="07745894" w:rsidR="00731B27" w:rsidRPr="008B34AB" w:rsidRDefault="003E1EF5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Appui et </w:t>
            </w:r>
            <w:r w:rsidR="009E4977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développement</w:t>
            </w: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 Web/TI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ECAB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15E3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A765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7FF8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225D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1864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5632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56</w:t>
            </w:r>
          </w:p>
        </w:tc>
      </w:tr>
      <w:tr w:rsidR="00731B27" w:rsidRPr="008B34AB" w14:paraId="222C47F9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EF4F" w14:textId="0C4DA7A1" w:rsidR="00731B27" w:rsidRPr="008B34AB" w:rsidRDefault="009E4977" w:rsidP="003E1EF5">
            <w:pPr>
              <w:pStyle w:val="NormalWeb"/>
              <w:rPr>
                <w:lang w:val="fr-FR"/>
              </w:rPr>
            </w:pPr>
            <w:r w:rsidRPr="008B34AB">
              <w:rPr>
                <w:rFonts w:ascii="Calibri" w:hAnsi="Calibri" w:cs="Calibri"/>
                <w:sz w:val="20"/>
                <w:szCs w:val="20"/>
                <w:lang w:val="fr-FR"/>
              </w:rPr>
              <w:t>Redéveloppement</w:t>
            </w:r>
            <w:r w:rsidR="003E1EF5" w:rsidRPr="008B34AB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Web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92F9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3C3D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CB92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86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90F4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D693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86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C201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A331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86</w:t>
            </w:r>
          </w:p>
        </w:tc>
      </w:tr>
      <w:tr w:rsidR="00731B27" w:rsidRPr="008B34AB" w14:paraId="27A28D7A" w14:textId="77777777" w:rsidTr="008D002E">
        <w:trPr>
          <w:trHeight w:val="27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E5A4" w14:textId="6395143F" w:rsidR="00731B27" w:rsidRPr="008B34AB" w:rsidRDefault="003E1EF5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Déplacements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714F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CE67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EBB4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51A1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3CEC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DC63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(10)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93B7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5</w:t>
            </w:r>
          </w:p>
        </w:tc>
      </w:tr>
      <w:tr w:rsidR="00731B27" w:rsidRPr="008B34AB" w14:paraId="4869987F" w14:textId="77777777" w:rsidTr="00434F81">
        <w:trPr>
          <w:trHeight w:val="27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21A4B6D" w14:textId="579FF27B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C.  </w:t>
            </w:r>
            <w:r w:rsidR="003E1EF5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Appui et conseils aux </w:t>
            </w:r>
            <w:r w:rsidR="009E4977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Régions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5CC60B9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1,237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CA78806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21A40D1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96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4358ED4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5B5536D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1,343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84E528A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FC15F15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1,393</w:t>
            </w:r>
          </w:p>
        </w:tc>
      </w:tr>
      <w:tr w:rsidR="00731B27" w:rsidRPr="008B34AB" w14:paraId="0AAF1D0C" w14:textId="77777777" w:rsidTr="008D002E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C213F" w14:textId="056118D2" w:rsidR="00731B27" w:rsidRPr="008B34AB" w:rsidRDefault="003E1EF5" w:rsidP="003E1EF5">
            <w:pPr>
              <w:pStyle w:val="NormalWeb"/>
              <w:rPr>
                <w:lang w:val="fr-FR"/>
              </w:rPr>
            </w:pPr>
            <w:r w:rsidRPr="008B34AB">
              <w:rPr>
                <w:rFonts w:ascii="Calibri" w:hAnsi="Calibri" w:cs="Calibri"/>
                <w:sz w:val="20"/>
                <w:szCs w:val="20"/>
                <w:lang w:val="fr-FR"/>
              </w:rPr>
              <w:t xml:space="preserve">Salaires, charges sociales et autres prestations </w:t>
            </w:r>
            <w:r w:rsidR="009E4977" w:rsidRPr="008B34AB">
              <w:rPr>
                <w:rFonts w:ascii="Calibri" w:hAnsi="Calibri" w:cs="Calibri"/>
                <w:sz w:val="20"/>
                <w:szCs w:val="20"/>
                <w:lang w:val="fr-FR"/>
              </w:rPr>
              <w:t>liées</w:t>
            </w:r>
            <w:r w:rsidRPr="008B34AB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à l’emploi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30F2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1,170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A38F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7127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B498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F360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1,170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80A5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FA74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1,230</w:t>
            </w:r>
          </w:p>
        </w:tc>
      </w:tr>
      <w:tr w:rsidR="00731B27" w:rsidRPr="008B34AB" w14:paraId="28FE0FE2" w14:textId="77777777" w:rsidTr="008D002E">
        <w:trPr>
          <w:trHeight w:val="27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04DC" w14:textId="2EA79CEE" w:rsidR="00731B27" w:rsidRPr="008B34AB" w:rsidRDefault="003E1EF5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Déplacements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7244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67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8EC4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DCE8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72BE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C149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77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D453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(10)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66F2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67</w:t>
            </w:r>
          </w:p>
        </w:tc>
      </w:tr>
      <w:tr w:rsidR="00731B27" w:rsidRPr="008B34AB" w14:paraId="2F4CA15C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0CE5" w14:textId="5728104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Missions</w:t>
            </w:r>
            <w:r w:rsidR="003E1EF5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 consultatives Ramsar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8515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52F2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B900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F97D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E4A2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0BD8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4B03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96</w:t>
            </w:r>
          </w:p>
        </w:tc>
      </w:tr>
      <w:tr w:rsidR="00731B27" w:rsidRPr="008B34AB" w14:paraId="3CDC67DB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9D71626" w14:textId="09421DCE" w:rsidR="00731B27" w:rsidRPr="008B34AB" w:rsidRDefault="00731B27" w:rsidP="003E1EF5">
            <w:pPr>
              <w:pStyle w:val="NormalWeb"/>
              <w:shd w:val="clear" w:color="auto" w:fill="E0EDD8"/>
              <w:rPr>
                <w:lang w:val="fr-FR"/>
              </w:rPr>
            </w:pPr>
            <w:r w:rsidRPr="008B34AB">
              <w:rPr>
                <w:rFonts w:cs="Calibri"/>
                <w:sz w:val="20"/>
                <w:szCs w:val="20"/>
                <w:lang w:val="fr-FR" w:eastAsia="en-GB"/>
              </w:rPr>
              <w:t xml:space="preserve">D.  </w:t>
            </w:r>
            <w:r w:rsidR="003E1EF5" w:rsidRPr="008B34AB">
              <w:rPr>
                <w:rFonts w:ascii="Calibri" w:hAnsi="Calibri" w:cs="Calibri"/>
                <w:sz w:val="20"/>
                <w:szCs w:val="20"/>
                <w:lang w:val="fr-FR"/>
              </w:rPr>
              <w:t xml:space="preserve">Appui aux Initiatives </w:t>
            </w:r>
            <w:r w:rsidR="009E4977" w:rsidRPr="008B34AB">
              <w:rPr>
                <w:rFonts w:ascii="Calibri" w:hAnsi="Calibri" w:cs="Calibri"/>
                <w:sz w:val="20"/>
                <w:szCs w:val="20"/>
                <w:lang w:val="fr-FR"/>
              </w:rPr>
              <w:t>régionales</w:t>
            </w:r>
            <w:r w:rsidR="003E1EF5" w:rsidRPr="008B34AB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(IR)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B796D79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C69813E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68FE989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76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9FF0795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7D2BEA9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176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AE949F0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2C64F48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176</w:t>
            </w:r>
          </w:p>
        </w:tc>
      </w:tr>
      <w:tr w:rsidR="00731B27" w:rsidRPr="008B34AB" w14:paraId="76E96E76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90935" w14:textId="47D15A95" w:rsidR="00731B27" w:rsidRPr="008B34AB" w:rsidRDefault="009E497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Réseaux</w:t>
            </w:r>
            <w:r w:rsidR="003E1EF5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 et centres </w:t>
            </w: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régionaux</w:t>
            </w:r>
            <w:r w:rsidR="003E1EF5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 </w:t>
            </w:r>
            <w:r w:rsidR="00731B27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*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2F7E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A45B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F7A6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64CF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3A4F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ABC3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211F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100</w:t>
            </w:r>
          </w:p>
        </w:tc>
      </w:tr>
      <w:tr w:rsidR="00731B27" w:rsidRPr="008B34AB" w14:paraId="128B0F35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9AA7" w14:textId="0B107835" w:rsidR="00731B27" w:rsidRPr="008B34AB" w:rsidRDefault="00C75D87" w:rsidP="00C75D87">
            <w:pPr>
              <w:pStyle w:val="NormalWeb"/>
              <w:rPr>
                <w:lang w:val="fr-FR"/>
              </w:rPr>
            </w:pPr>
            <w:r w:rsidRPr="008B34AB">
              <w:rPr>
                <w:rFonts w:ascii="Calibri" w:hAnsi="Calibri" w:cs="Calibri"/>
                <w:sz w:val="20"/>
                <w:szCs w:val="20"/>
                <w:lang w:val="fr-FR"/>
              </w:rPr>
              <w:t xml:space="preserve">Report Bassin de l’Amazone 2021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E730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F348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D8A3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76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C9FE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FAF4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76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28C7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0E5E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76</w:t>
            </w:r>
          </w:p>
        </w:tc>
      </w:tr>
      <w:tr w:rsidR="00731B27" w:rsidRPr="008B34AB" w14:paraId="5F2EFA97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BD31CAC" w14:textId="1B0595EE" w:rsidR="00731B27" w:rsidRPr="008B34AB" w:rsidRDefault="00731B27" w:rsidP="00C75D87">
            <w:pPr>
              <w:pStyle w:val="NormalWeb"/>
              <w:shd w:val="clear" w:color="auto" w:fill="E0EDD8"/>
              <w:rPr>
                <w:lang w:val="fr-FR"/>
              </w:rPr>
            </w:pPr>
            <w:r w:rsidRPr="008B34AB">
              <w:rPr>
                <w:rFonts w:cs="Calibri"/>
                <w:sz w:val="20"/>
                <w:szCs w:val="20"/>
                <w:lang w:val="fr-FR" w:eastAsia="en-GB"/>
              </w:rPr>
              <w:t xml:space="preserve">E.  </w:t>
            </w:r>
            <w:r w:rsidR="00C75D87" w:rsidRPr="008B34AB">
              <w:rPr>
                <w:rFonts w:ascii="Calibri" w:hAnsi="Calibri" w:cs="Calibri"/>
                <w:sz w:val="20"/>
                <w:szCs w:val="20"/>
                <w:lang w:val="fr-FR"/>
              </w:rPr>
              <w:t xml:space="preserve">Services scientifiques et techniques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CFFEA11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839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0C38A7C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8A477B5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224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8915197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9F3EAD8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1,068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D8523E7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7BF410A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1,068</w:t>
            </w:r>
          </w:p>
        </w:tc>
      </w:tr>
      <w:tr w:rsidR="00731B27" w:rsidRPr="008B34AB" w14:paraId="219073E8" w14:textId="77777777" w:rsidTr="003A6756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06A85" w14:textId="46B2DEAA" w:rsidR="00731B27" w:rsidRPr="008B34AB" w:rsidRDefault="00C75D87" w:rsidP="00C75D87">
            <w:pPr>
              <w:pStyle w:val="NormalWeb"/>
              <w:rPr>
                <w:lang w:val="fr-FR"/>
              </w:rPr>
            </w:pPr>
            <w:r w:rsidRPr="008B34AB">
              <w:rPr>
                <w:rFonts w:ascii="Calibri" w:hAnsi="Calibri" w:cs="Calibri"/>
                <w:sz w:val="20"/>
                <w:szCs w:val="20"/>
                <w:lang w:val="fr-FR"/>
              </w:rPr>
              <w:t xml:space="preserve">Salaires, charges sociales et autres prestations </w:t>
            </w:r>
            <w:r w:rsidR="009E4977" w:rsidRPr="008B34AB">
              <w:rPr>
                <w:rFonts w:ascii="Calibri" w:hAnsi="Calibri" w:cs="Calibri"/>
                <w:sz w:val="20"/>
                <w:szCs w:val="20"/>
                <w:lang w:val="fr-FR"/>
              </w:rPr>
              <w:t>liées</w:t>
            </w:r>
            <w:r w:rsidRPr="008B34AB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à l’emploi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26DE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651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CF1D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7BC8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5EE1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B290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651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E31A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3D66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651</w:t>
            </w:r>
          </w:p>
        </w:tc>
      </w:tr>
      <w:tr w:rsidR="00731B27" w:rsidRPr="008B34AB" w14:paraId="4F13C729" w14:textId="77777777" w:rsidTr="003A6756">
        <w:trPr>
          <w:trHeight w:val="27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5CE1" w14:textId="594B24AD" w:rsidR="00731B27" w:rsidRPr="008B34AB" w:rsidRDefault="009E4977" w:rsidP="00C75D87">
            <w:pPr>
              <w:pStyle w:val="NormalWeb"/>
              <w:rPr>
                <w:lang w:val="fr-FR"/>
              </w:rPr>
            </w:pPr>
            <w:r w:rsidRPr="008B34AB">
              <w:rPr>
                <w:rFonts w:ascii="Calibri" w:hAnsi="Calibri" w:cs="Calibri"/>
                <w:sz w:val="20"/>
                <w:szCs w:val="20"/>
                <w:lang w:val="fr-FR"/>
              </w:rPr>
              <w:t>Déplacements</w:t>
            </w:r>
            <w:r w:rsidR="00C75D87" w:rsidRPr="008B34AB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F629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553D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F6E7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CB6B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96FF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8748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BC69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28</w:t>
            </w:r>
          </w:p>
        </w:tc>
      </w:tr>
      <w:tr w:rsidR="00731B27" w:rsidRPr="008B34AB" w14:paraId="56B42AA1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4084" w14:textId="77563287" w:rsidR="00731B27" w:rsidRPr="008B34AB" w:rsidRDefault="009E497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Déplacements</w:t>
            </w:r>
            <w:r w:rsidR="00C75D87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 </w:t>
            </w: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Président</w:t>
            </w:r>
            <w:r w:rsidR="00C75D87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 du GEST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F2E0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5CEE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037B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6A8B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F658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4903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EE07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17</w:t>
            </w:r>
          </w:p>
        </w:tc>
      </w:tr>
      <w:tr w:rsidR="00731B27" w:rsidRPr="008B34AB" w14:paraId="6D460EC5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4325" w14:textId="4E4275E9" w:rsidR="00731B27" w:rsidRPr="008B34AB" w:rsidRDefault="00C75D8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Mise en œuvre du GEST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D6CE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7A0D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F6B3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10C8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CE42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685C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559C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80</w:t>
            </w:r>
          </w:p>
        </w:tc>
      </w:tr>
      <w:tr w:rsidR="00731B27" w:rsidRPr="008B34AB" w14:paraId="559AC2D2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9840" w14:textId="086814E0" w:rsidR="00731B27" w:rsidRPr="008B34AB" w:rsidRDefault="009E497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lastRenderedPageBreak/>
              <w:t>Réunions</w:t>
            </w:r>
            <w:r w:rsidR="00C75D87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 du GEST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8C51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DAB0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74EC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332F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8DC8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0739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002F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50</w:t>
            </w:r>
          </w:p>
        </w:tc>
      </w:tr>
      <w:tr w:rsidR="00731B27" w:rsidRPr="008B34AB" w14:paraId="56909E9F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D186" w14:textId="37646FCA" w:rsidR="00731B27" w:rsidRPr="008B34AB" w:rsidRDefault="00C75D8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Plan </w:t>
            </w:r>
            <w:r w:rsidR="009E4977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stratégique</w:t>
            </w: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 SP5 (2022 - 2024</w:t>
            </w:r>
            <w:r w:rsidR="00731B27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D659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F7E9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8ED9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CF35" w14:textId="77777777" w:rsidR="00731B27" w:rsidRPr="008B34AB" w:rsidRDefault="00731B27" w:rsidP="00434F8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fr-FR" w:eastAsia="en-GB"/>
              </w:rPr>
            </w:pPr>
            <w:r w:rsidRPr="008B34AB">
              <w:rPr>
                <w:rFonts w:ascii="Calibri Light" w:eastAsia="Times New Roman" w:hAnsi="Calibri Light" w:cs="Calibri Light"/>
                <w:strike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FCD3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D297" w14:textId="77777777" w:rsidR="00731B27" w:rsidRPr="008B34AB" w:rsidRDefault="00731B27" w:rsidP="00434F8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fr-FR" w:eastAsia="en-GB"/>
              </w:rPr>
            </w:pPr>
            <w:r w:rsidRPr="008B34AB">
              <w:rPr>
                <w:rFonts w:ascii="Calibri Light" w:eastAsia="Times New Roman" w:hAnsi="Calibri Light" w:cs="Calibri Light"/>
                <w:strike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BD94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90</w:t>
            </w:r>
          </w:p>
        </w:tc>
      </w:tr>
      <w:tr w:rsidR="00731B27" w:rsidRPr="008B34AB" w14:paraId="4B79E643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1B06" w14:textId="672F40A1" w:rsidR="00731B27" w:rsidRPr="008B34AB" w:rsidRDefault="00C75D8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ODD 6.61 (Inventaires</w:t>
            </w:r>
            <w:r w:rsidR="00731B27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5FD1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95F7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F1AF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72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8EF4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1251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72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6193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2E6D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72</w:t>
            </w:r>
          </w:p>
        </w:tc>
      </w:tr>
      <w:tr w:rsidR="00731B27" w:rsidRPr="008B34AB" w14:paraId="566BF5CB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69F0" w14:textId="29D65322" w:rsidR="00731B27" w:rsidRPr="008B34AB" w:rsidRDefault="00C75D87" w:rsidP="00C75D87">
            <w:pPr>
              <w:pStyle w:val="NormalWeb"/>
              <w:rPr>
                <w:lang w:val="fr-FR"/>
              </w:rPr>
            </w:pPr>
            <w:r w:rsidRPr="008B34AB">
              <w:rPr>
                <w:rFonts w:ascii="Calibri" w:hAnsi="Calibri" w:cs="Calibri"/>
                <w:sz w:val="20"/>
                <w:szCs w:val="20"/>
                <w:lang w:val="fr-FR"/>
              </w:rPr>
              <w:t xml:space="preserve">Service d’information sur les Sites Ramsar (entretien et </w:t>
            </w:r>
            <w:r w:rsidR="009E4977" w:rsidRPr="008B34AB">
              <w:rPr>
                <w:rFonts w:ascii="Calibri" w:hAnsi="Calibri" w:cs="Calibri"/>
                <w:sz w:val="20"/>
                <w:szCs w:val="20"/>
                <w:lang w:val="fr-FR"/>
              </w:rPr>
              <w:t>développement</w:t>
            </w:r>
            <w:r w:rsidR="00731B27" w:rsidRPr="008B34AB">
              <w:rPr>
                <w:rFonts w:cs="Calibri"/>
                <w:sz w:val="20"/>
                <w:szCs w:val="20"/>
                <w:lang w:val="fr-FR" w:eastAsia="en-GB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EE9C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A906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F031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7DAA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B1F5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DD9F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D988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80</w:t>
            </w:r>
          </w:p>
        </w:tc>
      </w:tr>
      <w:tr w:rsidR="00731B27" w:rsidRPr="008B34AB" w14:paraId="0167B7C6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6C16037" w14:textId="4E45A7AA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G.  </w:t>
            </w:r>
            <w:r w:rsidR="00C75D87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Administration/Web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394CDEF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481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EAD2D41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11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ADF1E1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73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025015A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6B1D7E0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655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FB381B7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484456A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665</w:t>
            </w:r>
          </w:p>
        </w:tc>
      </w:tr>
      <w:tr w:rsidR="00731B27" w:rsidRPr="008B34AB" w14:paraId="35F587C0" w14:textId="77777777" w:rsidTr="008D002E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1C641" w14:textId="175BF4CB" w:rsidR="00731B27" w:rsidRPr="008B34AB" w:rsidRDefault="00C75D8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Salaires, charges sociales et autres prestations </w:t>
            </w:r>
            <w:r w:rsidR="009E4977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liées</w:t>
            </w: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 à l’emploi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5C3D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337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9771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9E58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7D12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F2FA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337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600C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96AF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347</w:t>
            </w:r>
          </w:p>
        </w:tc>
      </w:tr>
      <w:tr w:rsidR="00731B27" w:rsidRPr="008B34AB" w14:paraId="69EE8975" w14:textId="77777777" w:rsidTr="00434F81">
        <w:trPr>
          <w:trHeight w:val="27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91DD" w14:textId="39BB7EAA" w:rsidR="00731B27" w:rsidRPr="008B34AB" w:rsidRDefault="00C75D8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Recrutement et </w:t>
            </w:r>
            <w:r w:rsidR="009E4977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indemnités</w:t>
            </w: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 de </w:t>
            </w:r>
            <w:r w:rsidR="009E4977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départ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9F34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49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7883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25B5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9513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F1B6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BE0A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6731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139</w:t>
            </w:r>
          </w:p>
        </w:tc>
      </w:tr>
      <w:tr w:rsidR="00731B27" w:rsidRPr="008B34AB" w14:paraId="365CBA1C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325B" w14:textId="7E55E13C" w:rsidR="00731B27" w:rsidRPr="008B34AB" w:rsidRDefault="00C75D8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Déplacements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B9A0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36F8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AE12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CA8B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26D0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DE1E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F599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</w:tr>
      <w:tr w:rsidR="00731B27" w:rsidRPr="008B34AB" w14:paraId="659F9689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A19C" w14:textId="68C0A9B8" w:rsidR="00731B27" w:rsidRPr="008B34AB" w:rsidRDefault="009E497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Équipements</w:t>
            </w:r>
            <w:r w:rsidR="00C75D87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/fournitures de bureau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A48D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AEFC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B364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E5DB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FD4B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EE19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3CB3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95</w:t>
            </w:r>
          </w:p>
        </w:tc>
      </w:tr>
      <w:tr w:rsidR="00731B27" w:rsidRPr="008B34AB" w14:paraId="2231555C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FB2F" w14:textId="109F41EF" w:rsidR="00731B27" w:rsidRPr="008B34AB" w:rsidRDefault="00C75D8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Planification et renforcement des </w:t>
            </w:r>
            <w:r w:rsidR="009E4977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capacités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05C0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821F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C457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73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18CC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FFC1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84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9169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648D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84</w:t>
            </w:r>
          </w:p>
        </w:tc>
      </w:tr>
      <w:tr w:rsidR="00731B27" w:rsidRPr="008B34AB" w14:paraId="338B27D4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9A45F9F" w14:textId="275ED32F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H. Services</w:t>
            </w:r>
            <w:r w:rsidR="00D62F9F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 au Comité permanent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1F52F41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62297F3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82BF5C1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97FDAF5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8FFCDEF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173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88C1701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24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15B3849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197</w:t>
            </w:r>
          </w:p>
        </w:tc>
      </w:tr>
      <w:tr w:rsidR="00731B27" w:rsidRPr="008B34AB" w14:paraId="603F8A9C" w14:textId="77777777" w:rsidTr="008D002E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CBA6" w14:textId="05611804" w:rsidR="00731B27" w:rsidRPr="008B34AB" w:rsidRDefault="00D62F9F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Appui aux d</w:t>
            </w:r>
            <w:r w:rsidR="009E4977">
              <w:rPr>
                <w:rFonts w:eastAsia="Times New Roman" w:cs="Calibri"/>
                <w:sz w:val="20"/>
                <w:szCs w:val="20"/>
                <w:lang w:val="fr-FR" w:eastAsia="en-GB"/>
              </w:rPr>
              <w:t>é</w:t>
            </w: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l</w:t>
            </w:r>
            <w:r w:rsidR="009E4977">
              <w:rPr>
                <w:rFonts w:eastAsia="Times New Roman" w:cs="Calibri"/>
                <w:sz w:val="20"/>
                <w:szCs w:val="20"/>
                <w:lang w:val="fr-FR" w:eastAsia="en-GB"/>
              </w:rPr>
              <w:t>é</w:t>
            </w: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gu</w:t>
            </w:r>
            <w:r w:rsidR="009E4977">
              <w:rPr>
                <w:rFonts w:eastAsia="Times New Roman" w:cs="Calibri"/>
                <w:sz w:val="20"/>
                <w:szCs w:val="20"/>
                <w:lang w:val="fr-FR" w:eastAsia="en-GB"/>
              </w:rPr>
              <w:t>é</w:t>
            </w: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s du CP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A520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A65A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897D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3C20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8EEA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6113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(18)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0D56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27</w:t>
            </w:r>
          </w:p>
        </w:tc>
      </w:tr>
      <w:tr w:rsidR="00731B27" w:rsidRPr="008B34AB" w14:paraId="513D4BE0" w14:textId="77777777" w:rsidTr="008D002E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71DF" w14:textId="3A7176EA" w:rsidR="00731B27" w:rsidRPr="008B34AB" w:rsidRDefault="009E497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Réunions</w:t>
            </w:r>
            <w:r w:rsidR="00D62F9F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 du CP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1A67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C992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B76A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1B07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93E3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5C16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6BB2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26</w:t>
            </w:r>
          </w:p>
        </w:tc>
      </w:tr>
      <w:tr w:rsidR="00731B27" w:rsidRPr="008B34AB" w14:paraId="1C055214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C3C4" w14:textId="32E840EA" w:rsidR="00731B27" w:rsidRPr="008B34AB" w:rsidRDefault="00D62F9F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Services de traduction pour le CP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058D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D9C6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5BD1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476E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0D06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4C4A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73B2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60</w:t>
            </w:r>
          </w:p>
        </w:tc>
      </w:tr>
      <w:tr w:rsidR="00731B27" w:rsidRPr="008B34AB" w14:paraId="3C647DAA" w14:textId="77777777" w:rsidTr="008D002E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77A6" w14:textId="5D6C01EA" w:rsidR="00731B27" w:rsidRPr="008B34AB" w:rsidRDefault="009E497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Interprétation</w:t>
            </w:r>
            <w:r w:rsidR="00D62F9F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 </w:t>
            </w: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simultanée</w:t>
            </w:r>
            <w:r w:rsidR="00D62F9F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 aux </w:t>
            </w: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réunions</w:t>
            </w:r>
            <w:r w:rsidR="00D62F9F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 du CP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DF7D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A37D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CD86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62B9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3345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8C4D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1C38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70</w:t>
            </w:r>
          </w:p>
        </w:tc>
      </w:tr>
      <w:tr w:rsidR="00731B27" w:rsidRPr="008B34AB" w14:paraId="5AC78163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BD1E" w14:textId="7064C446" w:rsidR="00731B27" w:rsidRPr="008B34AB" w:rsidRDefault="00D62F9F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Groupe de travail sur l’</w:t>
            </w:r>
            <w:r w:rsidR="009E4977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efficacité</w:t>
            </w: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2A5A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7B51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83E1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2416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0F32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DBA4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DA53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14</w:t>
            </w:r>
          </w:p>
        </w:tc>
      </w:tr>
      <w:tr w:rsidR="00731B27" w:rsidRPr="008B34AB" w14:paraId="7001094C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87A3" w14:textId="7B56DE25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R</w:t>
            </w:r>
            <w:r w:rsidR="00D62F9F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évision des Ré</w:t>
            </w: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solutions (Res. XIII.4)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356E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A628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4DA2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187F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6F0C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C799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00D1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</w:tr>
      <w:tr w:rsidR="00731B27" w:rsidRPr="008B34AB" w14:paraId="53C00599" w14:textId="77777777" w:rsidTr="00434F81">
        <w:trPr>
          <w:trHeight w:val="25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2CE8B5D" w14:textId="4D63F8BD" w:rsidR="00731B27" w:rsidRPr="008B34AB" w:rsidRDefault="00731B27" w:rsidP="000F31C9">
            <w:pPr>
              <w:keepNext/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lastRenderedPageBreak/>
              <w:t xml:space="preserve">J.  </w:t>
            </w:r>
            <w:r w:rsidR="009E4977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Coûts</w:t>
            </w:r>
            <w:r w:rsidR="00D62F9F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 des services administratifs de l’UICN (maximum)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8C55835" w14:textId="77777777" w:rsidR="00731B27" w:rsidRPr="008B34AB" w:rsidRDefault="00731B27" w:rsidP="000F31C9">
            <w:pPr>
              <w:keepNext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541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5D5D8F9" w14:textId="77777777" w:rsidR="00731B27" w:rsidRPr="008B34AB" w:rsidRDefault="00731B27" w:rsidP="000F31C9">
            <w:pPr>
              <w:keepNext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7F19BB4" w14:textId="77777777" w:rsidR="00731B27" w:rsidRPr="008B34AB" w:rsidRDefault="00731B27" w:rsidP="000F31C9">
            <w:pPr>
              <w:keepNext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AEF1AA9" w14:textId="77777777" w:rsidR="00731B27" w:rsidRPr="008B34AB" w:rsidRDefault="00731B27" w:rsidP="000F31C9">
            <w:pPr>
              <w:keepNext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1DEB02B" w14:textId="77777777" w:rsidR="00731B27" w:rsidRPr="008B34AB" w:rsidRDefault="00731B27" w:rsidP="000F31C9">
            <w:pPr>
              <w:keepNext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541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719353D" w14:textId="77777777" w:rsidR="00731B27" w:rsidRPr="008B34AB" w:rsidRDefault="00731B27" w:rsidP="000F31C9">
            <w:pPr>
              <w:keepNext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D1C5A46" w14:textId="77777777" w:rsidR="00731B27" w:rsidRPr="008B34AB" w:rsidRDefault="00731B27" w:rsidP="000F31C9">
            <w:pPr>
              <w:keepNext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541</w:t>
            </w:r>
          </w:p>
        </w:tc>
      </w:tr>
      <w:tr w:rsidR="00731B27" w:rsidRPr="008B34AB" w14:paraId="7208B012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9414" w14:textId="2A304442" w:rsidR="00731B27" w:rsidRPr="008B34AB" w:rsidRDefault="00D62F9F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Administration, ressources humaines, services financiers et services informatiques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8069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541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F803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69F3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6777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386B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541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21D5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D4BB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541</w:t>
            </w:r>
          </w:p>
        </w:tc>
      </w:tr>
      <w:tr w:rsidR="00731B27" w:rsidRPr="008B34AB" w14:paraId="3147FC53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2578DD6" w14:textId="2F974FA6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K.  </w:t>
            </w:r>
            <w:r w:rsidR="00D62F9F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Divers - Fonds de </w:t>
            </w:r>
            <w:r w:rsidR="009E4977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réserve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3E928C8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109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2CE3290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120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B7670BD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62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9CFE5DD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7B23C01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291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BB4E1B5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543B373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291</w:t>
            </w:r>
          </w:p>
        </w:tc>
      </w:tr>
      <w:tr w:rsidR="00731B27" w:rsidRPr="008B34AB" w14:paraId="0F8EDCED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C2D0" w14:textId="6C4C2300" w:rsidR="00731B27" w:rsidRPr="008B34AB" w:rsidRDefault="00D62F9F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Provisions pour les personnels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640E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334C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A5A7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D69B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B11B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2682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30ED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20</w:t>
            </w:r>
          </w:p>
        </w:tc>
      </w:tr>
      <w:tr w:rsidR="00731B27" w:rsidRPr="008B34AB" w14:paraId="15A22502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E27FE" w14:textId="11138933" w:rsidR="00731B27" w:rsidRPr="008B34AB" w:rsidRDefault="00D62F9F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Provision au titre des contributions </w:t>
            </w:r>
            <w:r w:rsidR="009E4977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impayées</w:t>
            </w:r>
            <w:r w:rsidR="00731B27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*</w:t>
            </w:r>
            <w:r w:rsidR="000E1F5D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*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2871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69EA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120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2162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6B3F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FDAC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6249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6A34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150</w:t>
            </w:r>
          </w:p>
        </w:tc>
      </w:tr>
      <w:tr w:rsidR="00731B27" w:rsidRPr="008B34AB" w14:paraId="25D3E70D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8895" w14:textId="0466853C" w:rsidR="00731B27" w:rsidRPr="008B34AB" w:rsidRDefault="00D62F9F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Gains/pertes </w:t>
            </w:r>
            <w:r w:rsidR="009E4977"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liés</w:t>
            </w: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 xml:space="preserve"> au change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8137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E097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D0E1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2147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7CF5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8684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42AE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</w:tr>
      <w:tr w:rsidR="00731B27" w:rsidRPr="008B34AB" w14:paraId="1414DE1A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AF65" w14:textId="65B97522" w:rsidR="00731B27" w:rsidRPr="008B34AB" w:rsidRDefault="008B34AB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Services juridiques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8F15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59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E6DB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2B4F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62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680A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2883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2478" w14:textId="77777777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0B99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sz w:val="20"/>
                <w:szCs w:val="20"/>
                <w:lang w:val="fr-FR" w:eastAsia="en-GB"/>
              </w:rPr>
              <w:t>121</w:t>
            </w:r>
          </w:p>
        </w:tc>
      </w:tr>
      <w:tr w:rsidR="00731B27" w:rsidRPr="008B34AB" w14:paraId="741C7DCB" w14:textId="77777777" w:rsidTr="00434F81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7F994609" w14:textId="5A41E54F" w:rsidR="00731B27" w:rsidRPr="008B34AB" w:rsidRDefault="00731B27" w:rsidP="00434F8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 xml:space="preserve">TOTAL </w:t>
            </w:r>
            <w:r w:rsidR="008B34AB"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DÉPENSES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3620C91F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5,081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22D07BDC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196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332C7958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765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4C37F751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1A17A9CE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6,132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18DA1356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0124995F" w14:textId="77777777" w:rsidR="00731B27" w:rsidRPr="008B34AB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</w:pPr>
            <w:r w:rsidRPr="008B34AB">
              <w:rPr>
                <w:rFonts w:eastAsia="Times New Roman" w:cs="Calibri"/>
                <w:b/>
                <w:bCs/>
                <w:sz w:val="20"/>
                <w:szCs w:val="20"/>
                <w:lang w:val="fr-FR" w:eastAsia="en-GB"/>
              </w:rPr>
              <w:t>6,132</w:t>
            </w:r>
          </w:p>
        </w:tc>
      </w:tr>
    </w:tbl>
    <w:p w14:paraId="226472DB" w14:textId="2D06E057" w:rsidR="00434F81" w:rsidRPr="008B34AB" w:rsidRDefault="00434F81" w:rsidP="00434F81">
      <w:pPr>
        <w:tabs>
          <w:tab w:val="left" w:pos="13323"/>
          <w:tab w:val="left" w:pos="15361"/>
          <w:tab w:val="left" w:pos="17399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fr-FR" w:eastAsia="en-GB"/>
        </w:rPr>
      </w:pPr>
      <w:r w:rsidRPr="008B34AB">
        <w:rPr>
          <w:rFonts w:eastAsia="Times New Roman" w:cs="Calibri"/>
          <w:b/>
          <w:bCs/>
          <w:color w:val="000000"/>
          <w:sz w:val="20"/>
          <w:szCs w:val="20"/>
          <w:lang w:val="fr-FR" w:eastAsia="en-GB"/>
        </w:rPr>
        <w:t>Notes</w:t>
      </w:r>
      <w:r w:rsidR="008B34AB" w:rsidRPr="008B34AB">
        <w:rPr>
          <w:rFonts w:eastAsia="Times New Roman" w:cs="Calibri"/>
          <w:b/>
          <w:bCs/>
          <w:color w:val="000000"/>
          <w:sz w:val="20"/>
          <w:szCs w:val="20"/>
          <w:lang w:val="fr-FR" w:eastAsia="en-GB"/>
        </w:rPr>
        <w:t xml:space="preserve"> </w:t>
      </w:r>
      <w:r w:rsidRPr="008B34AB">
        <w:rPr>
          <w:rFonts w:eastAsia="Times New Roman" w:cs="Calibri"/>
          <w:b/>
          <w:bCs/>
          <w:color w:val="000000"/>
          <w:sz w:val="20"/>
          <w:szCs w:val="20"/>
          <w:lang w:val="fr-FR" w:eastAsia="en-GB"/>
        </w:rPr>
        <w:t>:</w:t>
      </w:r>
    </w:p>
    <w:p w14:paraId="5FC51006" w14:textId="2F3D14CB" w:rsidR="008B34AB" w:rsidRPr="008B34AB" w:rsidRDefault="000E1F5D" w:rsidP="008B34AB">
      <w:pPr>
        <w:spacing w:after="0" w:line="240" w:lineRule="auto"/>
        <w:rPr>
          <w:rFonts w:eastAsia="Times New Roman" w:cs="Calibri"/>
          <w:color w:val="000000"/>
          <w:sz w:val="20"/>
          <w:szCs w:val="20"/>
          <w:lang w:val="fr-FR" w:eastAsia="en-GB"/>
        </w:rPr>
      </w:pPr>
      <w:r w:rsidRPr="008B34AB">
        <w:rPr>
          <w:rFonts w:eastAsia="Times New Roman" w:cs="Calibri"/>
          <w:color w:val="000000"/>
          <w:sz w:val="20"/>
          <w:szCs w:val="20"/>
          <w:lang w:val="fr-FR" w:eastAsia="en-GB"/>
        </w:rPr>
        <w:t xml:space="preserve">* </w:t>
      </w:r>
      <w:r w:rsidR="008B34AB" w:rsidRPr="008B34AB">
        <w:rPr>
          <w:rFonts w:eastAsia="Times New Roman" w:cs="Calibri"/>
          <w:color w:val="000000"/>
          <w:sz w:val="20"/>
          <w:szCs w:val="20"/>
          <w:lang w:val="fr-FR" w:eastAsia="en-GB"/>
        </w:rPr>
        <w:t xml:space="preserve"> Pour examen par la SC62 pour </w:t>
      </w:r>
      <w:r w:rsidR="00C47071">
        <w:rPr>
          <w:rFonts w:eastAsia="Times New Roman" w:cs="Calibri"/>
          <w:color w:val="000000"/>
          <w:sz w:val="20"/>
          <w:szCs w:val="20"/>
          <w:lang w:val="fr-FR" w:eastAsia="en-GB"/>
        </w:rPr>
        <w:t>toute</w:t>
      </w:r>
      <w:r w:rsidR="008B34AB" w:rsidRPr="008B34AB">
        <w:rPr>
          <w:rFonts w:eastAsia="Times New Roman" w:cs="Calibri"/>
          <w:color w:val="000000"/>
          <w:sz w:val="20"/>
          <w:szCs w:val="20"/>
          <w:lang w:val="fr-FR" w:eastAsia="en-GB"/>
        </w:rPr>
        <w:t xml:space="preserve"> nouvelle Initiative </w:t>
      </w:r>
      <w:r w:rsidR="009E4977" w:rsidRPr="008B34AB">
        <w:rPr>
          <w:rFonts w:eastAsia="Times New Roman" w:cs="Calibri"/>
          <w:color w:val="000000"/>
          <w:sz w:val="20"/>
          <w:szCs w:val="20"/>
          <w:lang w:val="fr-FR" w:eastAsia="en-GB"/>
        </w:rPr>
        <w:t>régionale</w:t>
      </w:r>
      <w:r w:rsidR="008B34AB" w:rsidRPr="008B34AB">
        <w:rPr>
          <w:rFonts w:eastAsia="Times New Roman" w:cs="Calibri"/>
          <w:color w:val="000000"/>
          <w:sz w:val="20"/>
          <w:szCs w:val="20"/>
          <w:lang w:val="fr-FR" w:eastAsia="en-GB"/>
        </w:rPr>
        <w:t xml:space="preserve"> </w:t>
      </w:r>
      <w:r w:rsidR="009E4977" w:rsidRPr="008B34AB">
        <w:rPr>
          <w:rFonts w:eastAsia="Times New Roman" w:cs="Calibri"/>
          <w:color w:val="000000"/>
          <w:sz w:val="20"/>
          <w:szCs w:val="20"/>
          <w:lang w:val="fr-FR" w:eastAsia="en-GB"/>
        </w:rPr>
        <w:t>approuvée</w:t>
      </w:r>
      <w:r w:rsidR="008B34AB" w:rsidRPr="008B34AB">
        <w:rPr>
          <w:rFonts w:eastAsia="Times New Roman" w:cs="Calibri"/>
          <w:color w:val="000000"/>
          <w:sz w:val="20"/>
          <w:szCs w:val="20"/>
          <w:lang w:val="fr-FR" w:eastAsia="en-GB"/>
        </w:rPr>
        <w:t xml:space="preserve"> par la COP14.</w:t>
      </w:r>
    </w:p>
    <w:p w14:paraId="02970BA9" w14:textId="094FF038" w:rsidR="00434F81" w:rsidRPr="008B34AB" w:rsidRDefault="00434F81" w:rsidP="008B34A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fr-FR" w:eastAsia="en-GB"/>
        </w:rPr>
      </w:pPr>
      <w:r w:rsidRPr="008B34AB">
        <w:rPr>
          <w:rFonts w:eastAsia="Times New Roman" w:cs="Calibri"/>
          <w:sz w:val="20"/>
          <w:szCs w:val="20"/>
          <w:lang w:val="fr-FR" w:eastAsia="en-GB"/>
        </w:rPr>
        <w:t>*</w:t>
      </w:r>
      <w:r w:rsidR="000E1F5D" w:rsidRPr="008B34AB">
        <w:rPr>
          <w:rFonts w:eastAsia="Times New Roman" w:cs="Calibri"/>
          <w:sz w:val="20"/>
          <w:szCs w:val="20"/>
          <w:lang w:val="fr-FR" w:eastAsia="en-GB"/>
        </w:rPr>
        <w:t>*</w:t>
      </w:r>
      <w:r w:rsidRPr="008B34AB">
        <w:rPr>
          <w:rFonts w:eastAsia="Times New Roman" w:cs="Calibri"/>
          <w:sz w:val="20"/>
          <w:szCs w:val="20"/>
          <w:lang w:val="fr-FR" w:eastAsia="en-GB"/>
        </w:rPr>
        <w:t xml:space="preserve"> </w:t>
      </w:r>
      <w:r w:rsidR="008B34AB" w:rsidRPr="008B34AB">
        <w:rPr>
          <w:rFonts w:cs="Calibri"/>
          <w:sz w:val="20"/>
          <w:szCs w:val="20"/>
          <w:lang w:val="fr-FR"/>
        </w:rPr>
        <w:t xml:space="preserve">toute portion </w:t>
      </w:r>
      <w:r w:rsidR="009E4977" w:rsidRPr="008B34AB">
        <w:rPr>
          <w:rFonts w:cs="Calibri"/>
          <w:sz w:val="20"/>
          <w:szCs w:val="20"/>
          <w:lang w:val="fr-FR"/>
        </w:rPr>
        <w:t>inutilisée</w:t>
      </w:r>
      <w:r w:rsidR="008B34AB" w:rsidRPr="008B34AB">
        <w:rPr>
          <w:rFonts w:cs="Calibri"/>
          <w:sz w:val="20"/>
          <w:szCs w:val="20"/>
          <w:lang w:val="fr-FR"/>
        </w:rPr>
        <w:t xml:space="preserve"> sera reversée à l'épargne</w:t>
      </w:r>
      <w:r w:rsidR="000E1F5D" w:rsidRPr="008B34AB">
        <w:rPr>
          <w:rFonts w:eastAsia="Times New Roman" w:cs="Calibri"/>
          <w:sz w:val="20"/>
          <w:szCs w:val="20"/>
          <w:lang w:val="fr-FR" w:eastAsia="en-GB"/>
        </w:rPr>
        <w:t>.</w:t>
      </w:r>
    </w:p>
    <w:p w14:paraId="650EB65B" w14:textId="77777777" w:rsidR="00731B27" w:rsidRPr="008B34AB" w:rsidRDefault="00731B27" w:rsidP="00605039">
      <w:pPr>
        <w:pStyle w:val="ListParagraph"/>
        <w:spacing w:after="0" w:line="240" w:lineRule="auto"/>
        <w:ind w:left="0"/>
        <w:rPr>
          <w:lang w:val="fr-FR"/>
        </w:rPr>
      </w:pPr>
    </w:p>
    <w:sectPr w:rsidR="00731B27" w:rsidRPr="008B34AB" w:rsidSect="00434F8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322ED" w14:textId="77777777" w:rsidR="00AB6167" w:rsidRDefault="00AB6167" w:rsidP="00DF2386">
      <w:pPr>
        <w:spacing w:after="0" w:line="240" w:lineRule="auto"/>
      </w:pPr>
      <w:r>
        <w:separator/>
      </w:r>
    </w:p>
  </w:endnote>
  <w:endnote w:type="continuationSeparator" w:id="0">
    <w:p w14:paraId="0F1AFA59" w14:textId="77777777" w:rsidR="00AB6167" w:rsidRDefault="00AB6167" w:rsidP="00DF2386">
      <w:pPr>
        <w:spacing w:after="0" w:line="240" w:lineRule="auto"/>
      </w:pPr>
      <w:r>
        <w:continuationSeparator/>
      </w:r>
    </w:p>
  </w:endnote>
  <w:endnote w:type="continuationNotice" w:id="1">
    <w:p w14:paraId="209FE461" w14:textId="77777777" w:rsidR="00AB6167" w:rsidRDefault="00AB61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F8D1E" w14:textId="24C29A1A" w:rsidR="008D002E" w:rsidRPr="00D12E4C" w:rsidRDefault="008D002E" w:rsidP="00434F81">
    <w:pPr>
      <w:pStyle w:val="Footer"/>
      <w:tabs>
        <w:tab w:val="clear" w:pos="9026"/>
        <w:tab w:val="right" w:pos="13892"/>
      </w:tabs>
      <w:rPr>
        <w:sz w:val="20"/>
        <w:szCs w:val="20"/>
      </w:rPr>
    </w:pPr>
    <w:r w:rsidRPr="00523AA8">
      <w:rPr>
        <w:sz w:val="20"/>
        <w:szCs w:val="20"/>
      </w:rPr>
      <w:t>SC60 Doc.8.1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 w:rsidR="000F31C9">
      <w:rPr>
        <w:noProof/>
        <w:sz w:val="20"/>
        <w:szCs w:val="20"/>
      </w:rPr>
      <w:t>2</w:t>
    </w:r>
    <w:r w:rsidRPr="00D12E4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2783E" w14:textId="77777777" w:rsidR="00AB6167" w:rsidRDefault="00AB6167" w:rsidP="00DF2386">
      <w:pPr>
        <w:spacing w:after="0" w:line="240" w:lineRule="auto"/>
      </w:pPr>
      <w:r>
        <w:separator/>
      </w:r>
    </w:p>
  </w:footnote>
  <w:footnote w:type="continuationSeparator" w:id="0">
    <w:p w14:paraId="36AB4057" w14:textId="77777777" w:rsidR="00AB6167" w:rsidRDefault="00AB6167" w:rsidP="00DF2386">
      <w:pPr>
        <w:spacing w:after="0" w:line="240" w:lineRule="auto"/>
      </w:pPr>
      <w:r>
        <w:continuationSeparator/>
      </w:r>
    </w:p>
  </w:footnote>
  <w:footnote w:type="continuationNotice" w:id="1">
    <w:p w14:paraId="6725EFFD" w14:textId="77777777" w:rsidR="00AB6167" w:rsidRDefault="00AB6167">
      <w:pPr>
        <w:spacing w:after="0" w:line="240" w:lineRule="auto"/>
      </w:pPr>
    </w:p>
  </w:footnote>
  <w:footnote w:id="2">
    <w:p w14:paraId="1687BEC8" w14:textId="7C41A20A" w:rsidR="008D002E" w:rsidRDefault="008D002E" w:rsidP="009933EA">
      <w:pPr>
        <w:pStyle w:val="FootnoteText"/>
      </w:pPr>
      <w:r>
        <w:rPr>
          <w:rStyle w:val="FootnoteReference"/>
        </w:rPr>
        <w:footnoteRef/>
      </w:r>
      <w:r>
        <w:t> </w:t>
      </w:r>
      <w:r w:rsidR="00A56183">
        <w:t>Voir</w:t>
      </w:r>
      <w:r>
        <w:t> </w:t>
      </w:r>
      <w:hyperlink r:id="rId1" w:history="1">
        <w:r w:rsidR="000F31C9" w:rsidRPr="00383A00">
          <w:rPr>
            <w:rStyle w:val="Hyperlink"/>
          </w:rPr>
          <w:t>https://www.ramsar.org/fr/document/sc592022-com2-rev1-rapport-du-sous-groupe-sur-les-finances-23-mai-2022</w:t>
        </w:r>
      </w:hyperlink>
      <w:r>
        <w:rPr>
          <w:rStyle w:val="FootnoteReference"/>
          <w:vertAlign w:val="baseline"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909C9"/>
    <w:multiLevelType w:val="hybridMultilevel"/>
    <w:tmpl w:val="9C7CB2F0"/>
    <w:lvl w:ilvl="0" w:tplc="B1C8B44E">
      <w:start w:val="1"/>
      <w:numFmt w:val="lowerRoman"/>
      <w:lvlText w:val="%1."/>
      <w:lvlJc w:val="left"/>
      <w:pPr>
        <w:ind w:left="100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F2108"/>
    <w:multiLevelType w:val="multilevel"/>
    <w:tmpl w:val="896A2A5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C1247"/>
    <w:multiLevelType w:val="hybridMultilevel"/>
    <w:tmpl w:val="CF80FFE0"/>
    <w:lvl w:ilvl="0" w:tplc="B5D8AF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A4A17"/>
    <w:multiLevelType w:val="hybridMultilevel"/>
    <w:tmpl w:val="42C87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4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1"/>
  </w:num>
  <w:num w:numId="7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4"/>
  </w:num>
  <w:num w:numId="13">
    <w:abstractNumId w:val="18"/>
  </w:num>
  <w:num w:numId="14">
    <w:abstractNumId w:val="12"/>
  </w:num>
  <w:num w:numId="15">
    <w:abstractNumId w:val="1"/>
  </w:num>
  <w:num w:numId="16">
    <w:abstractNumId w:val="15"/>
  </w:num>
  <w:num w:numId="17">
    <w:abstractNumId w:val="24"/>
  </w:num>
  <w:num w:numId="18">
    <w:abstractNumId w:val="33"/>
  </w:num>
  <w:num w:numId="19">
    <w:abstractNumId w:val="32"/>
  </w:num>
  <w:num w:numId="20">
    <w:abstractNumId w:val="26"/>
  </w:num>
  <w:num w:numId="21">
    <w:abstractNumId w:val="28"/>
  </w:num>
  <w:num w:numId="22">
    <w:abstractNumId w:val="16"/>
  </w:num>
  <w:num w:numId="23">
    <w:abstractNumId w:val="25"/>
  </w:num>
  <w:num w:numId="24">
    <w:abstractNumId w:val="22"/>
  </w:num>
  <w:num w:numId="25">
    <w:abstractNumId w:val="34"/>
  </w:num>
  <w:num w:numId="26">
    <w:abstractNumId w:val="6"/>
  </w:num>
  <w:num w:numId="27">
    <w:abstractNumId w:val="11"/>
  </w:num>
  <w:num w:numId="28">
    <w:abstractNumId w:val="19"/>
  </w:num>
  <w:num w:numId="29">
    <w:abstractNumId w:val="29"/>
  </w:num>
  <w:num w:numId="30">
    <w:abstractNumId w:val="21"/>
  </w:num>
  <w:num w:numId="31">
    <w:abstractNumId w:val="23"/>
  </w:num>
  <w:num w:numId="32">
    <w:abstractNumId w:val="13"/>
  </w:num>
  <w:num w:numId="33">
    <w:abstractNumId w:val="3"/>
  </w:num>
  <w:num w:numId="34">
    <w:abstractNumId w:val="9"/>
  </w:num>
  <w:num w:numId="35">
    <w:abstractNumId w:val="2"/>
  </w:num>
  <w:num w:numId="36">
    <w:abstractNumId w:val="3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286D"/>
    <w:rsid w:val="00004515"/>
    <w:rsid w:val="00007D7E"/>
    <w:rsid w:val="0001280D"/>
    <w:rsid w:val="00017A16"/>
    <w:rsid w:val="00022E8C"/>
    <w:rsid w:val="00026FEE"/>
    <w:rsid w:val="00030B1D"/>
    <w:rsid w:val="00033E40"/>
    <w:rsid w:val="00033F51"/>
    <w:rsid w:val="00036BAE"/>
    <w:rsid w:val="00037CE0"/>
    <w:rsid w:val="00050008"/>
    <w:rsid w:val="000524CC"/>
    <w:rsid w:val="00053480"/>
    <w:rsid w:val="00053929"/>
    <w:rsid w:val="000551F6"/>
    <w:rsid w:val="00065B98"/>
    <w:rsid w:val="00071EF9"/>
    <w:rsid w:val="000725B7"/>
    <w:rsid w:val="000736AD"/>
    <w:rsid w:val="00074DE8"/>
    <w:rsid w:val="0007712D"/>
    <w:rsid w:val="0008208F"/>
    <w:rsid w:val="00082689"/>
    <w:rsid w:val="000828D3"/>
    <w:rsid w:val="00082A48"/>
    <w:rsid w:val="00086AA5"/>
    <w:rsid w:val="000905B8"/>
    <w:rsid w:val="00091DC7"/>
    <w:rsid w:val="00092F7C"/>
    <w:rsid w:val="00094D30"/>
    <w:rsid w:val="000A2CD5"/>
    <w:rsid w:val="000A3E3E"/>
    <w:rsid w:val="000A6DD3"/>
    <w:rsid w:val="000B008B"/>
    <w:rsid w:val="000B03AB"/>
    <w:rsid w:val="000C09C0"/>
    <w:rsid w:val="000C26E8"/>
    <w:rsid w:val="000C66CA"/>
    <w:rsid w:val="000D5C76"/>
    <w:rsid w:val="000E1F5D"/>
    <w:rsid w:val="000E2FA0"/>
    <w:rsid w:val="000E47E9"/>
    <w:rsid w:val="000E64B4"/>
    <w:rsid w:val="000F30D7"/>
    <w:rsid w:val="000F31C9"/>
    <w:rsid w:val="000F4BF0"/>
    <w:rsid w:val="00100323"/>
    <w:rsid w:val="0010203E"/>
    <w:rsid w:val="001039A7"/>
    <w:rsid w:val="001046FE"/>
    <w:rsid w:val="00105291"/>
    <w:rsid w:val="001052C7"/>
    <w:rsid w:val="00105FD1"/>
    <w:rsid w:val="00106093"/>
    <w:rsid w:val="00112287"/>
    <w:rsid w:val="0012096C"/>
    <w:rsid w:val="00121597"/>
    <w:rsid w:val="001257D5"/>
    <w:rsid w:val="00127828"/>
    <w:rsid w:val="001308F5"/>
    <w:rsid w:val="00146BDE"/>
    <w:rsid w:val="00147FE6"/>
    <w:rsid w:val="0015104B"/>
    <w:rsid w:val="0015491F"/>
    <w:rsid w:val="001550A5"/>
    <w:rsid w:val="00155149"/>
    <w:rsid w:val="00161BDA"/>
    <w:rsid w:val="00163246"/>
    <w:rsid w:val="00164595"/>
    <w:rsid w:val="001678BD"/>
    <w:rsid w:val="00171618"/>
    <w:rsid w:val="00171625"/>
    <w:rsid w:val="00172DB8"/>
    <w:rsid w:val="001819B1"/>
    <w:rsid w:val="00190197"/>
    <w:rsid w:val="00192DDE"/>
    <w:rsid w:val="00196220"/>
    <w:rsid w:val="00197D61"/>
    <w:rsid w:val="001A46C7"/>
    <w:rsid w:val="001A48C7"/>
    <w:rsid w:val="001A7044"/>
    <w:rsid w:val="001B0F0C"/>
    <w:rsid w:val="001B10F1"/>
    <w:rsid w:val="001B2FC7"/>
    <w:rsid w:val="001B330D"/>
    <w:rsid w:val="001C5E41"/>
    <w:rsid w:val="001C77BC"/>
    <w:rsid w:val="001C783B"/>
    <w:rsid w:val="001D1697"/>
    <w:rsid w:val="001D42C7"/>
    <w:rsid w:val="001D48BB"/>
    <w:rsid w:val="001E00E3"/>
    <w:rsid w:val="001E2204"/>
    <w:rsid w:val="001F01BA"/>
    <w:rsid w:val="001F2349"/>
    <w:rsid w:val="001F2FE4"/>
    <w:rsid w:val="001F3D08"/>
    <w:rsid w:val="002005D2"/>
    <w:rsid w:val="00200B53"/>
    <w:rsid w:val="00201663"/>
    <w:rsid w:val="0020298B"/>
    <w:rsid w:val="00205989"/>
    <w:rsid w:val="00206111"/>
    <w:rsid w:val="0021171D"/>
    <w:rsid w:val="002137E0"/>
    <w:rsid w:val="002236CA"/>
    <w:rsid w:val="00227310"/>
    <w:rsid w:val="0023409B"/>
    <w:rsid w:val="00244E1D"/>
    <w:rsid w:val="00246E5E"/>
    <w:rsid w:val="00264EC9"/>
    <w:rsid w:val="00266F2F"/>
    <w:rsid w:val="00270DEF"/>
    <w:rsid w:val="00272269"/>
    <w:rsid w:val="002741AC"/>
    <w:rsid w:val="00275785"/>
    <w:rsid w:val="002766B3"/>
    <w:rsid w:val="002819C0"/>
    <w:rsid w:val="00282490"/>
    <w:rsid w:val="00291102"/>
    <w:rsid w:val="0029204D"/>
    <w:rsid w:val="00295556"/>
    <w:rsid w:val="00295BB5"/>
    <w:rsid w:val="00296395"/>
    <w:rsid w:val="002A5A4D"/>
    <w:rsid w:val="002B0AA0"/>
    <w:rsid w:val="002B4262"/>
    <w:rsid w:val="002C0750"/>
    <w:rsid w:val="002C728A"/>
    <w:rsid w:val="002C74E8"/>
    <w:rsid w:val="002C7F04"/>
    <w:rsid w:val="002D5A4D"/>
    <w:rsid w:val="002D5ED7"/>
    <w:rsid w:val="002D6788"/>
    <w:rsid w:val="002E22AF"/>
    <w:rsid w:val="002E4240"/>
    <w:rsid w:val="002E5902"/>
    <w:rsid w:val="002F2EB8"/>
    <w:rsid w:val="003035BB"/>
    <w:rsid w:val="00307410"/>
    <w:rsid w:val="003221DE"/>
    <w:rsid w:val="00322441"/>
    <w:rsid w:val="00324398"/>
    <w:rsid w:val="003341CA"/>
    <w:rsid w:val="00337B40"/>
    <w:rsid w:val="00343963"/>
    <w:rsid w:val="0035155A"/>
    <w:rsid w:val="00351CCA"/>
    <w:rsid w:val="003523C9"/>
    <w:rsid w:val="00355C9A"/>
    <w:rsid w:val="0035788B"/>
    <w:rsid w:val="003603FE"/>
    <w:rsid w:val="00363903"/>
    <w:rsid w:val="003665B9"/>
    <w:rsid w:val="003726F3"/>
    <w:rsid w:val="00374E48"/>
    <w:rsid w:val="00375B6C"/>
    <w:rsid w:val="00377986"/>
    <w:rsid w:val="00383E1B"/>
    <w:rsid w:val="00384FC3"/>
    <w:rsid w:val="003864C3"/>
    <w:rsid w:val="003872C7"/>
    <w:rsid w:val="0039008C"/>
    <w:rsid w:val="00390AD7"/>
    <w:rsid w:val="00391FEF"/>
    <w:rsid w:val="00393B6A"/>
    <w:rsid w:val="0039424B"/>
    <w:rsid w:val="00394FD7"/>
    <w:rsid w:val="003A0FAA"/>
    <w:rsid w:val="003A20CD"/>
    <w:rsid w:val="003A3804"/>
    <w:rsid w:val="003A4C88"/>
    <w:rsid w:val="003A52BE"/>
    <w:rsid w:val="003A5866"/>
    <w:rsid w:val="003A6756"/>
    <w:rsid w:val="003A6E9F"/>
    <w:rsid w:val="003B399B"/>
    <w:rsid w:val="003B5243"/>
    <w:rsid w:val="003B587F"/>
    <w:rsid w:val="003C2E78"/>
    <w:rsid w:val="003C3BD7"/>
    <w:rsid w:val="003D052D"/>
    <w:rsid w:val="003D1131"/>
    <w:rsid w:val="003D1784"/>
    <w:rsid w:val="003D4CD6"/>
    <w:rsid w:val="003D6306"/>
    <w:rsid w:val="003D6B96"/>
    <w:rsid w:val="003E03D0"/>
    <w:rsid w:val="003E0E6C"/>
    <w:rsid w:val="003E1EF5"/>
    <w:rsid w:val="003E2F84"/>
    <w:rsid w:val="003E5C6A"/>
    <w:rsid w:val="0040316C"/>
    <w:rsid w:val="004064E6"/>
    <w:rsid w:val="00410920"/>
    <w:rsid w:val="004131FC"/>
    <w:rsid w:val="004200D3"/>
    <w:rsid w:val="004228C7"/>
    <w:rsid w:val="00427063"/>
    <w:rsid w:val="00427826"/>
    <w:rsid w:val="0042798B"/>
    <w:rsid w:val="00434913"/>
    <w:rsid w:val="00434F81"/>
    <w:rsid w:val="004351EF"/>
    <w:rsid w:val="00436009"/>
    <w:rsid w:val="00441CD2"/>
    <w:rsid w:val="00443240"/>
    <w:rsid w:val="004474F8"/>
    <w:rsid w:val="0045525B"/>
    <w:rsid w:val="0045707E"/>
    <w:rsid w:val="00457CF8"/>
    <w:rsid w:val="00462A06"/>
    <w:rsid w:val="00465838"/>
    <w:rsid w:val="004723BD"/>
    <w:rsid w:val="004766CB"/>
    <w:rsid w:val="00477550"/>
    <w:rsid w:val="00477ED6"/>
    <w:rsid w:val="004804F5"/>
    <w:rsid w:val="00480C8A"/>
    <w:rsid w:val="004844A8"/>
    <w:rsid w:val="00484A82"/>
    <w:rsid w:val="004873BA"/>
    <w:rsid w:val="0049577B"/>
    <w:rsid w:val="00496803"/>
    <w:rsid w:val="00497E7C"/>
    <w:rsid w:val="004A2733"/>
    <w:rsid w:val="004A62F0"/>
    <w:rsid w:val="004B52D7"/>
    <w:rsid w:val="004B6213"/>
    <w:rsid w:val="004B6688"/>
    <w:rsid w:val="004B7487"/>
    <w:rsid w:val="004C124E"/>
    <w:rsid w:val="004C1B3E"/>
    <w:rsid w:val="004C3787"/>
    <w:rsid w:val="004C480C"/>
    <w:rsid w:val="004D772A"/>
    <w:rsid w:val="004E45D8"/>
    <w:rsid w:val="004F0C12"/>
    <w:rsid w:val="004F497B"/>
    <w:rsid w:val="004F4DC9"/>
    <w:rsid w:val="004F5C50"/>
    <w:rsid w:val="00501265"/>
    <w:rsid w:val="0050686B"/>
    <w:rsid w:val="00506DF9"/>
    <w:rsid w:val="00506F27"/>
    <w:rsid w:val="00513083"/>
    <w:rsid w:val="00523AA8"/>
    <w:rsid w:val="00523B09"/>
    <w:rsid w:val="005244A4"/>
    <w:rsid w:val="00525435"/>
    <w:rsid w:val="00525BEB"/>
    <w:rsid w:val="00527783"/>
    <w:rsid w:val="005318C9"/>
    <w:rsid w:val="00533E8A"/>
    <w:rsid w:val="005454EC"/>
    <w:rsid w:val="00546A5B"/>
    <w:rsid w:val="00551CD4"/>
    <w:rsid w:val="0055637B"/>
    <w:rsid w:val="005636AE"/>
    <w:rsid w:val="00563C44"/>
    <w:rsid w:val="00564576"/>
    <w:rsid w:val="005667A1"/>
    <w:rsid w:val="00566BF9"/>
    <w:rsid w:val="00567644"/>
    <w:rsid w:val="00571F27"/>
    <w:rsid w:val="00572A77"/>
    <w:rsid w:val="00577E43"/>
    <w:rsid w:val="005814B5"/>
    <w:rsid w:val="00584E91"/>
    <w:rsid w:val="00594301"/>
    <w:rsid w:val="005A1BE8"/>
    <w:rsid w:val="005A2ACC"/>
    <w:rsid w:val="005A321D"/>
    <w:rsid w:val="005A5AE7"/>
    <w:rsid w:val="005B23A9"/>
    <w:rsid w:val="005B2D5D"/>
    <w:rsid w:val="005C2E4A"/>
    <w:rsid w:val="005D2BDB"/>
    <w:rsid w:val="005D377E"/>
    <w:rsid w:val="005D3E9D"/>
    <w:rsid w:val="005E01B1"/>
    <w:rsid w:val="005E120D"/>
    <w:rsid w:val="005E51E7"/>
    <w:rsid w:val="005E55B3"/>
    <w:rsid w:val="005F3339"/>
    <w:rsid w:val="005F5DD8"/>
    <w:rsid w:val="00603A19"/>
    <w:rsid w:val="00605039"/>
    <w:rsid w:val="00610467"/>
    <w:rsid w:val="00612CDC"/>
    <w:rsid w:val="0062381A"/>
    <w:rsid w:val="006256D3"/>
    <w:rsid w:val="00626FCC"/>
    <w:rsid w:val="00627BB7"/>
    <w:rsid w:val="0063493E"/>
    <w:rsid w:val="00640850"/>
    <w:rsid w:val="00645426"/>
    <w:rsid w:val="00647C77"/>
    <w:rsid w:val="0065136E"/>
    <w:rsid w:val="00652D62"/>
    <w:rsid w:val="0065485B"/>
    <w:rsid w:val="00656BD8"/>
    <w:rsid w:val="006616FE"/>
    <w:rsid w:val="00670D71"/>
    <w:rsid w:val="0067376E"/>
    <w:rsid w:val="006739A1"/>
    <w:rsid w:val="00674257"/>
    <w:rsid w:val="006805BB"/>
    <w:rsid w:val="00682248"/>
    <w:rsid w:val="00685A65"/>
    <w:rsid w:val="0069009E"/>
    <w:rsid w:val="0069128A"/>
    <w:rsid w:val="006929A6"/>
    <w:rsid w:val="006A35B5"/>
    <w:rsid w:val="006A3700"/>
    <w:rsid w:val="006A3FDB"/>
    <w:rsid w:val="006A76F8"/>
    <w:rsid w:val="006B5077"/>
    <w:rsid w:val="006B7A83"/>
    <w:rsid w:val="006C65C0"/>
    <w:rsid w:val="006D324D"/>
    <w:rsid w:val="006E0E0F"/>
    <w:rsid w:val="006E7028"/>
    <w:rsid w:val="006E7DCE"/>
    <w:rsid w:val="006E7E35"/>
    <w:rsid w:val="006F018A"/>
    <w:rsid w:val="006F0B0B"/>
    <w:rsid w:val="006F299F"/>
    <w:rsid w:val="006F54F5"/>
    <w:rsid w:val="00702256"/>
    <w:rsid w:val="00704A34"/>
    <w:rsid w:val="00704E5B"/>
    <w:rsid w:val="007050FF"/>
    <w:rsid w:val="00705210"/>
    <w:rsid w:val="00712E39"/>
    <w:rsid w:val="00715518"/>
    <w:rsid w:val="00731B27"/>
    <w:rsid w:val="00731C1A"/>
    <w:rsid w:val="007328C0"/>
    <w:rsid w:val="00733B55"/>
    <w:rsid w:val="00734C06"/>
    <w:rsid w:val="007377A5"/>
    <w:rsid w:val="00737D84"/>
    <w:rsid w:val="00743CE3"/>
    <w:rsid w:val="00752D17"/>
    <w:rsid w:val="00762FE1"/>
    <w:rsid w:val="0076458F"/>
    <w:rsid w:val="00764D2C"/>
    <w:rsid w:val="00766962"/>
    <w:rsid w:val="00770916"/>
    <w:rsid w:val="00775287"/>
    <w:rsid w:val="00777E05"/>
    <w:rsid w:val="00782F8D"/>
    <w:rsid w:val="00785F35"/>
    <w:rsid w:val="00790CC9"/>
    <w:rsid w:val="007A1AB7"/>
    <w:rsid w:val="007A3147"/>
    <w:rsid w:val="007B11A1"/>
    <w:rsid w:val="007B29A8"/>
    <w:rsid w:val="007B31D8"/>
    <w:rsid w:val="007B6513"/>
    <w:rsid w:val="007B6D1B"/>
    <w:rsid w:val="007B7637"/>
    <w:rsid w:val="007B7E70"/>
    <w:rsid w:val="007C782D"/>
    <w:rsid w:val="007D03DD"/>
    <w:rsid w:val="007D0F77"/>
    <w:rsid w:val="007D136A"/>
    <w:rsid w:val="007D22DD"/>
    <w:rsid w:val="007D33F4"/>
    <w:rsid w:val="007D439F"/>
    <w:rsid w:val="007D773F"/>
    <w:rsid w:val="007E06CB"/>
    <w:rsid w:val="007E5BF6"/>
    <w:rsid w:val="007E6FD9"/>
    <w:rsid w:val="007F1BE1"/>
    <w:rsid w:val="007F2437"/>
    <w:rsid w:val="007F28ED"/>
    <w:rsid w:val="007F3ABE"/>
    <w:rsid w:val="007F3C46"/>
    <w:rsid w:val="008162BD"/>
    <w:rsid w:val="0082248C"/>
    <w:rsid w:val="00822534"/>
    <w:rsid w:val="008264E8"/>
    <w:rsid w:val="008328E9"/>
    <w:rsid w:val="00833834"/>
    <w:rsid w:val="00833F00"/>
    <w:rsid w:val="00835BCB"/>
    <w:rsid w:val="00835CDC"/>
    <w:rsid w:val="00840181"/>
    <w:rsid w:val="00843099"/>
    <w:rsid w:val="00850B09"/>
    <w:rsid w:val="008556CD"/>
    <w:rsid w:val="00857B3C"/>
    <w:rsid w:val="00857C7D"/>
    <w:rsid w:val="0086200D"/>
    <w:rsid w:val="00863B9D"/>
    <w:rsid w:val="00863BE6"/>
    <w:rsid w:val="00872F5F"/>
    <w:rsid w:val="008751EB"/>
    <w:rsid w:val="008775BC"/>
    <w:rsid w:val="0087796E"/>
    <w:rsid w:val="00882F1B"/>
    <w:rsid w:val="00883E3D"/>
    <w:rsid w:val="008902A5"/>
    <w:rsid w:val="00891414"/>
    <w:rsid w:val="00895912"/>
    <w:rsid w:val="008A1B1A"/>
    <w:rsid w:val="008A70CE"/>
    <w:rsid w:val="008A7156"/>
    <w:rsid w:val="008B1FD6"/>
    <w:rsid w:val="008B34AB"/>
    <w:rsid w:val="008B3FED"/>
    <w:rsid w:val="008B6CD0"/>
    <w:rsid w:val="008C25E4"/>
    <w:rsid w:val="008C2DAE"/>
    <w:rsid w:val="008C2F21"/>
    <w:rsid w:val="008C603F"/>
    <w:rsid w:val="008C6BFA"/>
    <w:rsid w:val="008C72D2"/>
    <w:rsid w:val="008D002E"/>
    <w:rsid w:val="008D6247"/>
    <w:rsid w:val="008D75A2"/>
    <w:rsid w:val="008E4F48"/>
    <w:rsid w:val="008F1736"/>
    <w:rsid w:val="008F1E6B"/>
    <w:rsid w:val="008F2881"/>
    <w:rsid w:val="00902BFF"/>
    <w:rsid w:val="009059A9"/>
    <w:rsid w:val="00906806"/>
    <w:rsid w:val="00911F48"/>
    <w:rsid w:val="00915D50"/>
    <w:rsid w:val="00922B91"/>
    <w:rsid w:val="00923724"/>
    <w:rsid w:val="00924B40"/>
    <w:rsid w:val="0092515E"/>
    <w:rsid w:val="00935CC3"/>
    <w:rsid w:val="00941BE4"/>
    <w:rsid w:val="009461E9"/>
    <w:rsid w:val="00946329"/>
    <w:rsid w:val="0094770B"/>
    <w:rsid w:val="009503D2"/>
    <w:rsid w:val="0095183A"/>
    <w:rsid w:val="009524FD"/>
    <w:rsid w:val="00954869"/>
    <w:rsid w:val="0095787D"/>
    <w:rsid w:val="00966FED"/>
    <w:rsid w:val="0097565A"/>
    <w:rsid w:val="009919DF"/>
    <w:rsid w:val="009933EA"/>
    <w:rsid w:val="009A26BD"/>
    <w:rsid w:val="009A3BC9"/>
    <w:rsid w:val="009B18B3"/>
    <w:rsid w:val="009B2267"/>
    <w:rsid w:val="009B496E"/>
    <w:rsid w:val="009B51CC"/>
    <w:rsid w:val="009C4D14"/>
    <w:rsid w:val="009C5CBA"/>
    <w:rsid w:val="009D1C2C"/>
    <w:rsid w:val="009D2B05"/>
    <w:rsid w:val="009D2D44"/>
    <w:rsid w:val="009D57A1"/>
    <w:rsid w:val="009D7CE7"/>
    <w:rsid w:val="009E2092"/>
    <w:rsid w:val="009E4977"/>
    <w:rsid w:val="009E4F8A"/>
    <w:rsid w:val="009E5374"/>
    <w:rsid w:val="009F120C"/>
    <w:rsid w:val="009F345D"/>
    <w:rsid w:val="009F7842"/>
    <w:rsid w:val="00A02921"/>
    <w:rsid w:val="00A12117"/>
    <w:rsid w:val="00A13218"/>
    <w:rsid w:val="00A17B7B"/>
    <w:rsid w:val="00A227A3"/>
    <w:rsid w:val="00A240D8"/>
    <w:rsid w:val="00A24C18"/>
    <w:rsid w:val="00A26418"/>
    <w:rsid w:val="00A33C3B"/>
    <w:rsid w:val="00A41CA7"/>
    <w:rsid w:val="00A42C70"/>
    <w:rsid w:val="00A42D73"/>
    <w:rsid w:val="00A4576B"/>
    <w:rsid w:val="00A5199D"/>
    <w:rsid w:val="00A55C97"/>
    <w:rsid w:val="00A56183"/>
    <w:rsid w:val="00A60B73"/>
    <w:rsid w:val="00A61346"/>
    <w:rsid w:val="00A64469"/>
    <w:rsid w:val="00A660C9"/>
    <w:rsid w:val="00A71A2E"/>
    <w:rsid w:val="00A726B6"/>
    <w:rsid w:val="00A73BA4"/>
    <w:rsid w:val="00A80080"/>
    <w:rsid w:val="00A85181"/>
    <w:rsid w:val="00A85F4D"/>
    <w:rsid w:val="00A905FA"/>
    <w:rsid w:val="00A94E0B"/>
    <w:rsid w:val="00A95733"/>
    <w:rsid w:val="00AA3DB1"/>
    <w:rsid w:val="00AA3E55"/>
    <w:rsid w:val="00AB3D05"/>
    <w:rsid w:val="00AB3DAC"/>
    <w:rsid w:val="00AB4639"/>
    <w:rsid w:val="00AB4951"/>
    <w:rsid w:val="00AB4D8C"/>
    <w:rsid w:val="00AB5EA0"/>
    <w:rsid w:val="00AB6167"/>
    <w:rsid w:val="00AC233F"/>
    <w:rsid w:val="00AC42C1"/>
    <w:rsid w:val="00AC46B3"/>
    <w:rsid w:val="00AC4FAD"/>
    <w:rsid w:val="00AC54FF"/>
    <w:rsid w:val="00AD1F3C"/>
    <w:rsid w:val="00AD74F3"/>
    <w:rsid w:val="00AE0A27"/>
    <w:rsid w:val="00AE162E"/>
    <w:rsid w:val="00AE2367"/>
    <w:rsid w:val="00AE7A30"/>
    <w:rsid w:val="00AF2E67"/>
    <w:rsid w:val="00B02469"/>
    <w:rsid w:val="00B057FC"/>
    <w:rsid w:val="00B20D7F"/>
    <w:rsid w:val="00B315A0"/>
    <w:rsid w:val="00B34A18"/>
    <w:rsid w:val="00B40119"/>
    <w:rsid w:val="00B41637"/>
    <w:rsid w:val="00B468CE"/>
    <w:rsid w:val="00B4730A"/>
    <w:rsid w:val="00B50C5D"/>
    <w:rsid w:val="00B52EC9"/>
    <w:rsid w:val="00B53212"/>
    <w:rsid w:val="00B579CB"/>
    <w:rsid w:val="00B626CD"/>
    <w:rsid w:val="00B63903"/>
    <w:rsid w:val="00B63B99"/>
    <w:rsid w:val="00B64CD9"/>
    <w:rsid w:val="00B666C5"/>
    <w:rsid w:val="00B70083"/>
    <w:rsid w:val="00B70C9B"/>
    <w:rsid w:val="00B74936"/>
    <w:rsid w:val="00B75265"/>
    <w:rsid w:val="00B75BAE"/>
    <w:rsid w:val="00B76A92"/>
    <w:rsid w:val="00B924B2"/>
    <w:rsid w:val="00B943DB"/>
    <w:rsid w:val="00B94CD6"/>
    <w:rsid w:val="00BA0E0D"/>
    <w:rsid w:val="00BA13C6"/>
    <w:rsid w:val="00BA603F"/>
    <w:rsid w:val="00BB1268"/>
    <w:rsid w:val="00BB28F6"/>
    <w:rsid w:val="00BB47C9"/>
    <w:rsid w:val="00BB67CF"/>
    <w:rsid w:val="00BB6DD4"/>
    <w:rsid w:val="00BC1C3D"/>
    <w:rsid w:val="00BC2609"/>
    <w:rsid w:val="00BC3212"/>
    <w:rsid w:val="00BC4100"/>
    <w:rsid w:val="00BC449C"/>
    <w:rsid w:val="00BD5148"/>
    <w:rsid w:val="00BD72FE"/>
    <w:rsid w:val="00BE3888"/>
    <w:rsid w:val="00BF20AA"/>
    <w:rsid w:val="00BF2724"/>
    <w:rsid w:val="00BF4C07"/>
    <w:rsid w:val="00C04170"/>
    <w:rsid w:val="00C051BF"/>
    <w:rsid w:val="00C13145"/>
    <w:rsid w:val="00C239EE"/>
    <w:rsid w:val="00C24460"/>
    <w:rsid w:val="00C31DAC"/>
    <w:rsid w:val="00C32D70"/>
    <w:rsid w:val="00C35729"/>
    <w:rsid w:val="00C36D86"/>
    <w:rsid w:val="00C441EF"/>
    <w:rsid w:val="00C47071"/>
    <w:rsid w:val="00C51BF2"/>
    <w:rsid w:val="00C5452D"/>
    <w:rsid w:val="00C637BC"/>
    <w:rsid w:val="00C64192"/>
    <w:rsid w:val="00C659B9"/>
    <w:rsid w:val="00C70684"/>
    <w:rsid w:val="00C7440E"/>
    <w:rsid w:val="00C75D87"/>
    <w:rsid w:val="00C8140F"/>
    <w:rsid w:val="00C82AAA"/>
    <w:rsid w:val="00C837D0"/>
    <w:rsid w:val="00C91F2F"/>
    <w:rsid w:val="00C92BE3"/>
    <w:rsid w:val="00CA797B"/>
    <w:rsid w:val="00CB1B36"/>
    <w:rsid w:val="00CB65B7"/>
    <w:rsid w:val="00CC40B9"/>
    <w:rsid w:val="00CC5EE7"/>
    <w:rsid w:val="00CC5F9F"/>
    <w:rsid w:val="00CD191D"/>
    <w:rsid w:val="00CD24E3"/>
    <w:rsid w:val="00CE0962"/>
    <w:rsid w:val="00CE750F"/>
    <w:rsid w:val="00CF75A1"/>
    <w:rsid w:val="00D00C17"/>
    <w:rsid w:val="00D015D6"/>
    <w:rsid w:val="00D03F6B"/>
    <w:rsid w:val="00D0530C"/>
    <w:rsid w:val="00D10BFC"/>
    <w:rsid w:val="00D11142"/>
    <w:rsid w:val="00D12E4C"/>
    <w:rsid w:val="00D160CB"/>
    <w:rsid w:val="00D16861"/>
    <w:rsid w:val="00D23042"/>
    <w:rsid w:val="00D2305F"/>
    <w:rsid w:val="00D23A96"/>
    <w:rsid w:val="00D245A1"/>
    <w:rsid w:val="00D24687"/>
    <w:rsid w:val="00D25D5E"/>
    <w:rsid w:val="00D26134"/>
    <w:rsid w:val="00D30DA8"/>
    <w:rsid w:val="00D3216C"/>
    <w:rsid w:val="00D3601B"/>
    <w:rsid w:val="00D3621D"/>
    <w:rsid w:val="00D37914"/>
    <w:rsid w:val="00D407D6"/>
    <w:rsid w:val="00D415E2"/>
    <w:rsid w:val="00D42055"/>
    <w:rsid w:val="00D50F55"/>
    <w:rsid w:val="00D60E59"/>
    <w:rsid w:val="00D62782"/>
    <w:rsid w:val="00D62F9F"/>
    <w:rsid w:val="00D647C3"/>
    <w:rsid w:val="00D72E9F"/>
    <w:rsid w:val="00D7591F"/>
    <w:rsid w:val="00D82B62"/>
    <w:rsid w:val="00D84916"/>
    <w:rsid w:val="00D86F2D"/>
    <w:rsid w:val="00D87A1A"/>
    <w:rsid w:val="00D91ED0"/>
    <w:rsid w:val="00D940C5"/>
    <w:rsid w:val="00D94203"/>
    <w:rsid w:val="00D9633A"/>
    <w:rsid w:val="00DA057C"/>
    <w:rsid w:val="00DA2823"/>
    <w:rsid w:val="00DA3A73"/>
    <w:rsid w:val="00DA7DCE"/>
    <w:rsid w:val="00DB7611"/>
    <w:rsid w:val="00DC4D74"/>
    <w:rsid w:val="00DC6C7C"/>
    <w:rsid w:val="00DC71D9"/>
    <w:rsid w:val="00DD24D7"/>
    <w:rsid w:val="00DE13E7"/>
    <w:rsid w:val="00DE2B38"/>
    <w:rsid w:val="00DE45F1"/>
    <w:rsid w:val="00DF0959"/>
    <w:rsid w:val="00DF2386"/>
    <w:rsid w:val="00DF5339"/>
    <w:rsid w:val="00DF7FE7"/>
    <w:rsid w:val="00E02735"/>
    <w:rsid w:val="00E036AD"/>
    <w:rsid w:val="00E06077"/>
    <w:rsid w:val="00E222FB"/>
    <w:rsid w:val="00E2262A"/>
    <w:rsid w:val="00E24F5C"/>
    <w:rsid w:val="00E34BC5"/>
    <w:rsid w:val="00E36FA2"/>
    <w:rsid w:val="00E414F5"/>
    <w:rsid w:val="00E46367"/>
    <w:rsid w:val="00E519AF"/>
    <w:rsid w:val="00E529C2"/>
    <w:rsid w:val="00E62208"/>
    <w:rsid w:val="00E6226E"/>
    <w:rsid w:val="00E625E5"/>
    <w:rsid w:val="00E63F0B"/>
    <w:rsid w:val="00E6731F"/>
    <w:rsid w:val="00E70B45"/>
    <w:rsid w:val="00E74E78"/>
    <w:rsid w:val="00E752CF"/>
    <w:rsid w:val="00E77D97"/>
    <w:rsid w:val="00E77F3D"/>
    <w:rsid w:val="00E813A1"/>
    <w:rsid w:val="00E907F9"/>
    <w:rsid w:val="00E91B09"/>
    <w:rsid w:val="00E9307A"/>
    <w:rsid w:val="00E96041"/>
    <w:rsid w:val="00E964E0"/>
    <w:rsid w:val="00E96AA4"/>
    <w:rsid w:val="00E97393"/>
    <w:rsid w:val="00EA3A7F"/>
    <w:rsid w:val="00EA4AE6"/>
    <w:rsid w:val="00EA7DCC"/>
    <w:rsid w:val="00EB2D3E"/>
    <w:rsid w:val="00EB586B"/>
    <w:rsid w:val="00EC0E5E"/>
    <w:rsid w:val="00EC4BFB"/>
    <w:rsid w:val="00EC598F"/>
    <w:rsid w:val="00ED6C09"/>
    <w:rsid w:val="00ED780A"/>
    <w:rsid w:val="00EE21CB"/>
    <w:rsid w:val="00EE3F96"/>
    <w:rsid w:val="00EE448D"/>
    <w:rsid w:val="00EE6B09"/>
    <w:rsid w:val="00F01E40"/>
    <w:rsid w:val="00F0338C"/>
    <w:rsid w:val="00F0503F"/>
    <w:rsid w:val="00F07784"/>
    <w:rsid w:val="00F078F1"/>
    <w:rsid w:val="00F1350E"/>
    <w:rsid w:val="00F14677"/>
    <w:rsid w:val="00F15BDC"/>
    <w:rsid w:val="00F17B82"/>
    <w:rsid w:val="00F21B04"/>
    <w:rsid w:val="00F2412D"/>
    <w:rsid w:val="00F32B05"/>
    <w:rsid w:val="00F349FD"/>
    <w:rsid w:val="00F35921"/>
    <w:rsid w:val="00F40029"/>
    <w:rsid w:val="00F40746"/>
    <w:rsid w:val="00F41E45"/>
    <w:rsid w:val="00F564E7"/>
    <w:rsid w:val="00F61EC3"/>
    <w:rsid w:val="00F67298"/>
    <w:rsid w:val="00F6732B"/>
    <w:rsid w:val="00F73E71"/>
    <w:rsid w:val="00F7452E"/>
    <w:rsid w:val="00F77B35"/>
    <w:rsid w:val="00F77BBD"/>
    <w:rsid w:val="00F807D4"/>
    <w:rsid w:val="00F85F7A"/>
    <w:rsid w:val="00F86070"/>
    <w:rsid w:val="00F90892"/>
    <w:rsid w:val="00F9131F"/>
    <w:rsid w:val="00F942A0"/>
    <w:rsid w:val="00FA74E5"/>
    <w:rsid w:val="00FB66D7"/>
    <w:rsid w:val="00FB6F4B"/>
    <w:rsid w:val="00FC4755"/>
    <w:rsid w:val="00FC5E60"/>
    <w:rsid w:val="00FD1CFD"/>
    <w:rsid w:val="00FE2BEA"/>
    <w:rsid w:val="00FF144B"/>
    <w:rsid w:val="00FF5149"/>
    <w:rsid w:val="00FF6D8D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BA0DC7"/>
  <w15:docId w15:val="{BD9F7D1A-12AD-47EB-9433-2123DEE6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5BB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D780A"/>
    <w:pPr>
      <w:spacing w:after="0" w:line="240" w:lineRule="auto"/>
      <w:ind w:left="720" w:hanging="425"/>
      <w:contextualSpacing/>
    </w:pPr>
  </w:style>
  <w:style w:type="paragraph" w:styleId="NormalWeb">
    <w:name w:val="Normal (Web)"/>
    <w:basedOn w:val="Normal"/>
    <w:uiPriority w:val="99"/>
    <w:unhideWhenUsed/>
    <w:rsid w:val="003E1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msar.org/fr/document/sc592022-com2-rev1-rapport-du-sous-groupe-sur-les-finances-23-mai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3" ma:contentTypeDescription="Create a new document." ma:contentTypeScope="" ma:versionID="5013cc71c1859598a18b9ce7312ef195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4e80ea02e018efc09e8a65ba00d312e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E416-DA47-4C7D-8F6B-1561CB3064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4C6C1-8A4F-4A56-BE7C-E525FCD0132E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aedd258d-19a7-41ba-8260-b0918f25313d"/>
    <ds:schemaRef ds:uri="8c0b6b05-eb82-4bda-97e8-cd82d0d6b45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3E6F72-62E3-4A2E-9CEB-FBACA96B3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E4FE1C-BF4A-4595-BBA2-CD1AA9A4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951</Words>
  <Characters>5422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Convention Secretariat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barzdo@ramsar.org</dc:creator>
  <cp:lastModifiedBy>Ed Jennings</cp:lastModifiedBy>
  <cp:revision>2</cp:revision>
  <cp:lastPrinted>2022-10-12T13:50:00Z</cp:lastPrinted>
  <dcterms:created xsi:type="dcterms:W3CDTF">2022-10-22T23:37:00Z</dcterms:created>
  <dcterms:modified xsi:type="dcterms:W3CDTF">2022-10-22T23:37:00Z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0x01010020C2866174F1EB4584C940634C144C32</vt:lpwstr>
  </property>
</Properties>
</file>