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002A7E6" w:rsidR="00B6668B" w:rsidRPr="008A767D" w:rsidRDefault="00397978" w:rsidP="00C643B8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0" w:line="240" w:lineRule="auto"/>
        <w:ind w:right="2790"/>
        <w:jc w:val="both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THE</w:t>
      </w:r>
      <w:r w:rsidR="006F26A6" w:rsidRPr="008A767D">
        <w:rPr>
          <w:rFonts w:asciiTheme="minorHAnsi" w:hAnsiTheme="minorHAnsi" w:cstheme="minorHAnsi"/>
          <w:lang w:val="en-GB"/>
        </w:rPr>
        <w:t xml:space="preserve"> CONVENTION ON WETLANDS</w:t>
      </w:r>
    </w:p>
    <w:p w14:paraId="00000002" w14:textId="77777777" w:rsidR="00B6668B" w:rsidRPr="008A767D" w:rsidRDefault="006F26A6" w:rsidP="00C643B8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0" w:line="240" w:lineRule="auto"/>
        <w:ind w:right="2790"/>
        <w:jc w:val="both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60th Meeting of the Standing Committee</w:t>
      </w:r>
    </w:p>
    <w:p w14:paraId="00000003" w14:textId="6E8F6A41" w:rsidR="00B6668B" w:rsidRPr="008A767D" w:rsidRDefault="006F26A6" w:rsidP="00C643B8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0" w:line="240" w:lineRule="auto"/>
        <w:ind w:right="2790"/>
        <w:jc w:val="both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Geneva,</w:t>
      </w:r>
      <w:r w:rsidR="00397978" w:rsidRPr="008A767D">
        <w:rPr>
          <w:rFonts w:asciiTheme="minorHAnsi" w:hAnsiTheme="minorHAnsi" w:cstheme="minorHAnsi"/>
          <w:lang w:val="en-GB"/>
        </w:rPr>
        <w:t xml:space="preserve"> </w:t>
      </w:r>
      <w:r w:rsidRPr="008A767D">
        <w:rPr>
          <w:rFonts w:asciiTheme="minorHAnsi" w:hAnsiTheme="minorHAnsi" w:cstheme="minorHAnsi"/>
          <w:lang w:val="en-GB"/>
        </w:rPr>
        <w:t>Switzerland, 5 November 2022</w:t>
      </w:r>
    </w:p>
    <w:p w14:paraId="00000004" w14:textId="77777777" w:rsidR="00B6668B" w:rsidRPr="008A767D" w:rsidRDefault="00B6668B" w:rsidP="00C643B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05" w14:textId="77777777" w:rsidR="00B6668B" w:rsidRPr="00F55596" w:rsidRDefault="00B6668B" w:rsidP="00C643B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06" w14:textId="6333F0FA" w:rsidR="00B6668B" w:rsidRPr="008A767D" w:rsidRDefault="003039F7" w:rsidP="00C643B8">
      <w:pPr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D</w:t>
      </w:r>
      <w:r w:rsidR="006F26A6" w:rsidRPr="008A767D">
        <w:rPr>
          <w:rFonts w:asciiTheme="minorHAnsi" w:hAnsiTheme="minorHAnsi" w:cstheme="minorHAnsi"/>
          <w:b/>
          <w:sz w:val="28"/>
          <w:szCs w:val="28"/>
          <w:lang w:val="en-GB"/>
        </w:rPr>
        <w:t>ecisions of the 60th meeting of the Standing Committee</w:t>
      </w:r>
    </w:p>
    <w:p w14:paraId="00000007" w14:textId="77777777" w:rsidR="00B6668B" w:rsidRPr="008A767D" w:rsidRDefault="00B6668B" w:rsidP="00C643B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12" w14:textId="77777777" w:rsidR="00B6668B" w:rsidRPr="008A767D" w:rsidRDefault="00B6668B" w:rsidP="00C643B8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13" w14:textId="77777777" w:rsidR="00B6668B" w:rsidRPr="008A767D" w:rsidRDefault="006F26A6" w:rsidP="00C643B8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2: Adoption of the provisional agenda</w:t>
      </w:r>
    </w:p>
    <w:p w14:paraId="00000017" w14:textId="77777777" w:rsidR="00B6668B" w:rsidRPr="008A767D" w:rsidRDefault="00B6668B" w:rsidP="00C643B8">
      <w:pPr>
        <w:tabs>
          <w:tab w:val="left" w:pos="975"/>
        </w:tabs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18" w14:textId="77777777" w:rsidR="00B6668B" w:rsidRPr="008A767D" w:rsidRDefault="006F26A6" w:rsidP="00C643B8">
      <w:pPr>
        <w:tabs>
          <w:tab w:val="left" w:pos="720"/>
          <w:tab w:val="center" w:pos="4680"/>
        </w:tabs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>Decision SC60-01: The Standing Committee adopted the provisional agenda.</w:t>
      </w:r>
    </w:p>
    <w:p w14:paraId="00000019" w14:textId="77777777" w:rsidR="00B6668B" w:rsidRPr="008A767D" w:rsidRDefault="00B6668B" w:rsidP="00C643B8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1A" w14:textId="0A78D185" w:rsidR="00B6668B" w:rsidRPr="008A767D" w:rsidRDefault="006F26A6" w:rsidP="00C643B8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 xml:space="preserve">Agenda item 3: Admission of </w:t>
      </w:r>
      <w:r w:rsidR="005B30BC">
        <w:rPr>
          <w:rFonts w:asciiTheme="minorHAnsi" w:hAnsiTheme="minorHAnsi" w:cstheme="minorHAnsi"/>
          <w:lang w:val="en-GB"/>
        </w:rPr>
        <w:t>o</w:t>
      </w:r>
      <w:r w:rsidR="005B30BC" w:rsidRPr="008A767D">
        <w:rPr>
          <w:rFonts w:asciiTheme="minorHAnsi" w:hAnsiTheme="minorHAnsi" w:cstheme="minorHAnsi"/>
          <w:lang w:val="en-GB"/>
        </w:rPr>
        <w:t>bservers</w:t>
      </w:r>
    </w:p>
    <w:p w14:paraId="0000001D" w14:textId="77777777" w:rsidR="00B6668B" w:rsidRPr="008A767D" w:rsidRDefault="00B6668B">
      <w:pPr>
        <w:tabs>
          <w:tab w:val="left" w:pos="720"/>
          <w:tab w:val="center" w:pos="4680"/>
        </w:tabs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1E" w14:textId="2B1A3ADE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 xml:space="preserve">Decision SC60-02: The Standing Committee </w:t>
      </w:r>
      <w:r w:rsidR="00DD6B5C">
        <w:rPr>
          <w:rFonts w:asciiTheme="minorHAnsi" w:hAnsiTheme="minorHAnsi" w:cstheme="minorHAnsi"/>
          <w:b/>
          <w:lang w:val="en-GB"/>
        </w:rPr>
        <w:t xml:space="preserve">admitted as observers the </w:t>
      </w:r>
      <w:r w:rsidRPr="008A767D">
        <w:rPr>
          <w:rFonts w:asciiTheme="minorHAnsi" w:hAnsiTheme="minorHAnsi" w:cstheme="minorHAnsi"/>
          <w:b/>
          <w:lang w:val="en-GB"/>
        </w:rPr>
        <w:t>bodies and agencies listed in paragraph 7 of document COP14 Doc.7.</w:t>
      </w:r>
    </w:p>
    <w:p w14:paraId="0000001F" w14:textId="77777777" w:rsidR="00B6668B" w:rsidRPr="008A767D" w:rsidRDefault="00B6668B">
      <w:pPr>
        <w:tabs>
          <w:tab w:val="left" w:pos="720"/>
          <w:tab w:val="center" w:pos="4680"/>
        </w:tabs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20" w14:textId="75FC1F18" w:rsidR="00B6668B" w:rsidRPr="008A767D" w:rsidRDefault="006F26A6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 xml:space="preserve">Agenda item 4.1: Arrangements for COP14 </w:t>
      </w:r>
      <w:r w:rsidR="00F55596">
        <w:rPr>
          <w:rFonts w:asciiTheme="minorHAnsi" w:hAnsiTheme="minorHAnsi" w:cstheme="minorHAnsi"/>
          <w:lang w:val="en-GB"/>
        </w:rPr>
        <w:t>–</w:t>
      </w:r>
      <w:r w:rsidRPr="008A767D">
        <w:rPr>
          <w:rFonts w:asciiTheme="minorHAnsi" w:hAnsiTheme="minorHAnsi" w:cstheme="minorHAnsi"/>
          <w:lang w:val="en-GB"/>
        </w:rPr>
        <w:t xml:space="preserve"> Review of the provisional agenda and working programme</w:t>
      </w:r>
    </w:p>
    <w:p w14:paraId="00000025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26" w14:textId="2C249317" w:rsidR="00B6668B" w:rsidRPr="008A767D" w:rsidRDefault="006F26A6" w:rsidP="00134A4B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 xml:space="preserve">Decision SC60-03: The Standing Committee </w:t>
      </w:r>
      <w:r w:rsidR="00DD6B5C">
        <w:rPr>
          <w:rFonts w:asciiTheme="minorHAnsi" w:hAnsiTheme="minorHAnsi" w:cstheme="minorHAnsi"/>
          <w:b/>
          <w:lang w:val="en-GB"/>
        </w:rPr>
        <w:t>agreed that the provisional agenda and working programmes for COP14 in</w:t>
      </w:r>
      <w:r w:rsidRPr="008A767D">
        <w:rPr>
          <w:rFonts w:asciiTheme="minorHAnsi" w:hAnsiTheme="minorHAnsi" w:cstheme="minorHAnsi"/>
          <w:b/>
          <w:lang w:val="en-GB"/>
        </w:rPr>
        <w:t xml:space="preserve"> documents COP14 Doc.3.1, COP14 Doc.3.2.1 and COP14 Doc.3.2.2 be forwarded to </w:t>
      </w:r>
      <w:r w:rsidR="00C643B8" w:rsidRPr="008A767D">
        <w:rPr>
          <w:rFonts w:asciiTheme="minorHAnsi" w:hAnsiTheme="minorHAnsi" w:cstheme="minorHAnsi"/>
          <w:b/>
          <w:lang w:val="en-GB"/>
        </w:rPr>
        <w:t>COP1</w:t>
      </w:r>
      <w:r w:rsidR="00C643B8">
        <w:rPr>
          <w:rFonts w:asciiTheme="minorHAnsi" w:hAnsiTheme="minorHAnsi" w:cstheme="minorHAnsi"/>
          <w:b/>
          <w:lang w:val="en-GB"/>
        </w:rPr>
        <w:t>4</w:t>
      </w:r>
      <w:r w:rsidRPr="008A767D">
        <w:rPr>
          <w:rFonts w:asciiTheme="minorHAnsi" w:hAnsiTheme="minorHAnsi" w:cstheme="minorHAnsi"/>
          <w:b/>
          <w:lang w:val="en-GB"/>
        </w:rPr>
        <w:t>, subject to any proposals that might arise.</w:t>
      </w:r>
    </w:p>
    <w:p w14:paraId="00000027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28" w14:textId="77777777" w:rsidR="00B6668B" w:rsidRPr="008A767D" w:rsidRDefault="006F26A6">
      <w:pPr>
        <w:keepNext/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4.2: Arrangements for COP14 – Running order and process for reviewing draft resolutions</w:t>
      </w:r>
    </w:p>
    <w:p w14:paraId="00000042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highlight w:val="yellow"/>
          <w:lang w:val="en-GB"/>
        </w:rPr>
      </w:pPr>
    </w:p>
    <w:p w14:paraId="00000043" w14:textId="10C40C6B" w:rsidR="00B6668B" w:rsidRPr="008A767D" w:rsidRDefault="006F26A6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 xml:space="preserve">Decision SC60-04: The Standing Committee </w:t>
      </w:r>
      <w:r w:rsidR="00DD6B5C" w:rsidRPr="00DD6B5C">
        <w:rPr>
          <w:rFonts w:asciiTheme="minorHAnsi" w:hAnsiTheme="minorHAnsi" w:cstheme="minorHAnsi"/>
          <w:b/>
          <w:lang w:val="en-GB"/>
        </w:rPr>
        <w:t xml:space="preserve">approved the process proposed by the Secretariat in document SC60 Doc.4.2 for the consideration </w:t>
      </w:r>
      <w:r w:rsidRPr="008A767D">
        <w:rPr>
          <w:rFonts w:asciiTheme="minorHAnsi" w:hAnsiTheme="minorHAnsi" w:cstheme="minorHAnsi"/>
          <w:b/>
          <w:lang w:val="en-GB"/>
        </w:rPr>
        <w:t>of draft resolutions by Parties at COP14, taking into account the comments made.</w:t>
      </w:r>
    </w:p>
    <w:p w14:paraId="00000044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45" w14:textId="77777777" w:rsidR="00B6668B" w:rsidRPr="008A767D" w:rsidRDefault="006F26A6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5: Nomination of COP14 President and Vice-Presidents</w:t>
      </w:r>
    </w:p>
    <w:p w14:paraId="1D2224CB" w14:textId="77777777" w:rsidR="008A767D" w:rsidRPr="008A767D" w:rsidRDefault="008A767D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4D" w14:textId="5D518E04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 xml:space="preserve">Decision SC60-05: The Standing Committee agreed to forward to the Conference Bureau the two nominations received, </w:t>
      </w:r>
      <w:r w:rsidR="00584CB0">
        <w:rPr>
          <w:rFonts w:asciiTheme="minorHAnsi" w:hAnsiTheme="minorHAnsi" w:cstheme="minorHAnsi"/>
          <w:b/>
          <w:lang w:val="en-GB"/>
        </w:rPr>
        <w:t>so that it could</w:t>
      </w:r>
      <w:r w:rsidRPr="008A767D">
        <w:rPr>
          <w:rFonts w:asciiTheme="minorHAnsi" w:hAnsiTheme="minorHAnsi" w:cstheme="minorHAnsi"/>
          <w:b/>
          <w:lang w:val="en-GB"/>
        </w:rPr>
        <w:t xml:space="preserve"> complete discussions when it convenes on 7 November to receive nominations for the</w:t>
      </w:r>
      <w:r w:rsidR="0045019E">
        <w:rPr>
          <w:rFonts w:asciiTheme="minorHAnsi" w:hAnsiTheme="minorHAnsi" w:cstheme="minorHAnsi"/>
          <w:b/>
          <w:lang w:val="en-GB"/>
        </w:rPr>
        <w:t xml:space="preserve"> two position</w:t>
      </w:r>
      <w:r w:rsidR="00BA431A">
        <w:rPr>
          <w:rFonts w:asciiTheme="minorHAnsi" w:hAnsiTheme="minorHAnsi" w:cstheme="minorHAnsi"/>
          <w:b/>
          <w:lang w:val="en-GB"/>
        </w:rPr>
        <w:t>s</w:t>
      </w:r>
      <w:r w:rsidR="0045019E">
        <w:rPr>
          <w:rFonts w:asciiTheme="minorHAnsi" w:hAnsiTheme="minorHAnsi" w:cstheme="minorHAnsi"/>
          <w:b/>
          <w:lang w:val="en-GB"/>
        </w:rPr>
        <w:t xml:space="preserve"> of</w:t>
      </w:r>
      <w:r w:rsidRPr="008A767D">
        <w:rPr>
          <w:rFonts w:asciiTheme="minorHAnsi" w:hAnsiTheme="minorHAnsi" w:cstheme="minorHAnsi"/>
          <w:b/>
          <w:lang w:val="en-GB"/>
        </w:rPr>
        <w:t xml:space="preserve"> Vice-President.</w:t>
      </w:r>
    </w:p>
    <w:p w14:paraId="0000004E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4F" w14:textId="3FCCE0DF" w:rsidR="00B6668B" w:rsidRPr="008A767D" w:rsidRDefault="006F26A6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 xml:space="preserve">Agenda item 6.1: Establishment of COP14 committees </w:t>
      </w:r>
      <w:r w:rsidR="00A00D0A">
        <w:rPr>
          <w:rFonts w:asciiTheme="minorHAnsi" w:hAnsiTheme="minorHAnsi" w:cstheme="minorHAnsi"/>
          <w:lang w:val="en-GB"/>
        </w:rPr>
        <w:t>–</w:t>
      </w:r>
      <w:r w:rsidRPr="008A767D">
        <w:rPr>
          <w:rFonts w:asciiTheme="minorHAnsi" w:hAnsiTheme="minorHAnsi" w:cstheme="minorHAnsi"/>
          <w:lang w:val="en-GB"/>
        </w:rPr>
        <w:t xml:space="preserve"> Committee on Finance and Budget</w:t>
      </w:r>
    </w:p>
    <w:p w14:paraId="2A592361" w14:textId="77777777" w:rsidR="00A37C40" w:rsidRPr="008A767D" w:rsidRDefault="00A37C40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54" w14:textId="06F09402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 xml:space="preserve">Decision SC60-06: The Standing Committee agreed to propose to the Conference Bureau that membership of the Committee on Finance </w:t>
      </w:r>
      <w:r w:rsidR="008C2698">
        <w:rPr>
          <w:rFonts w:asciiTheme="minorHAnsi" w:hAnsiTheme="minorHAnsi" w:cstheme="minorHAnsi"/>
          <w:b/>
          <w:lang w:val="en-GB"/>
        </w:rPr>
        <w:t xml:space="preserve">be the same as the Subgroup on Finance and </w:t>
      </w:r>
      <w:r w:rsidRPr="008A767D">
        <w:rPr>
          <w:rFonts w:asciiTheme="minorHAnsi" w:hAnsiTheme="minorHAnsi" w:cstheme="minorHAnsi"/>
          <w:b/>
          <w:lang w:val="en-GB"/>
        </w:rPr>
        <w:t>be open to all Parties, and encouraged all regions to ensure appropriate representation.</w:t>
      </w:r>
    </w:p>
    <w:p w14:paraId="00000055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56" w14:textId="77777777" w:rsidR="00B6668B" w:rsidRPr="008A767D" w:rsidRDefault="006F26A6" w:rsidP="003039F7">
      <w:pPr>
        <w:keepNext/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 xml:space="preserve">Agenda item 6.2: Establishment of COP14 committees – Credentials Committee </w:t>
      </w:r>
    </w:p>
    <w:p w14:paraId="0000005B" w14:textId="77777777" w:rsidR="00B6668B" w:rsidRPr="008A767D" w:rsidRDefault="00B6668B" w:rsidP="003039F7">
      <w:pPr>
        <w:keepNext/>
        <w:spacing w:after="0" w:line="240" w:lineRule="auto"/>
        <w:ind w:hanging="567"/>
        <w:rPr>
          <w:rFonts w:asciiTheme="minorHAnsi" w:hAnsiTheme="minorHAnsi" w:cstheme="minorHAnsi"/>
          <w:highlight w:val="yellow"/>
          <w:lang w:val="en-GB"/>
        </w:rPr>
      </w:pPr>
    </w:p>
    <w:p w14:paraId="0000005C" w14:textId="77777777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>Decision SC60-07: The Standing Committee agreed that the received nominations for the Credentials Committee would be brought forward to the Conference Bureau.</w:t>
      </w:r>
    </w:p>
    <w:p w14:paraId="0000005D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5E" w14:textId="77777777" w:rsidR="00B6668B" w:rsidRPr="008A767D" w:rsidRDefault="006F26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7: Secretariat’s report on administrative and financial implications of draft resolutions</w:t>
      </w:r>
    </w:p>
    <w:p w14:paraId="6ABB0C38" w14:textId="77777777" w:rsidR="008A767D" w:rsidRPr="008A767D" w:rsidRDefault="008A767D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63" w14:textId="5C4C1D74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>Decision SC60-08: The Standing Committee took note of document COP1</w:t>
      </w:r>
      <w:r w:rsidR="001B3461" w:rsidRPr="008A767D">
        <w:rPr>
          <w:rFonts w:asciiTheme="minorHAnsi" w:hAnsiTheme="minorHAnsi" w:cstheme="minorHAnsi"/>
          <w:b/>
          <w:lang w:val="en-GB"/>
        </w:rPr>
        <w:t>4</w:t>
      </w:r>
      <w:r w:rsidRPr="008A767D">
        <w:rPr>
          <w:rFonts w:asciiTheme="minorHAnsi" w:hAnsiTheme="minorHAnsi" w:cstheme="minorHAnsi"/>
          <w:b/>
          <w:lang w:val="en-GB"/>
        </w:rPr>
        <w:t xml:space="preserve"> Doc.14</w:t>
      </w:r>
      <w:r w:rsidR="00E6568D">
        <w:rPr>
          <w:rFonts w:asciiTheme="minorHAnsi" w:hAnsiTheme="minorHAnsi" w:cstheme="minorHAnsi"/>
          <w:b/>
          <w:lang w:val="en-GB"/>
        </w:rPr>
        <w:t xml:space="preserve"> </w:t>
      </w:r>
      <w:r w:rsidR="00E6568D" w:rsidRPr="00DD6B5C">
        <w:rPr>
          <w:b/>
          <w:i/>
        </w:rPr>
        <w:t>Secretariat report on administrative and financial implications of draft resolutions</w:t>
      </w:r>
      <w:r w:rsidRPr="008A767D">
        <w:rPr>
          <w:rFonts w:asciiTheme="minorHAnsi" w:hAnsiTheme="minorHAnsi" w:cstheme="minorHAnsi"/>
          <w:b/>
          <w:lang w:val="en-GB"/>
        </w:rPr>
        <w:t>.</w:t>
      </w:r>
    </w:p>
    <w:p w14:paraId="00000064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65" w14:textId="77777777" w:rsidR="00B6668B" w:rsidRPr="008A767D" w:rsidRDefault="006F26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8.1: Financial and budgetary matters – 2022 core budget update</w:t>
      </w:r>
    </w:p>
    <w:p w14:paraId="0000006A" w14:textId="77777777" w:rsidR="00B6668B" w:rsidRPr="008A767D" w:rsidRDefault="00B6668B">
      <w:pPr>
        <w:spacing w:after="0" w:line="240" w:lineRule="auto"/>
        <w:ind w:left="425"/>
        <w:rPr>
          <w:rFonts w:asciiTheme="minorHAnsi" w:hAnsiTheme="minorHAnsi" w:cstheme="minorHAnsi"/>
          <w:highlight w:val="yellow"/>
          <w:lang w:val="en-GB"/>
        </w:rPr>
      </w:pPr>
    </w:p>
    <w:p w14:paraId="0000006B" w14:textId="4DBB5EEE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>Decision SC60-09: The Standing Committee approved the re</w:t>
      </w:r>
      <w:r w:rsidR="0045019E">
        <w:rPr>
          <w:rFonts w:asciiTheme="minorHAnsi" w:hAnsiTheme="minorHAnsi" w:cstheme="minorHAnsi"/>
          <w:b/>
          <w:lang w:val="en-GB"/>
        </w:rPr>
        <w:t>-</w:t>
      </w:r>
      <w:r w:rsidRPr="008A767D">
        <w:rPr>
          <w:rFonts w:asciiTheme="minorHAnsi" w:hAnsiTheme="minorHAnsi" w:cstheme="minorHAnsi"/>
          <w:b/>
          <w:lang w:val="en-GB"/>
        </w:rPr>
        <w:t>allocation of the 2022 core budget update as proposed in document SC60 Doc 8.1</w:t>
      </w:r>
      <w:r w:rsidR="004E5B03">
        <w:rPr>
          <w:rFonts w:asciiTheme="minorHAnsi" w:hAnsiTheme="minorHAnsi" w:cstheme="minorHAnsi"/>
          <w:b/>
          <w:lang w:val="en-GB"/>
        </w:rPr>
        <w:t xml:space="preserve"> </w:t>
      </w:r>
      <w:r w:rsidR="004E5B03" w:rsidRPr="00134A4B">
        <w:rPr>
          <w:rFonts w:asciiTheme="minorHAnsi" w:hAnsiTheme="minorHAnsi" w:cstheme="minorHAnsi"/>
          <w:b/>
          <w:i/>
          <w:lang w:val="en-GB"/>
        </w:rPr>
        <w:t>Financial and budgetary matters: 2022 core budget update</w:t>
      </w:r>
      <w:r w:rsidRPr="008A767D">
        <w:rPr>
          <w:rFonts w:asciiTheme="minorHAnsi" w:hAnsiTheme="minorHAnsi" w:cstheme="minorHAnsi"/>
          <w:b/>
          <w:lang w:val="en-GB"/>
        </w:rPr>
        <w:t>.</w:t>
      </w:r>
    </w:p>
    <w:p w14:paraId="0000006C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6D" w14:textId="77777777" w:rsidR="00B6668B" w:rsidRPr="008A767D" w:rsidRDefault="006F26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8.2: Financial and budgetary matters – Update on Decision SC59/2022-42</w:t>
      </w:r>
    </w:p>
    <w:p w14:paraId="3985E17A" w14:textId="77777777" w:rsidR="00875C6C" w:rsidRPr="008A767D" w:rsidRDefault="00875C6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fr-FR"/>
        </w:rPr>
      </w:pPr>
    </w:p>
    <w:p w14:paraId="00000071" w14:textId="081CF9F8" w:rsidR="00B6668B" w:rsidRPr="008A767D" w:rsidRDefault="00D1516E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 xml:space="preserve">Decision SC60-10: The Standing Committee took note of </w:t>
      </w:r>
      <w:r w:rsidR="00D22F51">
        <w:rPr>
          <w:rFonts w:asciiTheme="minorHAnsi" w:hAnsiTheme="minorHAnsi" w:cstheme="minorHAnsi"/>
          <w:b/>
          <w:lang w:val="en-GB"/>
        </w:rPr>
        <w:t xml:space="preserve">the update by the Secretariat regarding </w:t>
      </w:r>
      <w:r w:rsidR="00D22F51" w:rsidRPr="00D22F51">
        <w:rPr>
          <w:rFonts w:asciiTheme="minorHAnsi" w:hAnsiTheme="minorHAnsi" w:cstheme="minorHAnsi"/>
          <w:b/>
          <w:lang w:val="en-GB"/>
        </w:rPr>
        <w:t>Decision SC59/2022-42</w:t>
      </w:r>
      <w:r w:rsidR="00875494">
        <w:rPr>
          <w:rFonts w:asciiTheme="minorHAnsi" w:hAnsiTheme="minorHAnsi" w:cstheme="minorHAnsi"/>
          <w:b/>
          <w:lang w:val="en-GB"/>
        </w:rPr>
        <w:t xml:space="preserve"> and Decision Post-SC59/2022 Intersessional Decision 1</w:t>
      </w:r>
      <w:r w:rsidRPr="008A767D">
        <w:rPr>
          <w:rFonts w:asciiTheme="minorHAnsi" w:hAnsiTheme="minorHAnsi" w:cstheme="minorHAnsi"/>
          <w:b/>
          <w:lang w:val="en-GB"/>
        </w:rPr>
        <w:t>.</w:t>
      </w:r>
    </w:p>
    <w:p w14:paraId="00000072" w14:textId="77777777" w:rsidR="00B6668B" w:rsidRPr="008A767D" w:rsidRDefault="00B6668B">
      <w:pPr>
        <w:spacing w:after="0" w:line="240" w:lineRule="auto"/>
        <w:ind w:left="567"/>
        <w:rPr>
          <w:rFonts w:asciiTheme="minorHAnsi" w:hAnsiTheme="minorHAnsi" w:cstheme="minorHAnsi"/>
          <w:lang w:val="en-GB"/>
        </w:rPr>
      </w:pPr>
    </w:p>
    <w:p w14:paraId="00000074" w14:textId="7EB972DF" w:rsidR="00B6668B" w:rsidRPr="008A767D" w:rsidRDefault="006F26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9: Agenda for the 61st meeting of the Standing Committee</w:t>
      </w:r>
    </w:p>
    <w:p w14:paraId="00000078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79" w14:textId="20F019C4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 xml:space="preserve">Decision SC60-11: The Standing Committee </w:t>
      </w:r>
      <w:r w:rsidR="00D22F51">
        <w:rPr>
          <w:rFonts w:asciiTheme="minorHAnsi" w:hAnsiTheme="minorHAnsi" w:cstheme="minorHAnsi"/>
          <w:b/>
          <w:lang w:val="en-GB"/>
        </w:rPr>
        <w:t xml:space="preserve">approved the provisional agenda for </w:t>
      </w:r>
      <w:r w:rsidR="00324341" w:rsidRPr="00324341">
        <w:rPr>
          <w:rFonts w:asciiTheme="minorHAnsi" w:hAnsiTheme="minorHAnsi" w:cstheme="minorHAnsi"/>
          <w:b/>
          <w:lang w:val="en-GB"/>
        </w:rPr>
        <w:t xml:space="preserve">the 61st meeting of the Standing Committee </w:t>
      </w:r>
      <w:r w:rsidR="00D22F51">
        <w:rPr>
          <w:rFonts w:asciiTheme="minorHAnsi" w:hAnsiTheme="minorHAnsi" w:cstheme="minorHAnsi"/>
          <w:b/>
          <w:lang w:val="en-GB"/>
        </w:rPr>
        <w:t>published as</w:t>
      </w:r>
      <w:r w:rsidR="00D22F51" w:rsidRPr="008A767D">
        <w:rPr>
          <w:rFonts w:asciiTheme="minorHAnsi" w:hAnsiTheme="minorHAnsi" w:cstheme="minorHAnsi"/>
          <w:b/>
          <w:lang w:val="en-GB"/>
        </w:rPr>
        <w:t xml:space="preserve"> </w:t>
      </w:r>
      <w:r w:rsidRPr="008A767D">
        <w:rPr>
          <w:rFonts w:asciiTheme="minorHAnsi" w:hAnsiTheme="minorHAnsi" w:cstheme="minorHAnsi"/>
          <w:b/>
          <w:lang w:val="en-GB"/>
        </w:rPr>
        <w:t>document SC61 Doc.2.</w:t>
      </w:r>
    </w:p>
    <w:p w14:paraId="0000007D" w14:textId="2601CBB3" w:rsidR="00B6668B" w:rsidRPr="008A767D" w:rsidRDefault="00D1516E" w:rsidP="00134A4B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 xml:space="preserve"> </w:t>
      </w:r>
    </w:p>
    <w:sectPr w:rsidR="00B6668B" w:rsidRPr="008A767D" w:rsidSect="005E05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28281" w16cex:dateUtc="2022-11-06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95C77A" w16cid:durableId="271282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9EFE" w14:textId="77777777" w:rsidR="004E3B8D" w:rsidRDefault="004E3B8D" w:rsidP="005E05E4">
      <w:pPr>
        <w:spacing w:after="0" w:line="240" w:lineRule="auto"/>
      </w:pPr>
      <w:r>
        <w:separator/>
      </w:r>
    </w:p>
  </w:endnote>
  <w:endnote w:type="continuationSeparator" w:id="0">
    <w:p w14:paraId="060C2F09" w14:textId="77777777" w:rsidR="004E3B8D" w:rsidRDefault="004E3B8D" w:rsidP="005E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9258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57D79D" w14:textId="37C26D43" w:rsidR="005E05E4" w:rsidRDefault="005E05E4" w:rsidP="00BD55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14BCAA" w14:textId="77777777" w:rsidR="005E05E4" w:rsidRDefault="005E05E4" w:rsidP="005E05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19B9" w14:textId="4A5CCB6B" w:rsidR="005E05E4" w:rsidRPr="00F55596" w:rsidRDefault="005E05E4" w:rsidP="005E05E4">
    <w:pPr>
      <w:pStyle w:val="Footer"/>
      <w:ind w:right="360"/>
      <w:rPr>
        <w:sz w:val="20"/>
        <w:szCs w:val="20"/>
      </w:rPr>
    </w:pPr>
    <w:r w:rsidRPr="00F55596">
      <w:rPr>
        <w:sz w:val="20"/>
        <w:szCs w:val="20"/>
      </w:rPr>
      <w:t xml:space="preserve">SC60 </w:t>
    </w:r>
    <w:r w:rsidR="003039F7">
      <w:rPr>
        <w:sz w:val="20"/>
        <w:szCs w:val="20"/>
      </w:rPr>
      <w:t>d</w:t>
    </w:r>
    <w:r w:rsidRPr="00F55596">
      <w:rPr>
        <w:sz w:val="20"/>
        <w:szCs w:val="20"/>
      </w:rPr>
      <w:t>ecisions</w:t>
    </w:r>
    <w:r w:rsidR="00D666D9">
      <w:rPr>
        <w:sz w:val="20"/>
        <w:szCs w:val="20"/>
      </w:rPr>
      <w:tab/>
    </w:r>
    <w:r w:rsidR="00D666D9">
      <w:rPr>
        <w:sz w:val="20"/>
        <w:szCs w:val="20"/>
      </w:rPr>
      <w:tab/>
    </w:r>
    <w:r w:rsidR="00D666D9" w:rsidRPr="00D666D9">
      <w:rPr>
        <w:sz w:val="20"/>
        <w:szCs w:val="20"/>
      </w:rPr>
      <w:fldChar w:fldCharType="begin"/>
    </w:r>
    <w:r w:rsidR="00D666D9" w:rsidRPr="00D666D9">
      <w:rPr>
        <w:sz w:val="20"/>
        <w:szCs w:val="20"/>
      </w:rPr>
      <w:instrText xml:space="preserve"> PAGE   \* MERGEFORMAT </w:instrText>
    </w:r>
    <w:r w:rsidR="00D666D9" w:rsidRPr="00D666D9">
      <w:rPr>
        <w:sz w:val="20"/>
        <w:szCs w:val="20"/>
      </w:rPr>
      <w:fldChar w:fldCharType="separate"/>
    </w:r>
    <w:r w:rsidR="00D666D9">
      <w:rPr>
        <w:noProof/>
        <w:sz w:val="20"/>
        <w:szCs w:val="20"/>
      </w:rPr>
      <w:t>2</w:t>
    </w:r>
    <w:r w:rsidR="00D666D9" w:rsidRPr="00D666D9">
      <w:rPr>
        <w:noProof/>
        <w:sz w:val="20"/>
        <w:szCs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1EB1" w14:textId="28DB4BC1" w:rsidR="005E05E4" w:rsidRDefault="005E05E4" w:rsidP="00DD6B5C">
    <w:pPr>
      <w:pStyle w:val="Footer"/>
      <w:tabs>
        <w:tab w:val="clear" w:pos="4680"/>
        <w:tab w:val="clear" w:pos="9360"/>
        <w:tab w:val="left" w:pos="747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77D0" w14:textId="77777777" w:rsidR="004E3B8D" w:rsidRDefault="004E3B8D" w:rsidP="005E05E4">
      <w:pPr>
        <w:spacing w:after="0" w:line="240" w:lineRule="auto"/>
      </w:pPr>
      <w:r>
        <w:separator/>
      </w:r>
    </w:p>
  </w:footnote>
  <w:footnote w:type="continuationSeparator" w:id="0">
    <w:p w14:paraId="4B0BFC7E" w14:textId="77777777" w:rsidR="004E3B8D" w:rsidRDefault="004E3B8D" w:rsidP="005E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1E53E" w14:textId="77777777" w:rsidR="00D666D9" w:rsidRDefault="00D66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BB743" w14:textId="77777777" w:rsidR="00D666D9" w:rsidRDefault="00D66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B3225" w14:textId="77777777" w:rsidR="00D666D9" w:rsidRDefault="00D66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3085"/>
    <w:multiLevelType w:val="multilevel"/>
    <w:tmpl w:val="2A00A584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884679"/>
    <w:multiLevelType w:val="multilevel"/>
    <w:tmpl w:val="C392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B761E"/>
    <w:multiLevelType w:val="multilevel"/>
    <w:tmpl w:val="5966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46E53"/>
    <w:multiLevelType w:val="multilevel"/>
    <w:tmpl w:val="78AA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8B"/>
    <w:rsid w:val="00065B16"/>
    <w:rsid w:val="000B12BB"/>
    <w:rsid w:val="000B4535"/>
    <w:rsid w:val="0010166B"/>
    <w:rsid w:val="00134A4B"/>
    <w:rsid w:val="001B3461"/>
    <w:rsid w:val="001E7F0C"/>
    <w:rsid w:val="001F63CB"/>
    <w:rsid w:val="00287042"/>
    <w:rsid w:val="002C612B"/>
    <w:rsid w:val="002C7844"/>
    <w:rsid w:val="002D42F9"/>
    <w:rsid w:val="002E5E28"/>
    <w:rsid w:val="002F1677"/>
    <w:rsid w:val="002F4D10"/>
    <w:rsid w:val="003039F7"/>
    <w:rsid w:val="003066DB"/>
    <w:rsid w:val="003233CB"/>
    <w:rsid w:val="00324341"/>
    <w:rsid w:val="00352BEC"/>
    <w:rsid w:val="00397978"/>
    <w:rsid w:val="003A65A4"/>
    <w:rsid w:val="0045019E"/>
    <w:rsid w:val="00455AF1"/>
    <w:rsid w:val="0048350A"/>
    <w:rsid w:val="00487A3A"/>
    <w:rsid w:val="004A13B7"/>
    <w:rsid w:val="004A2922"/>
    <w:rsid w:val="004C07B7"/>
    <w:rsid w:val="004C3A5A"/>
    <w:rsid w:val="004E3B8D"/>
    <w:rsid w:val="004E5B03"/>
    <w:rsid w:val="005550B5"/>
    <w:rsid w:val="00565EA0"/>
    <w:rsid w:val="00584CB0"/>
    <w:rsid w:val="005A1934"/>
    <w:rsid w:val="005B30BC"/>
    <w:rsid w:val="005E05E4"/>
    <w:rsid w:val="006037B6"/>
    <w:rsid w:val="006F26A6"/>
    <w:rsid w:val="00774BD9"/>
    <w:rsid w:val="00811F69"/>
    <w:rsid w:val="00821BFF"/>
    <w:rsid w:val="00831315"/>
    <w:rsid w:val="00871FA5"/>
    <w:rsid w:val="0087227F"/>
    <w:rsid w:val="00875494"/>
    <w:rsid w:val="00875C6C"/>
    <w:rsid w:val="00883434"/>
    <w:rsid w:val="008931F1"/>
    <w:rsid w:val="008A767D"/>
    <w:rsid w:val="008C2698"/>
    <w:rsid w:val="009024D9"/>
    <w:rsid w:val="009164D9"/>
    <w:rsid w:val="0097575B"/>
    <w:rsid w:val="009B0606"/>
    <w:rsid w:val="00A00D0A"/>
    <w:rsid w:val="00A37C40"/>
    <w:rsid w:val="00AD0D98"/>
    <w:rsid w:val="00B075BE"/>
    <w:rsid w:val="00B61756"/>
    <w:rsid w:val="00B6668B"/>
    <w:rsid w:val="00B92D30"/>
    <w:rsid w:val="00B96696"/>
    <w:rsid w:val="00BA431A"/>
    <w:rsid w:val="00BA6110"/>
    <w:rsid w:val="00BB7917"/>
    <w:rsid w:val="00BE0CCC"/>
    <w:rsid w:val="00BE6B33"/>
    <w:rsid w:val="00C2038C"/>
    <w:rsid w:val="00C54608"/>
    <w:rsid w:val="00C643B8"/>
    <w:rsid w:val="00CC7DD8"/>
    <w:rsid w:val="00D000D5"/>
    <w:rsid w:val="00D1516E"/>
    <w:rsid w:val="00D22F51"/>
    <w:rsid w:val="00D521C1"/>
    <w:rsid w:val="00D666D9"/>
    <w:rsid w:val="00D97BEB"/>
    <w:rsid w:val="00DC07AC"/>
    <w:rsid w:val="00DC0EA9"/>
    <w:rsid w:val="00DD1E5B"/>
    <w:rsid w:val="00DD6B5C"/>
    <w:rsid w:val="00DF753C"/>
    <w:rsid w:val="00E23966"/>
    <w:rsid w:val="00E6568D"/>
    <w:rsid w:val="00EA6DE6"/>
    <w:rsid w:val="00EB2664"/>
    <w:rsid w:val="00EF58B5"/>
    <w:rsid w:val="00F1493F"/>
    <w:rsid w:val="00F53118"/>
    <w:rsid w:val="00F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00257"/>
  <w15:docId w15:val="{6588CE4F-1144-4927-B895-E2616AE9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148C"/>
    <w:pPr>
      <w:spacing w:after="200" w:line="276" w:lineRule="auto"/>
      <w:ind w:left="720"/>
      <w:contextualSpacing/>
    </w:pPr>
    <w:rPr>
      <w:rFonts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1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8C"/>
  </w:style>
  <w:style w:type="paragraph" w:styleId="Footer">
    <w:name w:val="footer"/>
    <w:basedOn w:val="Normal"/>
    <w:link w:val="FooterChar"/>
    <w:uiPriority w:val="99"/>
    <w:unhideWhenUsed/>
    <w:rsid w:val="0091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8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E5E2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5E05E4"/>
  </w:style>
  <w:style w:type="paragraph" w:styleId="BalloonText">
    <w:name w:val="Balloon Text"/>
    <w:basedOn w:val="Normal"/>
    <w:link w:val="BalloonTextChar"/>
    <w:uiPriority w:val="99"/>
    <w:semiHidden/>
    <w:unhideWhenUsed/>
    <w:rsid w:val="005B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3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BBB0DD72C6F488DD2E897B32177D2" ma:contentTypeVersion="11" ma:contentTypeDescription="Create a new document." ma:contentTypeScope="" ma:versionID="aba21c38d5d0785efcc116e18e9c3916">
  <xsd:schema xmlns:xsd="http://www.w3.org/2001/XMLSchema" xmlns:xs="http://www.w3.org/2001/XMLSchema" xmlns:p="http://schemas.microsoft.com/office/2006/metadata/properties" xmlns:ns3="c82bae87-54d2-4d35-9c82-c5c937f47684" xmlns:ns4="ed13e1a4-03b5-44b7-a6ed-2799c47f2e9b" targetNamespace="http://schemas.microsoft.com/office/2006/metadata/properties" ma:root="true" ma:fieldsID="337080af7c62062c668783a2bb6af175" ns3:_="" ns4:_="">
    <xsd:import namespace="c82bae87-54d2-4d35-9c82-c5c937f47684"/>
    <xsd:import namespace="ed13e1a4-03b5-44b7-a6ed-2799c47f2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ae87-54d2-4d35-9c82-c5c937f47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e1a4-03b5-44b7-a6ed-2799c47f2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+nbgkZRXK82qGvFD4FtBxTBJRQ==">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160597-B12A-4894-96F9-19DD24C7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ae87-54d2-4d35-9c82-c5c937f47684"/>
    <ds:schemaRef ds:uri="ed13e1a4-03b5-44b7-a6ed-2799c47f2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09C71-B831-4B85-8058-520E32FC1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004F2-7F08-41CF-9D31-86128F50910E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82bae87-54d2-4d35-9c82-c5c937f47684"/>
    <ds:schemaRef ds:uri="ed13e1a4-03b5-44b7-a6ed-2799c47f2e9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D3997AAB-C4CC-473F-A824-B6850C7D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Asterios Tsioumanis</dc:creator>
  <cp:lastModifiedBy>Ed Jennings</cp:lastModifiedBy>
  <cp:revision>3</cp:revision>
  <dcterms:created xsi:type="dcterms:W3CDTF">2022-11-08T15:55:00Z</dcterms:created>
  <dcterms:modified xsi:type="dcterms:W3CDTF">2022-11-08T15:58:00Z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</Properties>
</file>