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AF941" w14:textId="77777777" w:rsidR="00235E33" w:rsidRPr="0013778A" w:rsidRDefault="00235E33" w:rsidP="00235E33">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13778A">
        <w:rPr>
          <w:rFonts w:cstheme="minorHAnsi"/>
          <w:bCs/>
          <w:noProof/>
          <w:lang w:val="es-ES"/>
        </w:rPr>
        <w:t>LA CONVENCIÓN SOBRE LOS HUMEDALES</w:t>
      </w:r>
    </w:p>
    <w:p w14:paraId="07491C1E" w14:textId="77777777" w:rsidR="00235E33" w:rsidRPr="0013778A" w:rsidRDefault="00235E33" w:rsidP="00235E33">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13778A">
        <w:rPr>
          <w:rFonts w:cstheme="minorHAnsi"/>
          <w:bCs/>
          <w:noProof/>
          <w:lang w:val="es-ES"/>
        </w:rPr>
        <w:t>60ª Reunión del Comité Permanente</w:t>
      </w:r>
    </w:p>
    <w:p w14:paraId="1AC854C9" w14:textId="77777777" w:rsidR="00235E33" w:rsidRPr="0013778A" w:rsidRDefault="00235E33" w:rsidP="00235E33">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13778A">
        <w:rPr>
          <w:rFonts w:cstheme="minorHAnsi"/>
          <w:bCs/>
          <w:noProof/>
          <w:lang w:val="es-ES"/>
        </w:rPr>
        <w:t>Ginebra, Suiza, 5 de noviembre de 2022</w:t>
      </w:r>
    </w:p>
    <w:p w14:paraId="12696B1B" w14:textId="77777777" w:rsidR="00235E33" w:rsidRPr="0013778A" w:rsidRDefault="00235E33" w:rsidP="00235E33">
      <w:pPr>
        <w:spacing w:after="0" w:line="240" w:lineRule="auto"/>
        <w:rPr>
          <w:rFonts w:cstheme="minorHAnsi"/>
          <w:b/>
          <w:noProof/>
          <w:lang w:val="es-ES"/>
        </w:rPr>
      </w:pPr>
    </w:p>
    <w:p w14:paraId="00000005" w14:textId="77777777" w:rsidR="00B6668B" w:rsidRPr="0013778A" w:rsidRDefault="00B6668B" w:rsidP="00C643B8">
      <w:pPr>
        <w:spacing w:after="0" w:line="240" w:lineRule="auto"/>
        <w:rPr>
          <w:rFonts w:asciiTheme="minorHAnsi" w:hAnsiTheme="minorHAnsi" w:cstheme="minorHAnsi"/>
          <w:b/>
          <w:noProof/>
          <w:sz w:val="28"/>
          <w:szCs w:val="28"/>
          <w:lang w:val="es-ES"/>
        </w:rPr>
      </w:pPr>
    </w:p>
    <w:p w14:paraId="586BF7B2" w14:textId="3B81102A" w:rsidR="00235E33" w:rsidRPr="0013778A" w:rsidRDefault="001C682F" w:rsidP="00235E33">
      <w:pPr>
        <w:spacing w:after="0" w:line="240" w:lineRule="auto"/>
        <w:jc w:val="center"/>
        <w:rPr>
          <w:rFonts w:cstheme="minorHAnsi"/>
          <w:b/>
          <w:noProof/>
          <w:sz w:val="28"/>
          <w:szCs w:val="28"/>
          <w:lang w:val="es-ES"/>
        </w:rPr>
      </w:pPr>
      <w:r>
        <w:rPr>
          <w:rFonts w:cstheme="minorHAnsi"/>
          <w:b/>
          <w:noProof/>
          <w:sz w:val="28"/>
          <w:szCs w:val="28"/>
          <w:lang w:val="es-ES"/>
        </w:rPr>
        <w:t>D</w:t>
      </w:r>
      <w:r w:rsidR="00235E33" w:rsidRPr="0013778A">
        <w:rPr>
          <w:rFonts w:cstheme="minorHAnsi"/>
          <w:b/>
          <w:noProof/>
          <w:sz w:val="28"/>
          <w:szCs w:val="28"/>
          <w:lang w:val="es-ES"/>
        </w:rPr>
        <w:t>ecisiones de la 60ª Reunión del Comité Permanente</w:t>
      </w:r>
    </w:p>
    <w:p w14:paraId="00000007" w14:textId="77777777" w:rsidR="00B6668B" w:rsidRPr="0013778A" w:rsidRDefault="00B6668B" w:rsidP="00C643B8">
      <w:pPr>
        <w:spacing w:after="0" w:line="240" w:lineRule="auto"/>
        <w:rPr>
          <w:rFonts w:asciiTheme="minorHAnsi" w:hAnsiTheme="minorHAnsi" w:cstheme="minorHAnsi"/>
          <w:b/>
          <w:noProof/>
          <w:lang w:val="es-ES"/>
        </w:rPr>
      </w:pPr>
    </w:p>
    <w:p w14:paraId="00000012" w14:textId="77777777" w:rsidR="00B6668B" w:rsidRPr="0013778A" w:rsidRDefault="00B6668B" w:rsidP="00C643B8">
      <w:pPr>
        <w:spacing w:after="0" w:line="240" w:lineRule="auto"/>
        <w:rPr>
          <w:rFonts w:asciiTheme="minorHAnsi" w:hAnsiTheme="minorHAnsi" w:cstheme="minorHAnsi"/>
          <w:noProof/>
          <w:lang w:val="es-ES"/>
        </w:rPr>
      </w:pPr>
    </w:p>
    <w:p w14:paraId="00000013" w14:textId="10DAA432" w:rsidR="00B6668B" w:rsidRPr="0013778A" w:rsidRDefault="00E5240A" w:rsidP="00C643B8">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2 del orden del día:</w:t>
      </w:r>
      <w:r w:rsidR="006F26A6" w:rsidRPr="0013778A">
        <w:rPr>
          <w:rFonts w:asciiTheme="minorHAnsi" w:hAnsiTheme="minorHAnsi" w:cstheme="minorHAnsi"/>
          <w:noProof/>
          <w:lang w:val="es-ES"/>
        </w:rPr>
        <w:t xml:space="preserve"> </w:t>
      </w:r>
      <w:r w:rsidRPr="0013778A">
        <w:rPr>
          <w:rFonts w:asciiTheme="minorHAnsi" w:hAnsiTheme="minorHAnsi" w:cstheme="minorHAnsi"/>
          <w:bCs/>
          <w:noProof/>
          <w:lang w:val="es-ES"/>
        </w:rPr>
        <w:t>Adopción del ord</w:t>
      </w:r>
      <w:bookmarkStart w:id="0" w:name="_GoBack"/>
      <w:bookmarkEnd w:id="0"/>
      <w:r w:rsidRPr="0013778A">
        <w:rPr>
          <w:rFonts w:asciiTheme="minorHAnsi" w:hAnsiTheme="minorHAnsi" w:cstheme="minorHAnsi"/>
          <w:bCs/>
          <w:noProof/>
          <w:lang w:val="es-ES"/>
        </w:rPr>
        <w:t>en del día provisional</w:t>
      </w:r>
    </w:p>
    <w:p w14:paraId="00000017" w14:textId="77777777" w:rsidR="00B6668B" w:rsidRPr="0013778A" w:rsidRDefault="00B6668B" w:rsidP="00C643B8">
      <w:pPr>
        <w:tabs>
          <w:tab w:val="left" w:pos="975"/>
        </w:tabs>
        <w:spacing w:after="0" w:line="240" w:lineRule="auto"/>
        <w:rPr>
          <w:rFonts w:asciiTheme="minorHAnsi" w:hAnsiTheme="minorHAnsi" w:cstheme="minorHAnsi"/>
          <w:noProof/>
          <w:lang w:val="es-ES"/>
        </w:rPr>
      </w:pPr>
    </w:p>
    <w:p w14:paraId="00000018" w14:textId="43781426" w:rsidR="00B6668B" w:rsidRPr="0013778A" w:rsidRDefault="006F26A6" w:rsidP="00C643B8">
      <w:pPr>
        <w:tabs>
          <w:tab w:val="left" w:pos="720"/>
          <w:tab w:val="center" w:pos="4680"/>
        </w:tabs>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Decisi</w:t>
      </w:r>
      <w:r w:rsidR="00D71884" w:rsidRPr="0013778A">
        <w:rPr>
          <w:rFonts w:asciiTheme="minorHAnsi" w:hAnsiTheme="minorHAnsi" w:cstheme="minorHAnsi"/>
          <w:b/>
          <w:noProof/>
          <w:lang w:val="es-ES"/>
        </w:rPr>
        <w:t>ó</w:t>
      </w:r>
      <w:r w:rsidRPr="0013778A">
        <w:rPr>
          <w:rFonts w:asciiTheme="minorHAnsi" w:hAnsiTheme="minorHAnsi" w:cstheme="minorHAnsi"/>
          <w:b/>
          <w:noProof/>
          <w:lang w:val="es-ES"/>
        </w:rPr>
        <w:t xml:space="preserve">n SC60-01: </w:t>
      </w:r>
      <w:r w:rsidR="007A697B" w:rsidRPr="0013778A">
        <w:rPr>
          <w:rFonts w:asciiTheme="minorHAnsi" w:hAnsiTheme="minorHAnsi" w:cstheme="minorHAnsi"/>
          <w:b/>
          <w:noProof/>
          <w:lang w:val="es-ES"/>
        </w:rPr>
        <w:t>El Comité Permanente adoptó el orden del día provisional</w:t>
      </w:r>
      <w:r w:rsidRPr="0013778A">
        <w:rPr>
          <w:rFonts w:asciiTheme="minorHAnsi" w:hAnsiTheme="minorHAnsi" w:cstheme="minorHAnsi"/>
          <w:b/>
          <w:noProof/>
          <w:lang w:val="es-ES"/>
        </w:rPr>
        <w:t>.</w:t>
      </w:r>
    </w:p>
    <w:p w14:paraId="00000019" w14:textId="77777777" w:rsidR="00B6668B" w:rsidRPr="0013778A" w:rsidRDefault="00B6668B" w:rsidP="00C643B8">
      <w:pPr>
        <w:spacing w:after="0" w:line="240" w:lineRule="auto"/>
        <w:rPr>
          <w:rFonts w:asciiTheme="minorHAnsi" w:hAnsiTheme="minorHAnsi" w:cstheme="minorHAnsi"/>
          <w:noProof/>
          <w:lang w:val="es-ES"/>
        </w:rPr>
      </w:pPr>
    </w:p>
    <w:p w14:paraId="0000001A" w14:textId="60EA8FCF" w:rsidR="00B6668B" w:rsidRPr="0013778A" w:rsidRDefault="00E5240A" w:rsidP="00C643B8">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3 del orden del día:</w:t>
      </w:r>
      <w:r w:rsidR="006F26A6" w:rsidRPr="0013778A">
        <w:rPr>
          <w:rFonts w:asciiTheme="minorHAnsi" w:hAnsiTheme="minorHAnsi" w:cstheme="minorHAnsi"/>
          <w:noProof/>
          <w:lang w:val="es-ES"/>
        </w:rPr>
        <w:t xml:space="preserve"> </w:t>
      </w:r>
      <w:r w:rsidRPr="0013778A">
        <w:rPr>
          <w:rFonts w:asciiTheme="minorHAnsi" w:hAnsiTheme="minorHAnsi" w:cstheme="minorHAnsi"/>
          <w:bCs/>
          <w:noProof/>
          <w:lang w:val="es-ES"/>
        </w:rPr>
        <w:t>Admisión de observadores</w:t>
      </w:r>
    </w:p>
    <w:p w14:paraId="0000001D" w14:textId="77777777" w:rsidR="00B6668B" w:rsidRPr="0013778A" w:rsidRDefault="00B6668B">
      <w:pPr>
        <w:tabs>
          <w:tab w:val="left" w:pos="720"/>
          <w:tab w:val="center" w:pos="4680"/>
        </w:tabs>
        <w:spacing w:after="0" w:line="240" w:lineRule="auto"/>
        <w:ind w:left="567" w:hanging="567"/>
        <w:rPr>
          <w:rFonts w:asciiTheme="minorHAnsi" w:hAnsiTheme="minorHAnsi" w:cstheme="minorHAnsi"/>
          <w:noProof/>
          <w:lang w:val="es-ES"/>
        </w:rPr>
      </w:pPr>
    </w:p>
    <w:p w14:paraId="193219D7" w14:textId="2B19D501" w:rsidR="007A697B" w:rsidRPr="0013778A" w:rsidRDefault="007A697B">
      <w:pPr>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Decisión SC60-02: El Comité Permanente admitió como observadores a los órganos y organismos enumerados en el párrafo 7 del documento COP14 Doc.7.</w:t>
      </w:r>
    </w:p>
    <w:p w14:paraId="0000001F" w14:textId="77777777" w:rsidR="00B6668B" w:rsidRPr="0013778A" w:rsidRDefault="00B6668B">
      <w:pPr>
        <w:tabs>
          <w:tab w:val="left" w:pos="720"/>
          <w:tab w:val="center" w:pos="4680"/>
        </w:tabs>
        <w:spacing w:after="0" w:line="240" w:lineRule="auto"/>
        <w:rPr>
          <w:rFonts w:asciiTheme="minorHAnsi" w:hAnsiTheme="minorHAnsi" w:cstheme="minorHAnsi"/>
          <w:noProof/>
          <w:lang w:val="es-ES"/>
        </w:rPr>
      </w:pPr>
    </w:p>
    <w:p w14:paraId="00000021" w14:textId="5DA29781" w:rsidR="00B6668B" w:rsidRPr="0013778A" w:rsidRDefault="00E5240A" w:rsidP="00E5240A">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4.1 del orden del día:</w:t>
      </w:r>
      <w:r w:rsidR="006F26A6" w:rsidRPr="0013778A">
        <w:rPr>
          <w:rFonts w:asciiTheme="minorHAnsi" w:hAnsiTheme="minorHAnsi" w:cstheme="minorHAnsi"/>
          <w:noProof/>
          <w:lang w:val="es-ES"/>
        </w:rPr>
        <w:t xml:space="preserve"> </w:t>
      </w:r>
      <w:r w:rsidRPr="0013778A">
        <w:rPr>
          <w:rFonts w:asciiTheme="minorHAnsi" w:hAnsiTheme="minorHAnsi" w:cstheme="minorHAnsi"/>
          <w:bCs/>
          <w:noProof/>
          <w:color w:val="000000"/>
          <w:lang w:val="es-ES"/>
        </w:rPr>
        <w:t>Preparativos para la COP14: Examen del orden del día y el programa de trabajo provisionales</w:t>
      </w:r>
    </w:p>
    <w:p w14:paraId="305F1F30" w14:textId="77777777" w:rsidR="00F2359D" w:rsidRPr="0013778A" w:rsidRDefault="00F2359D">
      <w:pPr>
        <w:spacing w:after="0" w:line="240" w:lineRule="auto"/>
        <w:ind w:left="567" w:hanging="567"/>
        <w:rPr>
          <w:rFonts w:asciiTheme="minorHAnsi" w:hAnsiTheme="minorHAnsi" w:cstheme="minorHAnsi"/>
          <w:noProof/>
          <w:lang w:val="es-ES"/>
        </w:rPr>
      </w:pPr>
    </w:p>
    <w:p w14:paraId="00000025" w14:textId="152A4315" w:rsidR="00B6668B" w:rsidRPr="0013778A" w:rsidRDefault="00F2359D" w:rsidP="00F2359D">
      <w:pPr>
        <w:spacing w:after="0" w:line="240" w:lineRule="auto"/>
        <w:rPr>
          <w:rFonts w:asciiTheme="minorHAnsi" w:hAnsiTheme="minorHAnsi" w:cstheme="minorHAnsi"/>
          <w:b/>
          <w:bCs/>
          <w:noProof/>
          <w:lang w:val="es-ES"/>
        </w:rPr>
      </w:pPr>
      <w:r w:rsidRPr="0013778A">
        <w:rPr>
          <w:rFonts w:asciiTheme="minorHAnsi" w:hAnsiTheme="minorHAnsi" w:cstheme="minorHAnsi"/>
          <w:b/>
          <w:bCs/>
          <w:noProof/>
          <w:lang w:val="es-ES"/>
        </w:rPr>
        <w:t>Decisión SC60-03: El Comité Permanente acordó que el orden del día y los programas de trabajo provisionales para la COP14 que figuran en los documentos COP14 Doc.3.1, COP14 Doc.3.2.1 y COP14 Doc.3.2.2 se transmitan a la COP14</w:t>
      </w:r>
      <w:r w:rsidR="00EC7D63" w:rsidRPr="0013778A">
        <w:rPr>
          <w:rFonts w:asciiTheme="minorHAnsi" w:hAnsiTheme="minorHAnsi" w:cstheme="minorHAnsi"/>
          <w:b/>
          <w:bCs/>
          <w:noProof/>
          <w:lang w:val="es-ES"/>
        </w:rPr>
        <w:t>,</w:t>
      </w:r>
      <w:r w:rsidRPr="0013778A">
        <w:rPr>
          <w:rFonts w:asciiTheme="minorHAnsi" w:hAnsiTheme="minorHAnsi" w:cstheme="minorHAnsi"/>
          <w:b/>
          <w:bCs/>
          <w:noProof/>
          <w:lang w:val="es-ES"/>
        </w:rPr>
        <w:t xml:space="preserve"> a reserva de posibles propuestas que pudieran formularse.</w:t>
      </w:r>
    </w:p>
    <w:p w14:paraId="00000027" w14:textId="77777777" w:rsidR="00B6668B" w:rsidRPr="0013778A" w:rsidRDefault="00B6668B">
      <w:pPr>
        <w:spacing w:after="0" w:line="240" w:lineRule="auto"/>
        <w:rPr>
          <w:rFonts w:asciiTheme="minorHAnsi" w:hAnsiTheme="minorHAnsi" w:cstheme="minorHAnsi"/>
          <w:b/>
          <w:noProof/>
          <w:lang w:val="es-ES"/>
        </w:rPr>
      </w:pPr>
    </w:p>
    <w:p w14:paraId="00000029" w14:textId="0B4A1E38" w:rsidR="00B6668B" w:rsidRPr="0013778A" w:rsidRDefault="00E5240A" w:rsidP="00E5240A">
      <w:pPr>
        <w:keepNext/>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4.2 del orden del día</w:t>
      </w:r>
      <w:r w:rsidR="006F26A6" w:rsidRPr="0013778A">
        <w:rPr>
          <w:rFonts w:asciiTheme="minorHAnsi" w:hAnsiTheme="minorHAnsi" w:cstheme="minorHAnsi"/>
          <w:noProof/>
          <w:lang w:val="es-ES"/>
        </w:rPr>
        <w:t xml:space="preserve">: </w:t>
      </w:r>
      <w:r w:rsidRPr="0013778A">
        <w:rPr>
          <w:rFonts w:asciiTheme="minorHAnsi" w:hAnsiTheme="minorHAnsi" w:cstheme="minorHAnsi"/>
          <w:noProof/>
          <w:lang w:val="es-ES"/>
        </w:rPr>
        <w:t>Preparativos para la</w:t>
      </w:r>
      <w:r w:rsidR="006F26A6" w:rsidRPr="0013778A">
        <w:rPr>
          <w:rFonts w:asciiTheme="minorHAnsi" w:hAnsiTheme="minorHAnsi" w:cstheme="minorHAnsi"/>
          <w:noProof/>
          <w:lang w:val="es-ES"/>
        </w:rPr>
        <w:t xml:space="preserve"> COP14</w:t>
      </w:r>
      <w:r w:rsidRPr="0013778A">
        <w:rPr>
          <w:rFonts w:asciiTheme="minorHAnsi" w:hAnsiTheme="minorHAnsi" w:cstheme="minorHAnsi"/>
          <w:noProof/>
          <w:lang w:val="es-ES"/>
        </w:rPr>
        <w:t>:</w:t>
      </w:r>
      <w:r w:rsidR="006F26A6" w:rsidRPr="0013778A">
        <w:rPr>
          <w:rFonts w:asciiTheme="minorHAnsi" w:hAnsiTheme="minorHAnsi" w:cstheme="minorHAnsi"/>
          <w:noProof/>
          <w:lang w:val="es-ES"/>
        </w:rPr>
        <w:t xml:space="preserve"> </w:t>
      </w:r>
      <w:r w:rsidRPr="0013778A">
        <w:rPr>
          <w:rFonts w:asciiTheme="minorHAnsi" w:hAnsiTheme="minorHAnsi" w:cstheme="minorHAnsi"/>
          <w:bCs/>
          <w:noProof/>
          <w:lang w:val="es-ES"/>
        </w:rPr>
        <w:t>Orden y procedimiento para el examen de los proyectos de resolución</w:t>
      </w:r>
    </w:p>
    <w:p w14:paraId="3CFCDF08" w14:textId="77777777" w:rsidR="00837524" w:rsidRPr="0013778A" w:rsidRDefault="00837524">
      <w:pPr>
        <w:spacing w:after="0" w:line="240" w:lineRule="auto"/>
        <w:ind w:left="567" w:hanging="567"/>
        <w:rPr>
          <w:rFonts w:asciiTheme="minorHAnsi" w:hAnsiTheme="minorHAnsi" w:cstheme="minorHAnsi"/>
          <w:noProof/>
          <w:lang w:val="es-ES"/>
        </w:rPr>
      </w:pPr>
    </w:p>
    <w:p w14:paraId="00000042" w14:textId="17C68DD6" w:rsidR="00B6668B" w:rsidRPr="0013778A" w:rsidRDefault="00837524">
      <w:pPr>
        <w:spacing w:after="0" w:line="240" w:lineRule="auto"/>
        <w:rPr>
          <w:rFonts w:asciiTheme="minorHAnsi" w:hAnsiTheme="minorHAnsi" w:cstheme="minorHAnsi"/>
          <w:b/>
          <w:bCs/>
          <w:noProof/>
          <w:highlight w:val="yellow"/>
          <w:lang w:val="es-ES"/>
        </w:rPr>
      </w:pPr>
      <w:r w:rsidRPr="0013778A">
        <w:rPr>
          <w:rFonts w:asciiTheme="minorHAnsi" w:hAnsiTheme="minorHAnsi" w:cstheme="minorHAnsi"/>
          <w:b/>
          <w:bCs/>
          <w:noProof/>
          <w:lang w:val="es-ES"/>
        </w:rPr>
        <w:t>Decisión SC60-04: El Comité Permanente aprobó el proceso propuesto por la Secretaría en el documento SC60 Doc.4.2 para el examen de los proyectos de resolución de las Partes en la COP14, teniendo en cuenta las observaciones formuladas.</w:t>
      </w:r>
    </w:p>
    <w:p w14:paraId="00000044" w14:textId="77777777" w:rsidR="00B6668B" w:rsidRPr="0013778A" w:rsidRDefault="00B6668B">
      <w:pPr>
        <w:spacing w:after="0" w:line="240" w:lineRule="auto"/>
        <w:rPr>
          <w:rFonts w:asciiTheme="minorHAnsi" w:hAnsiTheme="minorHAnsi" w:cstheme="minorHAnsi"/>
          <w:noProof/>
          <w:lang w:val="es-ES"/>
        </w:rPr>
      </w:pPr>
    </w:p>
    <w:p w14:paraId="00000045" w14:textId="7562D517" w:rsidR="00B6668B" w:rsidRPr="0013778A" w:rsidRDefault="00E5240A">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5 del orden del día:</w:t>
      </w:r>
      <w:r w:rsidR="006F26A6" w:rsidRPr="0013778A">
        <w:rPr>
          <w:rFonts w:asciiTheme="minorHAnsi" w:hAnsiTheme="minorHAnsi" w:cstheme="minorHAnsi"/>
          <w:noProof/>
          <w:lang w:val="es-ES"/>
        </w:rPr>
        <w:t xml:space="preserve"> </w:t>
      </w:r>
      <w:r w:rsidRPr="0013778A">
        <w:rPr>
          <w:rFonts w:asciiTheme="minorHAnsi" w:hAnsiTheme="minorHAnsi" w:cstheme="minorHAnsi"/>
          <w:bCs/>
          <w:noProof/>
          <w:color w:val="000000"/>
          <w:lang w:val="es-ES"/>
        </w:rPr>
        <w:t>Nombramiento de la Presidencia y Vicepresidencias de la COP14</w:t>
      </w:r>
    </w:p>
    <w:p w14:paraId="1D2224CB" w14:textId="77777777" w:rsidR="008A767D" w:rsidRPr="0013778A" w:rsidRDefault="008A767D" w:rsidP="006F4748">
      <w:pPr>
        <w:spacing w:after="0" w:line="240" w:lineRule="auto"/>
        <w:rPr>
          <w:rFonts w:asciiTheme="minorHAnsi" w:hAnsiTheme="minorHAnsi" w:cstheme="minorHAnsi"/>
          <w:noProof/>
          <w:lang w:val="es-ES"/>
        </w:rPr>
      </w:pPr>
    </w:p>
    <w:p w14:paraId="7B4570EC" w14:textId="30DCA5DD" w:rsidR="006F4748" w:rsidRPr="0013778A" w:rsidRDefault="006F4748">
      <w:pPr>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Decisión SC60-05: El Comité Permanente se comprometió a transmitir a la Mesa de la Conferencia las dos candidaturas presentadas, para que esta pueda analizarlas para los dos cargos de Vicepresidentes cuando se reúna el 7 de noviembre.</w:t>
      </w:r>
    </w:p>
    <w:p w14:paraId="0000004E" w14:textId="77777777" w:rsidR="00B6668B" w:rsidRPr="0013778A" w:rsidRDefault="00B6668B">
      <w:pPr>
        <w:spacing w:after="0" w:line="240" w:lineRule="auto"/>
        <w:rPr>
          <w:rFonts w:asciiTheme="minorHAnsi" w:hAnsiTheme="minorHAnsi" w:cstheme="minorHAnsi"/>
          <w:noProof/>
          <w:lang w:val="es-ES"/>
        </w:rPr>
      </w:pPr>
    </w:p>
    <w:p w14:paraId="0000004F" w14:textId="0A4CE126" w:rsidR="00B6668B" w:rsidRPr="0013778A" w:rsidRDefault="00E5240A">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6.1 del orden del día</w:t>
      </w:r>
      <w:r w:rsidR="006F26A6" w:rsidRPr="0013778A">
        <w:rPr>
          <w:rFonts w:asciiTheme="minorHAnsi" w:hAnsiTheme="minorHAnsi" w:cstheme="minorHAnsi"/>
          <w:noProof/>
          <w:lang w:val="es-ES"/>
        </w:rPr>
        <w:t xml:space="preserve">: </w:t>
      </w:r>
      <w:r w:rsidRPr="0013778A">
        <w:rPr>
          <w:rFonts w:asciiTheme="minorHAnsi" w:hAnsiTheme="minorHAnsi" w:cstheme="minorHAnsi"/>
          <w:bCs/>
          <w:noProof/>
          <w:color w:val="000000"/>
          <w:lang w:val="es-ES"/>
        </w:rPr>
        <w:t>Establecimiento de los comités de la COP14</w:t>
      </w:r>
      <w:r w:rsidRPr="0013778A">
        <w:rPr>
          <w:rFonts w:asciiTheme="minorHAnsi" w:hAnsiTheme="minorHAnsi" w:cstheme="minorHAnsi"/>
          <w:noProof/>
          <w:lang w:val="es-ES"/>
        </w:rPr>
        <w:t xml:space="preserve">: </w:t>
      </w:r>
      <w:r w:rsidRPr="0013778A">
        <w:rPr>
          <w:rFonts w:asciiTheme="minorHAnsi" w:hAnsiTheme="minorHAnsi" w:cstheme="minorHAnsi"/>
          <w:bCs/>
          <w:noProof/>
          <w:color w:val="000000"/>
          <w:lang w:val="es-ES"/>
        </w:rPr>
        <w:t>Comité de Finanzas y Presupuesto</w:t>
      </w:r>
    </w:p>
    <w:p w14:paraId="2A592361" w14:textId="77777777" w:rsidR="00A37C40" w:rsidRPr="0013778A" w:rsidRDefault="00A37C40">
      <w:pPr>
        <w:spacing w:after="0" w:line="240" w:lineRule="auto"/>
        <w:rPr>
          <w:rFonts w:asciiTheme="minorHAnsi" w:hAnsiTheme="minorHAnsi" w:cstheme="minorHAnsi"/>
          <w:noProof/>
          <w:lang w:val="es-ES"/>
        </w:rPr>
      </w:pPr>
    </w:p>
    <w:p w14:paraId="707DF603" w14:textId="7F76FEFF" w:rsidR="00C87E40" w:rsidRPr="0013778A" w:rsidRDefault="00C87E40">
      <w:pPr>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Decisión SC60-06: El Comité Permanente acordó proponer a la Mesa de la Conferencia que la composición del Comité de Finanzas sea la misma que la del Subgrupo de Finanzas y esté abierta a todas las Partes, y alentó a todas las regiones a que garanticen una representación adecuada.</w:t>
      </w:r>
    </w:p>
    <w:p w14:paraId="00000055" w14:textId="77777777" w:rsidR="00B6668B" w:rsidRPr="0013778A" w:rsidRDefault="00B6668B">
      <w:pPr>
        <w:spacing w:after="0" w:line="240" w:lineRule="auto"/>
        <w:rPr>
          <w:rFonts w:asciiTheme="minorHAnsi" w:hAnsiTheme="minorHAnsi" w:cstheme="minorHAnsi"/>
          <w:noProof/>
          <w:lang w:val="es-ES"/>
        </w:rPr>
      </w:pPr>
    </w:p>
    <w:p w14:paraId="00000056" w14:textId="259329E0" w:rsidR="00B6668B" w:rsidRPr="0013778A" w:rsidRDefault="00E5240A">
      <w:pPr>
        <w:pBdr>
          <w:top w:val="single" w:sz="4" w:space="3" w:color="000000"/>
          <w:left w:val="single" w:sz="4" w:space="4" w:color="000000"/>
          <w:bottom w:val="single" w:sz="4" w:space="3"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lastRenderedPageBreak/>
        <w:t>Punto 6.2 del orden del día</w:t>
      </w:r>
      <w:r w:rsidR="006F26A6" w:rsidRPr="0013778A">
        <w:rPr>
          <w:rFonts w:asciiTheme="minorHAnsi" w:hAnsiTheme="minorHAnsi" w:cstheme="minorHAnsi"/>
          <w:noProof/>
          <w:lang w:val="es-ES"/>
        </w:rPr>
        <w:t xml:space="preserve">: </w:t>
      </w:r>
      <w:r w:rsidRPr="0013778A">
        <w:rPr>
          <w:rFonts w:asciiTheme="minorHAnsi" w:hAnsiTheme="minorHAnsi" w:cstheme="minorHAnsi"/>
          <w:bCs/>
          <w:noProof/>
          <w:color w:val="000000"/>
          <w:lang w:val="es-ES"/>
        </w:rPr>
        <w:t>Establecimiento de los comités de la COP14</w:t>
      </w:r>
      <w:r w:rsidRPr="0013778A">
        <w:rPr>
          <w:rFonts w:asciiTheme="minorHAnsi" w:hAnsiTheme="minorHAnsi" w:cstheme="minorHAnsi"/>
          <w:noProof/>
          <w:lang w:val="es-ES"/>
        </w:rPr>
        <w:t xml:space="preserve">: </w:t>
      </w:r>
      <w:r w:rsidRPr="0013778A">
        <w:rPr>
          <w:rFonts w:asciiTheme="minorHAnsi" w:hAnsiTheme="minorHAnsi" w:cstheme="minorHAnsi"/>
          <w:bCs/>
          <w:noProof/>
          <w:color w:val="000000"/>
          <w:lang w:val="es-ES"/>
        </w:rPr>
        <w:t>Comité de Credenciales</w:t>
      </w:r>
    </w:p>
    <w:p w14:paraId="0000005B" w14:textId="77777777" w:rsidR="00B6668B" w:rsidRPr="0013778A" w:rsidRDefault="00B6668B" w:rsidP="00FE3FF4">
      <w:pPr>
        <w:spacing w:after="0" w:line="240" w:lineRule="auto"/>
        <w:rPr>
          <w:rFonts w:asciiTheme="minorHAnsi" w:hAnsiTheme="minorHAnsi" w:cstheme="minorHAnsi"/>
          <w:noProof/>
          <w:highlight w:val="yellow"/>
          <w:lang w:val="es-ES"/>
        </w:rPr>
      </w:pPr>
    </w:p>
    <w:p w14:paraId="069E6F59" w14:textId="06DA94EE" w:rsidR="00FE3FF4" w:rsidRPr="0013778A" w:rsidRDefault="00FE3FF4">
      <w:pPr>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Decisión SC60-07: El Comité Permanente acordó que las candidaturas recibidas para el Comité de Credenciales se presentarían a la Mesa de la Conferencia.</w:t>
      </w:r>
    </w:p>
    <w:p w14:paraId="0000005D" w14:textId="77777777" w:rsidR="00B6668B" w:rsidRPr="0013778A" w:rsidRDefault="00B6668B">
      <w:pPr>
        <w:spacing w:after="0" w:line="240" w:lineRule="auto"/>
        <w:rPr>
          <w:rFonts w:asciiTheme="minorHAnsi" w:hAnsiTheme="minorHAnsi" w:cstheme="minorHAnsi"/>
          <w:b/>
          <w:noProof/>
          <w:lang w:val="es-ES"/>
        </w:rPr>
      </w:pPr>
    </w:p>
    <w:p w14:paraId="0000005F" w14:textId="314BD353" w:rsidR="00B6668B" w:rsidRPr="0013778A" w:rsidRDefault="00E5240A" w:rsidP="007C4E46">
      <w:pPr>
        <w:pBdr>
          <w:top w:val="single" w:sz="4" w:space="1" w:color="000000"/>
          <w:left w:val="single" w:sz="4" w:space="4" w:color="000000"/>
          <w:bottom w:val="single" w:sz="4" w:space="1"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7 del orden del día</w:t>
      </w:r>
      <w:r w:rsidR="006F26A6" w:rsidRPr="0013778A">
        <w:rPr>
          <w:rFonts w:asciiTheme="minorHAnsi" w:hAnsiTheme="minorHAnsi" w:cstheme="minorHAnsi"/>
          <w:noProof/>
          <w:lang w:val="es-ES"/>
        </w:rPr>
        <w:t xml:space="preserve">: </w:t>
      </w:r>
      <w:r w:rsidR="007C4E46" w:rsidRPr="0013778A">
        <w:rPr>
          <w:rFonts w:asciiTheme="minorHAnsi" w:hAnsiTheme="minorHAnsi" w:cstheme="minorHAnsi"/>
          <w:bCs/>
          <w:noProof/>
          <w:lang w:val="es-ES"/>
        </w:rPr>
        <w:t>Informe de la Secretaría sobre las repercusiones administrativas y financieras de los proyectos de resolución</w:t>
      </w:r>
    </w:p>
    <w:p w14:paraId="6ABB0C38" w14:textId="77777777" w:rsidR="008A767D" w:rsidRPr="0013778A" w:rsidRDefault="008A767D">
      <w:pPr>
        <w:spacing w:after="0" w:line="240" w:lineRule="auto"/>
        <w:rPr>
          <w:rFonts w:asciiTheme="minorHAnsi" w:hAnsiTheme="minorHAnsi" w:cstheme="minorHAnsi"/>
          <w:noProof/>
          <w:lang w:val="es-ES"/>
        </w:rPr>
      </w:pPr>
    </w:p>
    <w:p w14:paraId="5E20CB9A" w14:textId="7471D438" w:rsidR="00FE2C52" w:rsidRPr="0013778A" w:rsidRDefault="00FE2C52">
      <w:pPr>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 xml:space="preserve">Decisión SC60-08: El Comité Permanente tomó nota del documento COP14 Doc.14 </w:t>
      </w:r>
      <w:r w:rsidRPr="0013778A">
        <w:rPr>
          <w:rFonts w:asciiTheme="minorHAnsi" w:hAnsiTheme="minorHAnsi" w:cstheme="minorHAnsi"/>
          <w:b/>
          <w:i/>
          <w:iCs/>
          <w:noProof/>
          <w:lang w:val="es-ES"/>
        </w:rPr>
        <w:t>Informe de la Secretaría sobre las repercusiones administrativas y financieras de los proyectos de resolución</w:t>
      </w:r>
      <w:r w:rsidRPr="0013778A">
        <w:rPr>
          <w:rFonts w:asciiTheme="minorHAnsi" w:hAnsiTheme="minorHAnsi" w:cstheme="minorHAnsi"/>
          <w:b/>
          <w:noProof/>
          <w:lang w:val="es-ES"/>
        </w:rPr>
        <w:t>.</w:t>
      </w:r>
    </w:p>
    <w:p w14:paraId="00000064" w14:textId="77777777" w:rsidR="00B6668B" w:rsidRPr="0013778A" w:rsidRDefault="00B6668B">
      <w:pPr>
        <w:spacing w:after="0" w:line="240" w:lineRule="auto"/>
        <w:rPr>
          <w:rFonts w:asciiTheme="minorHAnsi" w:hAnsiTheme="minorHAnsi" w:cstheme="minorHAnsi"/>
          <w:noProof/>
          <w:lang w:val="es-ES"/>
        </w:rPr>
      </w:pPr>
    </w:p>
    <w:p w14:paraId="00000065" w14:textId="56AA11A8" w:rsidR="00B6668B" w:rsidRPr="0013778A" w:rsidRDefault="00E5240A">
      <w:pPr>
        <w:pBdr>
          <w:top w:val="single" w:sz="4" w:space="1" w:color="000000"/>
          <w:left w:val="single" w:sz="4" w:space="4" w:color="000000"/>
          <w:bottom w:val="single" w:sz="4" w:space="1"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8.1 del orden del día</w:t>
      </w:r>
      <w:r w:rsidR="006F26A6" w:rsidRPr="0013778A">
        <w:rPr>
          <w:rFonts w:asciiTheme="minorHAnsi" w:hAnsiTheme="minorHAnsi" w:cstheme="minorHAnsi"/>
          <w:noProof/>
          <w:lang w:val="es-ES"/>
        </w:rPr>
        <w:t xml:space="preserve">: </w:t>
      </w:r>
      <w:r w:rsidR="007C4E46" w:rsidRPr="0013778A">
        <w:rPr>
          <w:rFonts w:asciiTheme="minorHAnsi" w:hAnsiTheme="minorHAnsi" w:cstheme="minorHAnsi"/>
          <w:bCs/>
          <w:noProof/>
          <w:lang w:val="es-ES"/>
        </w:rPr>
        <w:t>Cuestiones financieras y presupuestarias:</w:t>
      </w:r>
      <w:r w:rsidR="006F26A6" w:rsidRPr="0013778A">
        <w:rPr>
          <w:rFonts w:asciiTheme="minorHAnsi" w:hAnsiTheme="minorHAnsi" w:cstheme="minorHAnsi"/>
          <w:noProof/>
          <w:lang w:val="es-ES"/>
        </w:rPr>
        <w:t xml:space="preserve"> </w:t>
      </w:r>
      <w:r w:rsidR="007C4E46" w:rsidRPr="0013778A">
        <w:rPr>
          <w:rFonts w:asciiTheme="minorHAnsi" w:hAnsiTheme="minorHAnsi" w:cstheme="minorHAnsi"/>
          <w:bCs/>
          <w:noProof/>
          <w:lang w:val="es-ES"/>
        </w:rPr>
        <w:t>Actualización del presupuesto básico para 2022</w:t>
      </w:r>
    </w:p>
    <w:p w14:paraId="6B293DEB" w14:textId="77777777" w:rsidR="00FE2C52" w:rsidRPr="0013778A" w:rsidRDefault="00FE2C52">
      <w:pPr>
        <w:spacing w:after="0" w:line="240" w:lineRule="auto"/>
        <w:ind w:left="567" w:hanging="567"/>
        <w:rPr>
          <w:rFonts w:asciiTheme="minorHAnsi" w:hAnsiTheme="minorHAnsi" w:cstheme="minorHAnsi"/>
          <w:noProof/>
          <w:lang w:val="es-ES"/>
        </w:rPr>
      </w:pPr>
    </w:p>
    <w:p w14:paraId="0000006A" w14:textId="163960B8" w:rsidR="00B6668B" w:rsidRPr="0013778A" w:rsidRDefault="00507723" w:rsidP="00507723">
      <w:pPr>
        <w:spacing w:after="0" w:line="240" w:lineRule="auto"/>
        <w:rPr>
          <w:rFonts w:asciiTheme="minorHAnsi" w:hAnsiTheme="minorHAnsi" w:cstheme="minorHAnsi"/>
          <w:b/>
          <w:bCs/>
          <w:noProof/>
          <w:highlight w:val="yellow"/>
          <w:lang w:val="es-ES"/>
        </w:rPr>
      </w:pPr>
      <w:r w:rsidRPr="0013778A">
        <w:rPr>
          <w:rFonts w:asciiTheme="minorHAnsi" w:hAnsiTheme="minorHAnsi" w:cstheme="minorHAnsi"/>
          <w:b/>
          <w:bCs/>
          <w:noProof/>
          <w:lang w:val="es-ES"/>
        </w:rPr>
        <w:t>Decisión SC60-09: El Comité Permanente aprobó la reasignación de la actualización del presupuesto básico para 2022, según lo propuesto en el documento SC60 Doc</w:t>
      </w:r>
      <w:r w:rsidR="0013778A" w:rsidRPr="0013778A">
        <w:rPr>
          <w:rFonts w:asciiTheme="minorHAnsi" w:hAnsiTheme="minorHAnsi" w:cstheme="minorHAnsi"/>
          <w:b/>
          <w:bCs/>
          <w:noProof/>
          <w:lang w:val="es-ES"/>
        </w:rPr>
        <w:t>.</w:t>
      </w:r>
      <w:r w:rsidRPr="0013778A">
        <w:rPr>
          <w:rFonts w:asciiTheme="minorHAnsi" w:hAnsiTheme="minorHAnsi" w:cstheme="minorHAnsi"/>
          <w:b/>
          <w:bCs/>
          <w:noProof/>
          <w:lang w:val="es-ES"/>
        </w:rPr>
        <w:t xml:space="preserve">8.1 </w:t>
      </w:r>
      <w:r w:rsidRPr="0013778A">
        <w:rPr>
          <w:rFonts w:asciiTheme="minorHAnsi" w:hAnsiTheme="minorHAnsi" w:cstheme="minorHAnsi"/>
          <w:b/>
          <w:bCs/>
          <w:i/>
          <w:iCs/>
          <w:noProof/>
          <w:lang w:val="es-ES"/>
        </w:rPr>
        <w:t>Cuestiones financieras y presupuestarias: actualización del presupuesto básico para 2022</w:t>
      </w:r>
      <w:r w:rsidRPr="0013778A">
        <w:rPr>
          <w:rFonts w:asciiTheme="minorHAnsi" w:hAnsiTheme="minorHAnsi" w:cstheme="minorHAnsi"/>
          <w:b/>
          <w:bCs/>
          <w:noProof/>
          <w:lang w:val="es-ES"/>
        </w:rPr>
        <w:t>.</w:t>
      </w:r>
    </w:p>
    <w:p w14:paraId="0000006C" w14:textId="77777777" w:rsidR="00B6668B" w:rsidRPr="0013778A" w:rsidRDefault="00B6668B">
      <w:pPr>
        <w:spacing w:after="0" w:line="240" w:lineRule="auto"/>
        <w:rPr>
          <w:rFonts w:asciiTheme="minorHAnsi" w:hAnsiTheme="minorHAnsi" w:cstheme="minorHAnsi"/>
          <w:b/>
          <w:noProof/>
          <w:lang w:val="es-ES"/>
        </w:rPr>
      </w:pPr>
    </w:p>
    <w:p w14:paraId="0000006D" w14:textId="13032065" w:rsidR="00B6668B" w:rsidRPr="0013778A" w:rsidRDefault="00E5240A">
      <w:pPr>
        <w:pBdr>
          <w:top w:val="single" w:sz="4" w:space="1" w:color="000000"/>
          <w:left w:val="single" w:sz="4" w:space="4" w:color="000000"/>
          <w:bottom w:val="single" w:sz="4" w:space="1"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Punto 8.2 del orden del día:</w:t>
      </w:r>
      <w:r w:rsidR="006F26A6" w:rsidRPr="0013778A">
        <w:rPr>
          <w:rFonts w:asciiTheme="minorHAnsi" w:hAnsiTheme="minorHAnsi" w:cstheme="minorHAnsi"/>
          <w:noProof/>
          <w:lang w:val="es-ES"/>
        </w:rPr>
        <w:t xml:space="preserve"> </w:t>
      </w:r>
      <w:r w:rsidR="007C4E46" w:rsidRPr="0013778A">
        <w:rPr>
          <w:rFonts w:asciiTheme="minorHAnsi" w:hAnsiTheme="minorHAnsi" w:cstheme="minorHAnsi"/>
          <w:bCs/>
          <w:noProof/>
          <w:lang w:val="es-ES"/>
        </w:rPr>
        <w:t>Cuestiones financieras y presupuestarias:</w:t>
      </w:r>
      <w:r w:rsidR="007C4E46" w:rsidRPr="0013778A">
        <w:rPr>
          <w:rFonts w:asciiTheme="minorHAnsi" w:hAnsiTheme="minorHAnsi" w:cstheme="minorHAnsi"/>
          <w:noProof/>
          <w:lang w:val="es-ES"/>
        </w:rPr>
        <w:t xml:space="preserve"> </w:t>
      </w:r>
      <w:r w:rsidR="007C4E46" w:rsidRPr="0013778A">
        <w:rPr>
          <w:rFonts w:asciiTheme="minorHAnsi" w:hAnsiTheme="minorHAnsi" w:cstheme="minorHAnsi"/>
          <w:bCs/>
          <w:noProof/>
          <w:lang w:val="es-ES"/>
        </w:rPr>
        <w:t>Actualización sobre la Decisión SC59/2022-42</w:t>
      </w:r>
    </w:p>
    <w:p w14:paraId="3985E17A" w14:textId="77777777" w:rsidR="00875C6C" w:rsidRPr="0013778A" w:rsidRDefault="00875C6C">
      <w:pPr>
        <w:spacing w:after="0" w:line="240" w:lineRule="auto"/>
        <w:rPr>
          <w:rFonts w:asciiTheme="minorHAnsi" w:eastAsia="Times New Roman" w:hAnsiTheme="minorHAnsi" w:cstheme="minorHAnsi"/>
          <w:noProof/>
          <w:sz w:val="24"/>
          <w:szCs w:val="24"/>
          <w:lang w:val="es-ES" w:eastAsia="fr-FR"/>
        </w:rPr>
      </w:pPr>
    </w:p>
    <w:p w14:paraId="0A8FBC46" w14:textId="403D16C6" w:rsidR="00002732" w:rsidRPr="0013778A" w:rsidRDefault="00002732">
      <w:pPr>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Decisión SC60-10: El Comité Permanente tomó nota de la actualización de la Secretaría en relación con la Decisión SC59/2022-42 y la Decisión 1 entre períodos de sesiones posterior a la reunión SC59/2022.</w:t>
      </w:r>
    </w:p>
    <w:p w14:paraId="00000072" w14:textId="77777777" w:rsidR="00B6668B" w:rsidRPr="0013778A" w:rsidRDefault="00B6668B" w:rsidP="00002732">
      <w:pPr>
        <w:spacing w:after="0" w:line="240" w:lineRule="auto"/>
        <w:rPr>
          <w:rFonts w:asciiTheme="minorHAnsi" w:hAnsiTheme="minorHAnsi" w:cstheme="minorHAnsi"/>
          <w:noProof/>
          <w:lang w:val="es-ES"/>
        </w:rPr>
      </w:pPr>
    </w:p>
    <w:p w14:paraId="00000074" w14:textId="13686D27" w:rsidR="00B6668B" w:rsidRPr="0013778A" w:rsidRDefault="00E5240A">
      <w:pPr>
        <w:pBdr>
          <w:top w:val="single" w:sz="4" w:space="1" w:color="000000"/>
          <w:left w:val="single" w:sz="4" w:space="4" w:color="000000"/>
          <w:bottom w:val="single" w:sz="4" w:space="1" w:color="000000"/>
          <w:right w:val="single" w:sz="4" w:space="4" w:color="000000"/>
        </w:pBdr>
        <w:spacing w:after="0" w:line="240" w:lineRule="auto"/>
        <w:rPr>
          <w:rFonts w:asciiTheme="minorHAnsi" w:hAnsiTheme="minorHAnsi" w:cstheme="minorHAnsi"/>
          <w:noProof/>
          <w:lang w:val="es-ES"/>
        </w:rPr>
      </w:pPr>
      <w:r w:rsidRPr="0013778A">
        <w:rPr>
          <w:rFonts w:cstheme="minorHAnsi"/>
          <w:bCs/>
          <w:noProof/>
          <w:lang w:val="es-ES"/>
        </w:rPr>
        <w:t xml:space="preserve">Punto 9 del orden del día: </w:t>
      </w:r>
      <w:r w:rsidR="007C4E46" w:rsidRPr="0013778A">
        <w:rPr>
          <w:rFonts w:asciiTheme="minorHAnsi" w:hAnsiTheme="minorHAnsi" w:cstheme="minorHAnsi"/>
          <w:bCs/>
          <w:noProof/>
          <w:color w:val="000000"/>
          <w:lang w:val="es-ES"/>
        </w:rPr>
        <w:t>Orden del día para la 61ª reunión del Comité Permanente</w:t>
      </w:r>
    </w:p>
    <w:p w14:paraId="00000078" w14:textId="77777777" w:rsidR="00B6668B" w:rsidRPr="0013778A" w:rsidRDefault="00B6668B">
      <w:pPr>
        <w:spacing w:after="0" w:line="240" w:lineRule="auto"/>
        <w:rPr>
          <w:rFonts w:asciiTheme="minorHAnsi" w:hAnsiTheme="minorHAnsi" w:cstheme="minorHAnsi"/>
          <w:noProof/>
          <w:lang w:val="es-ES"/>
        </w:rPr>
      </w:pPr>
    </w:p>
    <w:p w14:paraId="0000007D" w14:textId="58A7CB2C" w:rsidR="00B6668B" w:rsidRPr="0013778A" w:rsidRDefault="00A85B33" w:rsidP="00134A4B">
      <w:pPr>
        <w:spacing w:after="0" w:line="240" w:lineRule="auto"/>
        <w:rPr>
          <w:rFonts w:asciiTheme="minorHAnsi" w:hAnsiTheme="minorHAnsi" w:cstheme="minorHAnsi"/>
          <w:b/>
          <w:noProof/>
          <w:lang w:val="es-ES"/>
        </w:rPr>
      </w:pPr>
      <w:r w:rsidRPr="0013778A">
        <w:rPr>
          <w:rFonts w:asciiTheme="minorHAnsi" w:hAnsiTheme="minorHAnsi" w:cstheme="minorHAnsi"/>
          <w:b/>
          <w:noProof/>
          <w:lang w:val="es-ES"/>
        </w:rPr>
        <w:t>Decisión SC60-11: El Comité Permanente aprobó el orden del día provisional para la 61ª reunión del Comité Permanente, publicado como documento SC61 Doc.2.</w:t>
      </w:r>
      <w:r w:rsidR="00D1516E" w:rsidRPr="0013778A">
        <w:rPr>
          <w:rFonts w:asciiTheme="minorHAnsi" w:hAnsiTheme="minorHAnsi" w:cstheme="minorHAnsi"/>
          <w:noProof/>
          <w:lang w:val="es-ES"/>
        </w:rPr>
        <w:t xml:space="preserve"> </w:t>
      </w:r>
    </w:p>
    <w:p w14:paraId="2A735ADB" w14:textId="77777777" w:rsidR="00235E33" w:rsidRPr="0013778A" w:rsidRDefault="00235E33">
      <w:pPr>
        <w:spacing w:after="0" w:line="240" w:lineRule="auto"/>
        <w:rPr>
          <w:rFonts w:asciiTheme="minorHAnsi" w:hAnsiTheme="minorHAnsi" w:cstheme="minorHAnsi"/>
          <w:noProof/>
          <w:lang w:val="es-ES"/>
        </w:rPr>
      </w:pPr>
    </w:p>
    <w:sectPr w:rsidR="00235E33" w:rsidRPr="0013778A" w:rsidSect="005E05E4">
      <w:footerReference w:type="even" r:id="rId12"/>
      <w:footerReference w:type="default" r:id="rId13"/>
      <w:foot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D7AAB" w14:textId="77777777" w:rsidR="00104209" w:rsidRDefault="00104209" w:rsidP="005E05E4">
      <w:pPr>
        <w:spacing w:after="0" w:line="240" w:lineRule="auto"/>
      </w:pPr>
      <w:r>
        <w:separator/>
      </w:r>
    </w:p>
  </w:endnote>
  <w:endnote w:type="continuationSeparator" w:id="0">
    <w:p w14:paraId="3A65F9FF" w14:textId="77777777" w:rsidR="00104209" w:rsidRDefault="00104209" w:rsidP="005E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9258977"/>
      <w:docPartObj>
        <w:docPartGallery w:val="Page Numbers (Bottom of Page)"/>
        <w:docPartUnique/>
      </w:docPartObj>
    </w:sdtPr>
    <w:sdtEndPr>
      <w:rPr>
        <w:rStyle w:val="PageNumber"/>
      </w:rPr>
    </w:sdtEndPr>
    <w:sdtContent>
      <w:p w14:paraId="4257D79D" w14:textId="371EAEC2" w:rsidR="005E05E4" w:rsidRDefault="005E05E4" w:rsidP="00BD55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240A">
          <w:rPr>
            <w:rStyle w:val="PageNumber"/>
            <w:noProof/>
          </w:rPr>
          <w:t>4</w:t>
        </w:r>
        <w:r>
          <w:rPr>
            <w:rStyle w:val="PageNumber"/>
          </w:rPr>
          <w:fldChar w:fldCharType="end"/>
        </w:r>
      </w:p>
    </w:sdtContent>
  </w:sdt>
  <w:p w14:paraId="4014BCAA" w14:textId="77777777" w:rsidR="005E05E4" w:rsidRDefault="005E05E4" w:rsidP="005E0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19B9" w14:textId="57202BF4" w:rsidR="005E05E4" w:rsidRPr="00111700" w:rsidRDefault="001C682F" w:rsidP="00111700">
    <w:pPr>
      <w:pStyle w:val="Footer"/>
      <w:ind w:right="4"/>
      <w:rPr>
        <w:sz w:val="20"/>
        <w:szCs w:val="20"/>
        <w:lang w:val="es-ES"/>
      </w:rPr>
    </w:pPr>
    <w:r>
      <w:rPr>
        <w:sz w:val="20"/>
        <w:szCs w:val="20"/>
        <w:lang w:val="es-ES"/>
      </w:rPr>
      <w:t>D</w:t>
    </w:r>
    <w:r w:rsidR="00E5240A" w:rsidRPr="00111700">
      <w:rPr>
        <w:sz w:val="20"/>
        <w:szCs w:val="20"/>
        <w:lang w:val="es-ES"/>
      </w:rPr>
      <w:t>ecision</w:t>
    </w:r>
    <w:r w:rsidR="007C4E46" w:rsidRPr="00111700">
      <w:rPr>
        <w:sz w:val="20"/>
        <w:szCs w:val="20"/>
        <w:lang w:val="es-ES"/>
      </w:rPr>
      <w:t>e</w:t>
    </w:r>
    <w:r w:rsidR="00E5240A" w:rsidRPr="00111700">
      <w:rPr>
        <w:sz w:val="20"/>
        <w:szCs w:val="20"/>
        <w:lang w:val="es-ES"/>
      </w:rPr>
      <w:t>s de la reuni</w:t>
    </w:r>
    <w:r w:rsidR="007C4E46" w:rsidRPr="00111700">
      <w:rPr>
        <w:sz w:val="20"/>
        <w:szCs w:val="20"/>
        <w:lang w:val="es-ES"/>
      </w:rPr>
      <w:t>ó</w:t>
    </w:r>
    <w:r w:rsidR="00E5240A" w:rsidRPr="00111700">
      <w:rPr>
        <w:sz w:val="20"/>
        <w:szCs w:val="20"/>
        <w:lang w:val="es-ES"/>
      </w:rPr>
      <w:t xml:space="preserve">n </w:t>
    </w:r>
    <w:r w:rsidR="005E05E4" w:rsidRPr="00111700">
      <w:rPr>
        <w:sz w:val="20"/>
        <w:szCs w:val="20"/>
        <w:lang w:val="es-ES"/>
      </w:rPr>
      <w:t>SC60</w:t>
    </w:r>
    <w:r>
      <w:rPr>
        <w:sz w:val="20"/>
        <w:szCs w:val="20"/>
        <w:lang w:val="es-ES"/>
      </w:rPr>
      <w:tab/>
    </w:r>
    <w:r>
      <w:rPr>
        <w:sz w:val="20"/>
        <w:szCs w:val="20"/>
        <w:lang w:val="es-ES"/>
      </w:rPr>
      <w:tab/>
    </w:r>
    <w:r w:rsidRPr="001C682F">
      <w:rPr>
        <w:sz w:val="20"/>
        <w:szCs w:val="20"/>
        <w:lang w:val="es-ES"/>
      </w:rPr>
      <w:fldChar w:fldCharType="begin"/>
    </w:r>
    <w:r w:rsidRPr="001C682F">
      <w:rPr>
        <w:sz w:val="20"/>
        <w:szCs w:val="20"/>
        <w:lang w:val="es-ES"/>
      </w:rPr>
      <w:instrText xml:space="preserve"> PAGE   \* MERGEFORMAT </w:instrText>
    </w:r>
    <w:r w:rsidRPr="001C682F">
      <w:rPr>
        <w:sz w:val="20"/>
        <w:szCs w:val="20"/>
        <w:lang w:val="es-ES"/>
      </w:rPr>
      <w:fldChar w:fldCharType="separate"/>
    </w:r>
    <w:r>
      <w:rPr>
        <w:noProof/>
        <w:sz w:val="20"/>
        <w:szCs w:val="20"/>
        <w:lang w:val="es-ES"/>
      </w:rPr>
      <w:t>2</w:t>
    </w:r>
    <w:r w:rsidRPr="001C682F">
      <w:rPr>
        <w:noProof/>
        <w:sz w:val="20"/>
        <w:szCs w:val="20"/>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1EB1" w14:textId="28DB4BC1" w:rsidR="005E05E4" w:rsidRDefault="005E05E4" w:rsidP="00DD6B5C">
    <w:pPr>
      <w:pStyle w:val="Footer"/>
      <w:tabs>
        <w:tab w:val="clear" w:pos="4680"/>
        <w:tab w:val="clear" w:pos="9360"/>
        <w:tab w:val="left" w:pos="747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0F581" w14:textId="77777777" w:rsidR="00104209" w:rsidRDefault="00104209" w:rsidP="005E05E4">
      <w:pPr>
        <w:spacing w:after="0" w:line="240" w:lineRule="auto"/>
      </w:pPr>
      <w:r>
        <w:separator/>
      </w:r>
    </w:p>
  </w:footnote>
  <w:footnote w:type="continuationSeparator" w:id="0">
    <w:p w14:paraId="7A00E530" w14:textId="77777777" w:rsidR="00104209" w:rsidRDefault="00104209" w:rsidP="005E0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3085"/>
    <w:multiLevelType w:val="multilevel"/>
    <w:tmpl w:val="2A00A584"/>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 w15:restartNumberingAfterBreak="0">
    <w:nsid w:val="39884679"/>
    <w:multiLevelType w:val="multilevel"/>
    <w:tmpl w:val="C392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B761E"/>
    <w:multiLevelType w:val="multilevel"/>
    <w:tmpl w:val="5966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8B"/>
    <w:rsid w:val="00002732"/>
    <w:rsid w:val="000103CE"/>
    <w:rsid w:val="000259EB"/>
    <w:rsid w:val="00065B16"/>
    <w:rsid w:val="000B12BB"/>
    <w:rsid w:val="000B4535"/>
    <w:rsid w:val="00104209"/>
    <w:rsid w:val="00111700"/>
    <w:rsid w:val="00134A4B"/>
    <w:rsid w:val="0013778A"/>
    <w:rsid w:val="001A1DFD"/>
    <w:rsid w:val="001B3461"/>
    <w:rsid w:val="001C682F"/>
    <w:rsid w:val="001E7F0C"/>
    <w:rsid w:val="001F63CB"/>
    <w:rsid w:val="00232C65"/>
    <w:rsid w:val="00235E33"/>
    <w:rsid w:val="0024747F"/>
    <w:rsid w:val="00287042"/>
    <w:rsid w:val="002A3E41"/>
    <w:rsid w:val="002C612B"/>
    <w:rsid w:val="002C7844"/>
    <w:rsid w:val="002D42F9"/>
    <w:rsid w:val="002E5E28"/>
    <w:rsid w:val="002F1677"/>
    <w:rsid w:val="002F4D10"/>
    <w:rsid w:val="003066DB"/>
    <w:rsid w:val="00324341"/>
    <w:rsid w:val="00352BEC"/>
    <w:rsid w:val="00357B7A"/>
    <w:rsid w:val="00397978"/>
    <w:rsid w:val="003A65A4"/>
    <w:rsid w:val="00407C0F"/>
    <w:rsid w:val="0045019E"/>
    <w:rsid w:val="00455AF1"/>
    <w:rsid w:val="00477376"/>
    <w:rsid w:val="00482201"/>
    <w:rsid w:val="00487A3A"/>
    <w:rsid w:val="004A15AD"/>
    <w:rsid w:val="004A56E1"/>
    <w:rsid w:val="004C07B7"/>
    <w:rsid w:val="004C3A5A"/>
    <w:rsid w:val="004E5B03"/>
    <w:rsid w:val="00507723"/>
    <w:rsid w:val="005550B5"/>
    <w:rsid w:val="00565EA0"/>
    <w:rsid w:val="00584CB0"/>
    <w:rsid w:val="005B30BC"/>
    <w:rsid w:val="005E05E4"/>
    <w:rsid w:val="006037B6"/>
    <w:rsid w:val="006F26A6"/>
    <w:rsid w:val="006F4748"/>
    <w:rsid w:val="00774BD9"/>
    <w:rsid w:val="007A697B"/>
    <w:rsid w:val="007C4E46"/>
    <w:rsid w:val="007C6ADA"/>
    <w:rsid w:val="00811F69"/>
    <w:rsid w:val="00821BFF"/>
    <w:rsid w:val="00831315"/>
    <w:rsid w:val="00837524"/>
    <w:rsid w:val="00871FA5"/>
    <w:rsid w:val="0087227F"/>
    <w:rsid w:val="00875494"/>
    <w:rsid w:val="00875C6C"/>
    <w:rsid w:val="00883434"/>
    <w:rsid w:val="008931F1"/>
    <w:rsid w:val="008948FF"/>
    <w:rsid w:val="008A767D"/>
    <w:rsid w:val="008C2698"/>
    <w:rsid w:val="009024D9"/>
    <w:rsid w:val="009164D9"/>
    <w:rsid w:val="00922C56"/>
    <w:rsid w:val="009515E9"/>
    <w:rsid w:val="0097575B"/>
    <w:rsid w:val="009A727B"/>
    <w:rsid w:val="009B0606"/>
    <w:rsid w:val="009C297A"/>
    <w:rsid w:val="009C6FAA"/>
    <w:rsid w:val="00A00733"/>
    <w:rsid w:val="00A01EF1"/>
    <w:rsid w:val="00A35B73"/>
    <w:rsid w:val="00A37C40"/>
    <w:rsid w:val="00A8274B"/>
    <w:rsid w:val="00A85B33"/>
    <w:rsid w:val="00AB1835"/>
    <w:rsid w:val="00AD0D98"/>
    <w:rsid w:val="00B075BE"/>
    <w:rsid w:val="00B37DEF"/>
    <w:rsid w:val="00B6668B"/>
    <w:rsid w:val="00B92D30"/>
    <w:rsid w:val="00B96696"/>
    <w:rsid w:val="00BA431A"/>
    <w:rsid w:val="00BA6110"/>
    <w:rsid w:val="00BE0CCC"/>
    <w:rsid w:val="00BE6B33"/>
    <w:rsid w:val="00C2038C"/>
    <w:rsid w:val="00C54608"/>
    <w:rsid w:val="00C643B8"/>
    <w:rsid w:val="00C878F5"/>
    <w:rsid w:val="00C87E40"/>
    <w:rsid w:val="00CA4DF5"/>
    <w:rsid w:val="00CC7DD8"/>
    <w:rsid w:val="00D000D5"/>
    <w:rsid w:val="00D14EE1"/>
    <w:rsid w:val="00D1516E"/>
    <w:rsid w:val="00D22F51"/>
    <w:rsid w:val="00D451A8"/>
    <w:rsid w:val="00D47384"/>
    <w:rsid w:val="00D521C1"/>
    <w:rsid w:val="00D71884"/>
    <w:rsid w:val="00D86E4A"/>
    <w:rsid w:val="00D97BEB"/>
    <w:rsid w:val="00DA030D"/>
    <w:rsid w:val="00DB3059"/>
    <w:rsid w:val="00DC07AC"/>
    <w:rsid w:val="00DC0EA9"/>
    <w:rsid w:val="00DD1186"/>
    <w:rsid w:val="00DD6B5C"/>
    <w:rsid w:val="00DF753C"/>
    <w:rsid w:val="00E465E1"/>
    <w:rsid w:val="00E5240A"/>
    <w:rsid w:val="00E6568D"/>
    <w:rsid w:val="00EA6DE6"/>
    <w:rsid w:val="00EB2664"/>
    <w:rsid w:val="00EC7D63"/>
    <w:rsid w:val="00ED44A9"/>
    <w:rsid w:val="00F2359D"/>
    <w:rsid w:val="00F3433E"/>
    <w:rsid w:val="00F53118"/>
    <w:rsid w:val="00FE2C52"/>
    <w:rsid w:val="00FE3FF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300257"/>
  <w15:docId w15:val="{6588CE4F-1144-4927-B895-E2616AE9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8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91148C"/>
    <w:pPr>
      <w:spacing w:after="200" w:line="276" w:lineRule="auto"/>
      <w:ind w:left="720"/>
      <w:contextualSpacing/>
    </w:pPr>
    <w:rPr>
      <w:rFonts w:cs="Times New Roman"/>
      <w:lang w:val="en-GB"/>
    </w:rPr>
  </w:style>
  <w:style w:type="paragraph" w:styleId="Header">
    <w:name w:val="header"/>
    <w:basedOn w:val="Normal"/>
    <w:link w:val="HeaderChar"/>
    <w:uiPriority w:val="99"/>
    <w:unhideWhenUsed/>
    <w:rsid w:val="00911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8C"/>
  </w:style>
  <w:style w:type="paragraph" w:styleId="Footer">
    <w:name w:val="footer"/>
    <w:basedOn w:val="Normal"/>
    <w:link w:val="FooterChar"/>
    <w:uiPriority w:val="99"/>
    <w:unhideWhenUsed/>
    <w:rsid w:val="00911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8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E5E28"/>
    <w:pPr>
      <w:spacing w:after="0" w:line="240" w:lineRule="auto"/>
    </w:pPr>
  </w:style>
  <w:style w:type="paragraph" w:styleId="CommentSubject">
    <w:name w:val="annotation subject"/>
    <w:basedOn w:val="CommentText"/>
    <w:next w:val="CommentText"/>
    <w:link w:val="CommentSubjectChar"/>
    <w:uiPriority w:val="99"/>
    <w:semiHidden/>
    <w:unhideWhenUsed/>
    <w:rsid w:val="009B0606"/>
    <w:rPr>
      <w:b/>
      <w:bCs/>
    </w:rPr>
  </w:style>
  <w:style w:type="character" w:customStyle="1" w:styleId="CommentSubjectChar">
    <w:name w:val="Comment Subject Char"/>
    <w:basedOn w:val="CommentTextChar"/>
    <w:link w:val="CommentSubject"/>
    <w:uiPriority w:val="99"/>
    <w:semiHidden/>
    <w:rsid w:val="009B0606"/>
    <w:rPr>
      <w:b/>
      <w:bCs/>
      <w:sz w:val="20"/>
      <w:szCs w:val="20"/>
    </w:rPr>
  </w:style>
  <w:style w:type="paragraph" w:styleId="NormalWeb">
    <w:name w:val="Normal (Web)"/>
    <w:basedOn w:val="Normal"/>
    <w:uiPriority w:val="99"/>
    <w:semiHidden/>
    <w:unhideWhenUsed/>
    <w:rsid w:val="00875C6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PageNumber">
    <w:name w:val="page number"/>
    <w:basedOn w:val="DefaultParagraphFont"/>
    <w:uiPriority w:val="99"/>
    <w:semiHidden/>
    <w:unhideWhenUsed/>
    <w:rsid w:val="005E05E4"/>
  </w:style>
  <w:style w:type="paragraph" w:styleId="BalloonText">
    <w:name w:val="Balloon Text"/>
    <w:basedOn w:val="Normal"/>
    <w:link w:val="BalloonTextChar"/>
    <w:uiPriority w:val="99"/>
    <w:semiHidden/>
    <w:unhideWhenUsed/>
    <w:rsid w:val="005B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0BC"/>
    <w:rPr>
      <w:rFonts w:ascii="Segoe UI" w:hAnsi="Segoe UI" w:cs="Segoe UI"/>
      <w:sz w:val="18"/>
      <w:szCs w:val="18"/>
    </w:rPr>
  </w:style>
  <w:style w:type="character" w:styleId="Emphasis">
    <w:name w:val="Emphasis"/>
    <w:basedOn w:val="DefaultParagraphFont"/>
    <w:uiPriority w:val="20"/>
    <w:qFormat/>
    <w:rsid w:val="00A827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5114">
      <w:bodyDiv w:val="1"/>
      <w:marLeft w:val="0"/>
      <w:marRight w:val="0"/>
      <w:marTop w:val="0"/>
      <w:marBottom w:val="0"/>
      <w:divBdr>
        <w:top w:val="none" w:sz="0" w:space="0" w:color="auto"/>
        <w:left w:val="none" w:sz="0" w:space="0" w:color="auto"/>
        <w:bottom w:val="none" w:sz="0" w:space="0" w:color="auto"/>
        <w:right w:val="none" w:sz="0" w:space="0" w:color="auto"/>
      </w:divBdr>
    </w:div>
    <w:div w:id="845708455">
      <w:bodyDiv w:val="1"/>
      <w:marLeft w:val="0"/>
      <w:marRight w:val="0"/>
      <w:marTop w:val="0"/>
      <w:marBottom w:val="0"/>
      <w:divBdr>
        <w:top w:val="none" w:sz="0" w:space="0" w:color="auto"/>
        <w:left w:val="none" w:sz="0" w:space="0" w:color="auto"/>
        <w:bottom w:val="none" w:sz="0" w:space="0" w:color="auto"/>
        <w:right w:val="none" w:sz="0" w:space="0" w:color="auto"/>
      </w:divBdr>
    </w:div>
    <w:div w:id="1586263998">
      <w:bodyDiv w:val="1"/>
      <w:marLeft w:val="0"/>
      <w:marRight w:val="0"/>
      <w:marTop w:val="0"/>
      <w:marBottom w:val="0"/>
      <w:divBdr>
        <w:top w:val="none" w:sz="0" w:space="0" w:color="auto"/>
        <w:left w:val="none" w:sz="0" w:space="0" w:color="auto"/>
        <w:bottom w:val="none" w:sz="0" w:space="0" w:color="auto"/>
        <w:right w:val="none" w:sz="0" w:space="0" w:color="auto"/>
      </w:divBdr>
    </w:div>
    <w:div w:id="1645692783">
      <w:bodyDiv w:val="1"/>
      <w:marLeft w:val="0"/>
      <w:marRight w:val="0"/>
      <w:marTop w:val="0"/>
      <w:marBottom w:val="0"/>
      <w:divBdr>
        <w:top w:val="none" w:sz="0" w:space="0" w:color="auto"/>
        <w:left w:val="none" w:sz="0" w:space="0" w:color="auto"/>
        <w:bottom w:val="none" w:sz="0" w:space="0" w:color="auto"/>
        <w:right w:val="none" w:sz="0" w:space="0" w:color="auto"/>
      </w:divBdr>
    </w:div>
    <w:div w:id="1947078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K+nbgkZRXK82qGvFD4FtBxTBJRQ==">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04F2-7F08-41CF-9D31-86128F50910E}">
  <ds:schemaRefs>
    <ds:schemaRef ds:uri="http://purl.org/dc/dcmitype/"/>
    <ds:schemaRef ds:uri="http://schemas.microsoft.com/office/infopath/2007/PartnerControls"/>
    <ds:schemaRef ds:uri="ed13e1a4-03b5-44b7-a6ed-2799c47f2e9b"/>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c82bae87-54d2-4d35-9c82-c5c937f47684"/>
    <ds:schemaRef ds:uri="http://purl.org/dc/elements/1.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4160597-B12A-4894-96F9-19DD24C75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09C71-B831-4B85-8058-520E32FC1CB5}">
  <ds:schemaRefs>
    <ds:schemaRef ds:uri="http://schemas.microsoft.com/sharepoint/v3/contenttype/forms"/>
  </ds:schemaRefs>
</ds:datastoreItem>
</file>

<file path=customXml/itemProps5.xml><?xml version="1.0" encoding="utf-8"?>
<ds:datastoreItem xmlns:ds="http://schemas.openxmlformats.org/officeDocument/2006/customXml" ds:itemID="{960D3DC1-7B24-498F-976C-5A4DD0D8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Asterios Tsioumanis</dc:creator>
  <cp:lastModifiedBy>Ed Jennings</cp:lastModifiedBy>
  <cp:revision>2</cp:revision>
  <dcterms:created xsi:type="dcterms:W3CDTF">2022-11-08T16:00:00Z</dcterms:created>
  <dcterms:modified xsi:type="dcterms:W3CDTF">2022-11-08T16:00:00Z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