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EC478" w14:textId="09F5F8EA" w:rsidR="00E703EF" w:rsidRPr="00BF0CB6" w:rsidRDefault="009537A9" w:rsidP="00FF08ED">
      <w:pPr>
        <w:widowControl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autoSpaceDN/>
        <w:ind w:right="2790"/>
        <w:textAlignment w:val="auto"/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</w:pPr>
      <w:r w:rsidRPr="00BF0CB6"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  <w:t>LA CONVENCIÓN SOBRE LOS HUMEDALES</w:t>
      </w:r>
    </w:p>
    <w:p w14:paraId="7C23D521" w14:textId="67AB10FC" w:rsidR="00E703EF" w:rsidRPr="00BF0CB6" w:rsidRDefault="009537A9" w:rsidP="00FF08ED">
      <w:pPr>
        <w:widowControl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autoSpaceDN/>
        <w:ind w:right="2790"/>
        <w:textAlignment w:val="auto"/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</w:pPr>
      <w:r w:rsidRPr="00BF0CB6"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  <w:t>61</w:t>
      </w:r>
      <w:r w:rsidR="009644EE" w:rsidRPr="00BF0CB6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ª</w:t>
      </w:r>
      <w:r w:rsidRPr="00BF0CB6"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  <w:t xml:space="preserve"> Reunión del Comité Permanente </w:t>
      </w:r>
    </w:p>
    <w:p w14:paraId="05B45345" w14:textId="62D9AF4F" w:rsidR="00E703EF" w:rsidRPr="00BF0CB6" w:rsidRDefault="009537A9" w:rsidP="00FF08ED">
      <w:pPr>
        <w:widowControl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autoSpaceDN/>
        <w:ind w:right="2790"/>
        <w:textAlignment w:val="auto"/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</w:pPr>
      <w:r w:rsidRPr="00BF0CB6"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  <w:t>Ginebra</w:t>
      </w:r>
      <w:r w:rsidR="00E703EF" w:rsidRPr="00BF0CB6"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  <w:t xml:space="preserve">, </w:t>
      </w:r>
      <w:r w:rsidRPr="00BF0CB6"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  <w:t>Suiza</w:t>
      </w:r>
      <w:r w:rsidR="00E703EF" w:rsidRPr="00BF0CB6"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  <w:t xml:space="preserve">, </w:t>
      </w:r>
      <w:r w:rsidR="003E287A" w:rsidRPr="00BF0CB6"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  <w:t xml:space="preserve">13 </w:t>
      </w:r>
      <w:r w:rsidRPr="00BF0CB6"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  <w:t xml:space="preserve">de noviembre de </w:t>
      </w:r>
      <w:r w:rsidR="003E287A" w:rsidRPr="00BF0CB6"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  <w:t>2022</w:t>
      </w:r>
    </w:p>
    <w:p w14:paraId="71EB3057" w14:textId="77777777" w:rsidR="00E703EF" w:rsidRPr="00BF0CB6" w:rsidRDefault="00E703EF" w:rsidP="00FF08ED">
      <w:pPr>
        <w:pStyle w:val="Standard"/>
        <w:rPr>
          <w:rFonts w:asciiTheme="minorHAnsi" w:hAnsiTheme="minorHAnsi" w:cstheme="minorHAnsi"/>
          <w:b/>
          <w:bCs/>
          <w:noProof/>
          <w:lang w:val="es-ES"/>
        </w:rPr>
      </w:pPr>
    </w:p>
    <w:p w14:paraId="66AA753C" w14:textId="77777777" w:rsidR="00E703EF" w:rsidRPr="00BF0CB6" w:rsidRDefault="00E703EF" w:rsidP="00FF08ED">
      <w:pPr>
        <w:pStyle w:val="Standard"/>
        <w:rPr>
          <w:rFonts w:asciiTheme="minorHAnsi" w:hAnsiTheme="minorHAnsi" w:cstheme="minorHAnsi"/>
          <w:b/>
          <w:bCs/>
          <w:noProof/>
          <w:lang w:val="es-ES"/>
        </w:rPr>
      </w:pPr>
    </w:p>
    <w:p w14:paraId="6168E1CE" w14:textId="4F718DA4" w:rsidR="009644EE" w:rsidRPr="00BF0CB6" w:rsidRDefault="005367DC" w:rsidP="00FF08ED">
      <w:pPr>
        <w:pStyle w:val="Standard"/>
        <w:jc w:val="center"/>
        <w:rPr>
          <w:rFonts w:asciiTheme="minorHAnsi" w:hAnsiTheme="minorHAnsi" w:cstheme="minorHAnsi"/>
          <w:b/>
          <w:bCs/>
          <w:noProof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:lang w:val="es-ES"/>
        </w:rPr>
        <w:t>D</w:t>
      </w:r>
      <w:r w:rsidR="009644EE" w:rsidRPr="00BF0CB6">
        <w:rPr>
          <w:rFonts w:asciiTheme="minorHAnsi" w:hAnsiTheme="minorHAnsi" w:cstheme="minorHAnsi"/>
          <w:b/>
          <w:bCs/>
          <w:noProof/>
          <w:sz w:val="28"/>
          <w:szCs w:val="28"/>
          <w:lang w:val="es-ES"/>
        </w:rPr>
        <w:t>ecisiones de la 61ª Reunión del Comité Permanente</w:t>
      </w:r>
    </w:p>
    <w:p w14:paraId="7CE22B17" w14:textId="77777777" w:rsidR="00AA14C7" w:rsidRPr="00BF0CB6" w:rsidRDefault="00AA14C7" w:rsidP="00FF08ED">
      <w:pPr>
        <w:pStyle w:val="Standard"/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</w:pPr>
    </w:p>
    <w:p w14:paraId="48CD6A37" w14:textId="77777777" w:rsidR="00A1167C" w:rsidRDefault="00A1167C" w:rsidP="00FF08ED">
      <w:pPr>
        <w:pStyle w:val="Standard"/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</w:pPr>
    </w:p>
    <w:p w14:paraId="692F1131" w14:textId="4D32BBAA" w:rsidR="00307435" w:rsidRPr="00BF0CB6" w:rsidRDefault="007E26A7" w:rsidP="00FF08ED">
      <w:pPr>
        <w:widowControl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autoSpaceDN/>
        <w:contextualSpacing/>
        <w:textAlignment w:val="auto"/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</w:pPr>
      <w:r w:rsidRPr="00BF0CB6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>Punto 2 del orden del día: Adopción del orden del día provisional</w:t>
      </w:r>
    </w:p>
    <w:p w14:paraId="294332A7" w14:textId="77777777" w:rsidR="00E560B5" w:rsidRPr="00BF0CB6" w:rsidRDefault="00E560B5" w:rsidP="00FF08ED">
      <w:pPr>
        <w:pStyle w:val="Standard"/>
        <w:ind w:left="567" w:hanging="567"/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</w:pPr>
    </w:p>
    <w:p w14:paraId="70EEE7F6" w14:textId="3AE0C565" w:rsidR="003A1331" w:rsidRPr="00BF0CB6" w:rsidRDefault="003A1331" w:rsidP="00FF08ED">
      <w:pPr>
        <w:pStyle w:val="Standard"/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</w:pPr>
      <w:r w:rsidRPr="00BF0CB6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 xml:space="preserve">Decisión SC61-01: El Comité Permanente aprobó el orden del día que figura en el documento SC61 Doc.2, indicando que los grupos de trabajo establecidos o restablecidos en virtud de las resoluciones de la COP14 se analizarían en el punto 5 del orden del día, </w:t>
      </w:r>
      <w:r w:rsidRPr="00BF0CB6">
        <w:rPr>
          <w:rFonts w:asciiTheme="minorHAnsi" w:hAnsiTheme="minorHAnsi" w:cstheme="minorHAnsi"/>
          <w:b/>
          <w:bCs/>
          <w:i/>
          <w:iCs/>
          <w:noProof/>
          <w:color w:val="000000"/>
          <w:sz w:val="22"/>
          <w:szCs w:val="22"/>
          <w:lang w:val="es-ES"/>
        </w:rPr>
        <w:t xml:space="preserve">Establecimiento de otros subgrupos y grupos de trabajo </w:t>
      </w:r>
      <w:r w:rsidRPr="00BF0CB6">
        <w:rPr>
          <w:rFonts w:asciiTheme="minorHAnsi" w:hAnsiTheme="minorHAnsi" w:cstheme="minorBidi"/>
          <w:b/>
          <w:bCs/>
          <w:i/>
          <w:iCs/>
          <w:noProof/>
          <w:sz w:val="22"/>
          <w:szCs w:val="22"/>
          <w:lang w:val="es-ES"/>
        </w:rPr>
        <w:t>(según sea necesario)</w:t>
      </w:r>
      <w:r w:rsidRPr="00BF0CB6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.</w:t>
      </w:r>
    </w:p>
    <w:p w14:paraId="68F9215D" w14:textId="77777777" w:rsidR="00307435" w:rsidRPr="00BF0CB6" w:rsidRDefault="00307435" w:rsidP="00FF08ED">
      <w:pPr>
        <w:pStyle w:val="Standard"/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</w:pPr>
    </w:p>
    <w:p w14:paraId="2B0010C7" w14:textId="77777777" w:rsidR="00C86A4B" w:rsidRDefault="00C86A4B" w:rsidP="00C86A4B">
      <w:pPr>
        <w:widowControl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</w:pPr>
      <w:r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 xml:space="preserve">Punto 3a del orden del día: </w:t>
      </w:r>
      <w:r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Nombramiento de la Presidencia del Comité Permanente</w:t>
      </w:r>
    </w:p>
    <w:p w14:paraId="2A3D2C9F" w14:textId="77777777" w:rsidR="00252E2A" w:rsidRPr="00BF0CB6" w:rsidRDefault="00252E2A" w:rsidP="00FF08ED">
      <w:pPr>
        <w:pStyle w:val="Standard"/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</w:pPr>
    </w:p>
    <w:p w14:paraId="3FF3B345" w14:textId="00D1D3E0" w:rsidR="003A1331" w:rsidRPr="00BF0CB6" w:rsidRDefault="003A1331" w:rsidP="00FF08ED">
      <w:pPr>
        <w:pStyle w:val="Standard"/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</w:pPr>
      <w:r w:rsidRPr="00BF0CB6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 xml:space="preserve">Decisión SC61-02: Se </w:t>
      </w:r>
      <w:r w:rsidR="00927C3F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designó</w:t>
      </w:r>
      <w:r w:rsidRPr="00BF0CB6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 xml:space="preserve"> a China como Presidencia del Comité Permanente.</w:t>
      </w:r>
    </w:p>
    <w:p w14:paraId="2D8FCE86" w14:textId="2E94EBFF" w:rsidR="00492172" w:rsidRDefault="00492172" w:rsidP="00FF08ED">
      <w:pPr>
        <w:pStyle w:val="Standard"/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</w:pPr>
    </w:p>
    <w:p w14:paraId="37D102C0" w14:textId="77777777" w:rsidR="00C86A4B" w:rsidRDefault="00C86A4B" w:rsidP="00C86A4B">
      <w:pPr>
        <w:widowControl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</w:pPr>
      <w:r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>Punto 3b del orden del día: Nombramiento de la Vicepresidencia del Comité Permanente</w:t>
      </w:r>
    </w:p>
    <w:p w14:paraId="1653F2A1" w14:textId="77777777" w:rsidR="00492172" w:rsidRPr="00BF0CB6" w:rsidRDefault="00492172" w:rsidP="00FF08ED">
      <w:pPr>
        <w:pStyle w:val="Standard"/>
        <w:rPr>
          <w:rFonts w:asciiTheme="minorHAnsi" w:hAnsiTheme="minorHAnsi" w:cstheme="minorHAnsi"/>
          <w:noProof/>
          <w:sz w:val="22"/>
          <w:szCs w:val="22"/>
          <w:lang w:val="es-ES"/>
        </w:rPr>
      </w:pPr>
    </w:p>
    <w:p w14:paraId="18BE1621" w14:textId="1308F6D8" w:rsidR="00927C3F" w:rsidRDefault="00927C3F" w:rsidP="00FF08ED">
      <w:pPr>
        <w:pStyle w:val="Standard"/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</w:pPr>
      <w:r w:rsidRPr="00927C3F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 xml:space="preserve">Decisión SC61-03: </w:t>
      </w:r>
      <w:r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 xml:space="preserve">Se designó al </w:t>
      </w:r>
      <w:r w:rsidRPr="00927C3F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Gabón como Vicepresiden</w:t>
      </w:r>
      <w:r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cia</w:t>
      </w:r>
      <w:r w:rsidRPr="00927C3F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 xml:space="preserve"> del Comité Permanente.</w:t>
      </w:r>
    </w:p>
    <w:p w14:paraId="78CC4625" w14:textId="77777777" w:rsidR="00307435" w:rsidRPr="00BF0CB6" w:rsidRDefault="00307435" w:rsidP="00FF08ED">
      <w:pPr>
        <w:pStyle w:val="Standard"/>
        <w:rPr>
          <w:rFonts w:asciiTheme="minorHAnsi" w:hAnsiTheme="minorHAnsi" w:cstheme="minorHAnsi"/>
          <w:b/>
          <w:bCs/>
          <w:noProof/>
          <w:sz w:val="22"/>
          <w:szCs w:val="22"/>
          <w:highlight w:val="lightGray"/>
          <w:lang w:val="es-ES"/>
        </w:rPr>
      </w:pPr>
    </w:p>
    <w:p w14:paraId="4FABFA2B" w14:textId="2A038E63" w:rsidR="00307435" w:rsidRPr="00BF0CB6" w:rsidRDefault="007E26A7" w:rsidP="00FF08ED">
      <w:pPr>
        <w:widowControl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autoSpaceDN/>
        <w:contextualSpacing/>
        <w:textAlignment w:val="auto"/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</w:pPr>
      <w:r w:rsidRPr="00BF0CB6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 xml:space="preserve">Punto 4 del orden del día: </w:t>
      </w:r>
      <w:r w:rsidRPr="00BF0CB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Nombramiento </w:t>
      </w:r>
      <w:r w:rsidRPr="00BF0CB6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de la Presidencia y miembros</w:t>
      </w:r>
      <w:r w:rsidRPr="00BF0CB6">
        <w:rPr>
          <w:rFonts w:asciiTheme="minorHAnsi" w:hAnsiTheme="minorHAnsi" w:cstheme="minorHAnsi"/>
          <w:bCs/>
          <w:noProof/>
          <w:color w:val="000000"/>
          <w:sz w:val="22"/>
          <w:szCs w:val="22"/>
          <w:lang w:val="es-ES"/>
        </w:rPr>
        <w:t xml:space="preserve"> </w:t>
      </w:r>
      <w:r w:rsidRPr="00BF0CB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del Subgrupo de Finanzas</w:t>
      </w:r>
    </w:p>
    <w:p w14:paraId="181C8FF0" w14:textId="77777777" w:rsidR="005977BC" w:rsidRPr="00BF0CB6" w:rsidRDefault="005977BC" w:rsidP="00FF08ED">
      <w:pPr>
        <w:pStyle w:val="Standard"/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</w:pPr>
    </w:p>
    <w:p w14:paraId="0889DFB6" w14:textId="37BA7DC6" w:rsidR="008B03EF" w:rsidRDefault="008B03EF" w:rsidP="00FF08ED">
      <w:pPr>
        <w:pStyle w:val="Standard"/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</w:pPr>
      <w:r w:rsidRPr="008B03E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Decisión SC61-04: El Comité Permanente 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designó</w:t>
      </w:r>
      <w:r w:rsidRPr="008B03E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a las siguientes Partes </w:t>
      </w:r>
      <w:r w:rsidR="003245E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C</w:t>
      </w:r>
      <w:r w:rsidRPr="008B03E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ontratantes como miembros del Subgrupo de Finanzas</w:t>
      </w:r>
      <w:r w:rsidR="003245E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, observando </w:t>
      </w:r>
      <w:r w:rsidRPr="008B03E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que </w:t>
      </w:r>
      <w:r w:rsidR="003245E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las Partes que estuvieran interesadas podían constituir </w:t>
      </w:r>
      <w:r w:rsidRPr="008B03E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el Subgrupo</w:t>
      </w:r>
      <w:r w:rsidR="003245E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: </w:t>
      </w:r>
      <w:r w:rsidRPr="008B03E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Marruecos en representación de la región de África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, el</w:t>
      </w:r>
      <w:r w:rsidRPr="008B03E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Japón en representación de la región de Asia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,</w:t>
      </w:r>
      <w:r w:rsidRPr="008B03E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Georgia</w:t>
      </w:r>
      <w:r w:rsidR="00D173E8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(en caso de que acept</w:t>
      </w:r>
      <w:r w:rsidR="00350BB9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ara</w:t>
      </w:r>
      <w:r w:rsidR="00D173E8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este nombramiento)</w:t>
      </w:r>
      <w:r w:rsidRPr="008B03E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en representación de la región de Europa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</w:t>
      </w:r>
      <w:r w:rsidR="00D173E8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(tras recibir</w:t>
      </w:r>
      <w:r w:rsidR="00350BB9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se</w:t>
      </w:r>
      <w:r w:rsidR="00D173E8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la </w:t>
      </w:r>
      <w:r w:rsidRPr="008B03E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confirmación</w:t>
      </w:r>
      <w:r w:rsidR="00D173E8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)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,</w:t>
      </w:r>
      <w:r w:rsidRPr="008B03E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el </w:t>
      </w:r>
      <w:r w:rsidRPr="008B03E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Brasil en representación de la región de América Latina y el Caribe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, los</w:t>
      </w:r>
      <w:r w:rsidRPr="008B03E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Estados Unidos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de América</w:t>
      </w:r>
      <w:r w:rsidRPr="008B03E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en representación de la región de América del Norte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,</w:t>
      </w:r>
      <w:r w:rsidRPr="008B03E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Australia en representación de la región de Oceanía</w:t>
      </w:r>
      <w:r w:rsidR="00E560B5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y </w:t>
      </w:r>
      <w:r w:rsidR="003115D3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México, como Presidencia saliente del Subgrupo de Finanzas</w:t>
      </w:r>
      <w:r w:rsidRPr="008B03E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. China, Panamá</w:t>
      </w:r>
      <w:r w:rsidR="003115D3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, Suiza</w:t>
      </w:r>
      <w:r w:rsidRPr="008B03E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y 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el </w:t>
      </w:r>
      <w:r w:rsidRPr="008B03E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Togo expresaron interés en </w:t>
      </w:r>
      <w:r w:rsidR="00F51CE1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formar parte del</w:t>
      </w:r>
      <w:r w:rsidRPr="008B03E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Subgrupo de Finanzas.</w:t>
      </w:r>
    </w:p>
    <w:p w14:paraId="2962D098" w14:textId="77777777" w:rsidR="008B03EF" w:rsidRDefault="008B03EF" w:rsidP="00FF08ED">
      <w:pPr>
        <w:pStyle w:val="Standard"/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</w:pPr>
    </w:p>
    <w:p w14:paraId="5719C9BE" w14:textId="6B90340F" w:rsidR="003245EE" w:rsidRPr="00BF0CB6" w:rsidRDefault="003245EE" w:rsidP="00FF08ED">
      <w:pPr>
        <w:pStyle w:val="Standard"/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</w:pPr>
      <w:r w:rsidRPr="00A90365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Decisión SC61-05: El Comité Permanente </w:t>
      </w:r>
      <w:r w:rsidR="00327E1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acordó</w:t>
      </w:r>
      <w:r w:rsidRPr="00A90365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</w:t>
      </w:r>
      <w:r w:rsidR="00F51CE1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postergar</w:t>
      </w:r>
      <w:r w:rsidRPr="00A90365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la elección del Presidente del Subgrupo de Finanzas hasta que los miembros del Subgrupo pudieran consultar y presentar recomendaciones al Comité Permanente para que </w:t>
      </w:r>
      <w:r w:rsidR="00327E1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e</w:t>
      </w:r>
      <w:r w:rsidRPr="00A90365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ste decid</w:t>
      </w:r>
      <w:r w:rsidR="00327E1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ier</w:t>
      </w:r>
      <w:r w:rsidRPr="00A90365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a por </w:t>
      </w:r>
      <w:r w:rsidR="00327E1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vía</w:t>
      </w:r>
      <w:r w:rsidRPr="00A90365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electrónic</w:t>
      </w:r>
      <w:r w:rsidR="00327E1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a</w:t>
      </w:r>
      <w:r w:rsidRPr="00A90365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.</w:t>
      </w:r>
    </w:p>
    <w:p w14:paraId="18A56298" w14:textId="77777777" w:rsidR="00B01386" w:rsidRPr="00BF0CB6" w:rsidRDefault="00B01386" w:rsidP="00FF08ED">
      <w:pPr>
        <w:pStyle w:val="Standard"/>
        <w:rPr>
          <w:rFonts w:asciiTheme="minorHAnsi" w:hAnsiTheme="minorHAnsi" w:cstheme="minorHAnsi"/>
          <w:b/>
          <w:bCs/>
          <w:noProof/>
          <w:sz w:val="22"/>
          <w:szCs w:val="22"/>
          <w:highlight w:val="lightGray"/>
          <w:lang w:val="es-ES"/>
        </w:rPr>
      </w:pPr>
    </w:p>
    <w:p w14:paraId="64DBFB9A" w14:textId="4BCAEF5B" w:rsidR="007E26A7" w:rsidRPr="00BF0CB6" w:rsidRDefault="007E26A7" w:rsidP="00FF08ED">
      <w:pPr>
        <w:widowControl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autoSpaceDN/>
        <w:contextualSpacing/>
        <w:textAlignment w:val="auto"/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</w:pPr>
      <w:r w:rsidRPr="00BF0CB6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 xml:space="preserve">Punto 5 del orden del día: </w:t>
      </w:r>
      <w:r w:rsidRPr="00BF0CB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Establecimiento de otros subgrupos y grupos de trabajo </w:t>
      </w:r>
      <w:r w:rsidRPr="00BF0CB6">
        <w:rPr>
          <w:rFonts w:asciiTheme="minorHAnsi" w:hAnsiTheme="minorHAnsi" w:cstheme="minorBidi"/>
          <w:noProof/>
          <w:sz w:val="22"/>
          <w:szCs w:val="22"/>
          <w:lang w:val="es-ES"/>
        </w:rPr>
        <w:t>(según sea necesario)</w:t>
      </w:r>
    </w:p>
    <w:p w14:paraId="66B12EEC" w14:textId="7DD57451" w:rsidR="00D173E8" w:rsidRPr="00D173E8" w:rsidRDefault="00D173E8" w:rsidP="00D173E8">
      <w:pPr>
        <w:widowControl/>
        <w:autoSpaceDN/>
        <w:ind w:left="567" w:hanging="567"/>
        <w:textAlignment w:val="auto"/>
        <w:rPr>
          <w:rFonts w:asciiTheme="minorHAnsi" w:eastAsia="Calibri" w:hAnsiTheme="minorHAnsi" w:cs="Times New Roman"/>
          <w:i/>
          <w:iCs/>
          <w:noProof/>
          <w:kern w:val="0"/>
          <w:sz w:val="22"/>
          <w:szCs w:val="22"/>
          <w:lang w:val="es-ES" w:eastAsia="en-US" w:bidi="ar-SA"/>
        </w:rPr>
      </w:pPr>
    </w:p>
    <w:p w14:paraId="3F4CF747" w14:textId="7E49B785" w:rsidR="00D173E8" w:rsidRPr="00D173E8" w:rsidRDefault="00D173E8" w:rsidP="00D173E8">
      <w:pPr>
        <w:widowControl/>
        <w:autoSpaceDN/>
        <w:ind w:left="567" w:hanging="567"/>
        <w:textAlignment w:val="auto"/>
        <w:rPr>
          <w:rFonts w:asciiTheme="minorHAnsi" w:eastAsia="Calibri" w:hAnsiTheme="minorHAnsi" w:cs="Times New Roman"/>
          <w:i/>
          <w:iCs/>
          <w:noProof/>
          <w:kern w:val="0"/>
          <w:sz w:val="22"/>
          <w:szCs w:val="22"/>
          <w:lang w:val="es-ES" w:eastAsia="en-US" w:bidi="ar-SA"/>
        </w:rPr>
      </w:pPr>
      <w:r w:rsidRPr="00D173E8">
        <w:rPr>
          <w:rFonts w:asciiTheme="minorHAnsi" w:eastAsia="Calibri" w:hAnsiTheme="minorHAnsi" w:cs="Times New Roman"/>
          <w:i/>
          <w:iCs/>
          <w:noProof/>
          <w:kern w:val="0"/>
          <w:sz w:val="22"/>
          <w:szCs w:val="22"/>
          <w:lang w:val="es-ES" w:eastAsia="en-US" w:bidi="ar-SA"/>
        </w:rPr>
        <w:t xml:space="preserve">Grupo de trabajo </w:t>
      </w:r>
      <w:r w:rsidR="00954E2F">
        <w:rPr>
          <w:rFonts w:asciiTheme="minorHAnsi" w:eastAsia="Calibri" w:hAnsiTheme="minorHAnsi" w:cs="Times New Roman"/>
          <w:i/>
          <w:iCs/>
          <w:noProof/>
          <w:kern w:val="0"/>
          <w:sz w:val="22"/>
          <w:szCs w:val="22"/>
          <w:lang w:val="es-ES" w:eastAsia="en-US" w:bidi="ar-SA"/>
        </w:rPr>
        <w:t>de Ramsar sobre</w:t>
      </w:r>
      <w:r w:rsidRPr="00D173E8">
        <w:rPr>
          <w:rFonts w:asciiTheme="minorHAnsi" w:eastAsia="Calibri" w:hAnsiTheme="minorHAnsi" w:cs="Times New Roman"/>
          <w:i/>
          <w:iCs/>
          <w:noProof/>
          <w:kern w:val="0"/>
          <w:sz w:val="22"/>
          <w:szCs w:val="22"/>
          <w:lang w:val="es-ES" w:eastAsia="en-US" w:bidi="ar-SA"/>
        </w:rPr>
        <w:t xml:space="preserve"> </w:t>
      </w:r>
      <w:r w:rsidR="00350BB9">
        <w:rPr>
          <w:rFonts w:asciiTheme="minorHAnsi" w:eastAsia="Calibri" w:hAnsiTheme="minorHAnsi" w:cs="Times New Roman"/>
          <w:i/>
          <w:iCs/>
          <w:noProof/>
          <w:kern w:val="0"/>
          <w:sz w:val="22"/>
          <w:szCs w:val="22"/>
          <w:lang w:val="es-ES" w:eastAsia="en-US" w:bidi="ar-SA"/>
        </w:rPr>
        <w:t>la juventud</w:t>
      </w:r>
    </w:p>
    <w:p w14:paraId="14FDBD52" w14:textId="77777777" w:rsidR="00A30E81" w:rsidRPr="00BF0CB6" w:rsidRDefault="00A30E81" w:rsidP="00BF0CB6">
      <w:pPr>
        <w:widowControl/>
        <w:autoSpaceDN/>
        <w:textAlignment w:val="auto"/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</w:pPr>
    </w:p>
    <w:p w14:paraId="69E71C8B" w14:textId="53B11714" w:rsidR="00B75A4E" w:rsidRDefault="00B75A4E" w:rsidP="00FF08ED">
      <w:pPr>
        <w:widowControl/>
        <w:autoSpaceDN/>
        <w:textAlignment w:val="auto"/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</w:pPr>
      <w:r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Decisión SC61-06: El Comité Permanente 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decidió que</w:t>
      </w:r>
      <w:r w:rsidR="0086612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el</w:t>
      </w:r>
      <w:r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c</w:t>
      </w:r>
      <w:r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oordinador 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nacional para la j</w:t>
      </w:r>
      <w:r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uventud de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la delegación de</w:t>
      </w:r>
      <w:r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Australia 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se desempeñara </w:t>
      </w:r>
      <w:r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como Presidente interino del 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g</w:t>
      </w:r>
      <w:r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rupo de 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t</w:t>
      </w:r>
      <w:r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rabajo 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de Ramsar sobre</w:t>
      </w:r>
      <w:r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la 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j</w:t>
      </w:r>
      <w:r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uventud hasta que sus miembros eligieran al Presidente en su primera reunión.</w:t>
      </w:r>
    </w:p>
    <w:p w14:paraId="2CF3162C" w14:textId="04A670BA" w:rsidR="00E6581A" w:rsidRPr="00BF0CB6" w:rsidRDefault="00E6581A" w:rsidP="00FF08ED">
      <w:pPr>
        <w:widowControl/>
        <w:autoSpaceDN/>
        <w:textAlignment w:val="auto"/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</w:pPr>
    </w:p>
    <w:p w14:paraId="155B46C5" w14:textId="36EF1C05" w:rsidR="00B75A4E" w:rsidRDefault="00B75A4E" w:rsidP="00FF08ED">
      <w:pPr>
        <w:widowControl/>
        <w:autoSpaceDN/>
        <w:textAlignment w:val="auto"/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</w:pPr>
      <w:r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lastRenderedPageBreak/>
        <w:t xml:space="preserve">Decisión SC61-07: El Comité Permanente 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decidió</w:t>
      </w:r>
      <w:r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que la composición del 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g</w:t>
      </w:r>
      <w:r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rupo de 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t</w:t>
      </w:r>
      <w:r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rabajo 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de Ramsar sobre</w:t>
      </w:r>
      <w:r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la 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j</w:t>
      </w:r>
      <w:r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uventud incluyera a las siguientes Partes Contratantes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: </w:t>
      </w:r>
      <w:r w:rsidR="003851C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el </w:t>
      </w:r>
      <w:r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Congo en representación de la región de África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,</w:t>
      </w:r>
      <w:r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</w:t>
      </w:r>
      <w:r w:rsidR="003851C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el </w:t>
      </w:r>
      <w:r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Iraq </w:t>
      </w:r>
      <w:r w:rsidR="00B66BA9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y la </w:t>
      </w:r>
      <w:r w:rsidR="00B66BA9" w:rsidRPr="00C86A4B">
        <w:rPr>
          <w:rFonts w:asciiTheme="minorHAnsi" w:hAnsiTheme="minorHAnsi" w:cstheme="minorHAnsi"/>
          <w:b/>
          <w:noProof/>
          <w:sz w:val="22"/>
          <w:szCs w:val="22"/>
          <w:lang w:val="es-ES"/>
        </w:rPr>
        <w:t>República Islámica del</w:t>
      </w:r>
      <w:r w:rsidR="00B66BA9"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</w:t>
      </w:r>
      <w:r w:rsidR="00B66BA9" w:rsidRPr="00BF0CB6">
        <w:rPr>
          <w:rFonts w:asciiTheme="minorHAnsi" w:hAnsiTheme="minorHAnsi" w:cstheme="minorHAnsi"/>
          <w:b/>
          <w:noProof/>
          <w:sz w:val="22"/>
          <w:szCs w:val="22"/>
          <w:lang w:val="es-ES"/>
        </w:rPr>
        <w:t>Irán</w:t>
      </w:r>
      <w:r w:rsidR="00B66BA9" w:rsidRPr="004D2CBB">
        <w:rPr>
          <w:lang w:val="es-419"/>
        </w:rPr>
        <w:t xml:space="preserve"> </w:t>
      </w:r>
      <w:r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en representación de la región de Asia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,</w:t>
      </w:r>
      <w:r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Austria y Eslovaquia en representación de la región de Europa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, </w:t>
      </w:r>
      <w:r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Colombia en representación de la región de América Latina y el Caribe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,</w:t>
      </w:r>
      <w:r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y México en representación de la región de América del Norte.</w:t>
      </w:r>
    </w:p>
    <w:p w14:paraId="2BA0F3D3" w14:textId="77777777" w:rsidR="005367DC" w:rsidRPr="005367DC" w:rsidRDefault="005367DC" w:rsidP="00FF08ED">
      <w:pPr>
        <w:widowControl/>
        <w:autoSpaceDN/>
        <w:textAlignment w:val="auto"/>
        <w:rPr>
          <w:rFonts w:asciiTheme="minorHAnsi" w:eastAsia="Calibri" w:hAnsiTheme="minorHAnsi" w:cs="Times New Roman"/>
          <w:iCs/>
          <w:noProof/>
          <w:kern w:val="0"/>
          <w:sz w:val="22"/>
          <w:szCs w:val="22"/>
          <w:lang w:val="es-ES" w:eastAsia="en-US" w:bidi="ar-SA"/>
        </w:rPr>
      </w:pPr>
    </w:p>
    <w:p w14:paraId="497B1C01" w14:textId="3A56B66B" w:rsidR="00A30E81" w:rsidRPr="00D173E8" w:rsidRDefault="00D173E8" w:rsidP="00FF08ED">
      <w:pPr>
        <w:widowControl/>
        <w:autoSpaceDN/>
        <w:textAlignment w:val="auto"/>
        <w:rPr>
          <w:rFonts w:asciiTheme="minorHAnsi" w:eastAsia="Calibri" w:hAnsiTheme="minorHAnsi" w:cs="Times New Roman"/>
          <w:i/>
          <w:iCs/>
          <w:noProof/>
          <w:kern w:val="0"/>
          <w:sz w:val="22"/>
          <w:szCs w:val="22"/>
          <w:lang w:val="es-ES" w:eastAsia="en-US" w:bidi="ar-SA"/>
        </w:rPr>
      </w:pPr>
      <w:r w:rsidRPr="00D173E8">
        <w:rPr>
          <w:rFonts w:asciiTheme="minorHAnsi" w:eastAsia="Calibri" w:hAnsiTheme="minorHAnsi" w:cs="Times New Roman"/>
          <w:i/>
          <w:iCs/>
          <w:noProof/>
          <w:kern w:val="0"/>
          <w:sz w:val="22"/>
          <w:szCs w:val="22"/>
          <w:lang w:val="es-ES" w:eastAsia="en-US" w:bidi="ar-SA"/>
        </w:rPr>
        <w:t>Comité Asesor Independiente sobre la Acreditación de Ciudades de Humedal</w:t>
      </w:r>
    </w:p>
    <w:p w14:paraId="7ECCF107" w14:textId="77777777" w:rsidR="00955B64" w:rsidRDefault="00955B64" w:rsidP="00FF08ED">
      <w:pPr>
        <w:widowControl/>
        <w:autoSpaceDN/>
        <w:ind w:left="567" w:hanging="567"/>
        <w:textAlignment w:val="auto"/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</w:pPr>
    </w:p>
    <w:p w14:paraId="23AF4D67" w14:textId="5365FD8D" w:rsidR="00955B64" w:rsidRDefault="00A30E81" w:rsidP="00FF08ED">
      <w:pPr>
        <w:widowControl/>
        <w:autoSpaceDN/>
        <w:textAlignment w:val="auto"/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</w:pPr>
      <w:r w:rsidRPr="00BF0CB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Decisi</w:t>
      </w:r>
      <w:r w:rsidR="00955B6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ó</w:t>
      </w:r>
      <w:r w:rsidRPr="00BF0CB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n SC61-</w:t>
      </w:r>
      <w:r w:rsidR="00A3209A" w:rsidRPr="00BF0CB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08</w:t>
      </w:r>
      <w:r w:rsidRPr="00BF0CB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: </w:t>
      </w:r>
      <w:r w:rsidR="00955B6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El Comité Permanente designó a la República de Corea como punto de contacto para que, con el apoyo de la Secretaría, coordin</w:t>
      </w:r>
      <w:r w:rsidR="00C718D1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ara</w:t>
      </w:r>
      <w:r w:rsidR="00955B6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la nueva composición del Comité Asesor Independiente.</w:t>
      </w:r>
    </w:p>
    <w:p w14:paraId="13D5A2B1" w14:textId="05CF2829" w:rsidR="00270D34" w:rsidRPr="00BF0CB6" w:rsidRDefault="00270D34" w:rsidP="00FF08ED">
      <w:pPr>
        <w:widowControl/>
        <w:autoSpaceDN/>
        <w:textAlignment w:val="auto"/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</w:pPr>
    </w:p>
    <w:p w14:paraId="0ECD1EB7" w14:textId="70239149" w:rsidR="00955B64" w:rsidRDefault="00955B64" w:rsidP="00FF08ED">
      <w:pPr>
        <w:widowControl/>
        <w:autoSpaceDN/>
        <w:textAlignment w:val="auto"/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</w:pPr>
      <w:r w:rsidRP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Decisión SC61-09: El Comité Permanente </w:t>
      </w:r>
      <w:r w:rsidR="00BB1B08" w:rsidRPr="00BB1B08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aplazó la decisión sobre la nueva composición del Comité </w:t>
      </w:r>
      <w:r w:rsidR="00BB1B08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Asesor</w:t>
      </w:r>
      <w:r w:rsidR="00BB1B08" w:rsidRPr="00BB1B08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Independiente hasta la </w:t>
      </w:r>
      <w:r w:rsidR="00BB1B08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reunión </w:t>
      </w:r>
      <w:r w:rsidR="00BB1B08" w:rsidRPr="00BB1B08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SC62 </w:t>
      </w:r>
      <w:r w:rsidR="00BB1B08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y </w:t>
      </w:r>
      <w:r w:rsid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agradeció</w:t>
      </w:r>
      <w:r w:rsidRP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</w:t>
      </w:r>
      <w:r w:rsid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el</w:t>
      </w:r>
      <w:r w:rsidRP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interés </w:t>
      </w:r>
      <w:r w:rsidR="00210963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que </w:t>
      </w:r>
      <w:r w:rsidR="00903841" w:rsidRP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las siguientes Partes Contratantes</w:t>
      </w:r>
      <w:r w:rsidR="00903841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expresaron </w:t>
      </w:r>
      <w:r w:rsidR="00210963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por formar parte</w:t>
      </w:r>
      <w:r w:rsidRP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del Comité </w:t>
      </w:r>
      <w:r w:rsid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Asesor</w:t>
      </w:r>
      <w:r w:rsidRP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Independient</w:t>
      </w:r>
      <w:r w:rsidR="00903841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e</w:t>
      </w:r>
      <w:r w:rsidRP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: </w:t>
      </w:r>
      <w:r w:rsidR="00BB1B08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Rwanda</w:t>
      </w:r>
      <w:r w:rsidRP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en representación de la </w:t>
      </w:r>
      <w:r w:rsid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r</w:t>
      </w:r>
      <w:r w:rsidRP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egión de África</w:t>
      </w:r>
      <w:r w:rsid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,</w:t>
      </w:r>
      <w:r w:rsidRP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China </w:t>
      </w:r>
      <w:r w:rsidR="007A496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y la </w:t>
      </w:r>
      <w:r w:rsidR="007A4966" w:rsidRPr="00C86A4B">
        <w:rPr>
          <w:rFonts w:asciiTheme="minorHAnsi" w:hAnsiTheme="minorHAnsi" w:cstheme="minorHAnsi"/>
          <w:b/>
          <w:noProof/>
          <w:sz w:val="22"/>
          <w:szCs w:val="22"/>
          <w:lang w:val="es-ES"/>
        </w:rPr>
        <w:t>República Islámica del</w:t>
      </w:r>
      <w:r w:rsidRP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</w:t>
      </w:r>
      <w:r w:rsidR="00C86A4B" w:rsidRPr="00BF0CB6">
        <w:rPr>
          <w:rFonts w:asciiTheme="minorHAnsi" w:hAnsiTheme="minorHAnsi" w:cstheme="minorHAnsi"/>
          <w:b/>
          <w:noProof/>
          <w:sz w:val="22"/>
          <w:szCs w:val="22"/>
          <w:lang w:val="es-ES"/>
        </w:rPr>
        <w:t>Irán</w:t>
      </w:r>
      <w:r w:rsidR="00C86A4B">
        <w:rPr>
          <w:rFonts w:asciiTheme="minorHAnsi" w:hAnsiTheme="minorHAnsi" w:cstheme="minorHAnsi"/>
          <w:b/>
          <w:noProof/>
          <w:sz w:val="22"/>
          <w:szCs w:val="22"/>
          <w:lang w:val="es-ES"/>
        </w:rPr>
        <w:t xml:space="preserve"> </w:t>
      </w:r>
      <w:r w:rsidRP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en representación de la </w:t>
      </w:r>
      <w:r w:rsid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r</w:t>
      </w:r>
      <w:r w:rsidRP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egión de Asia, la República de Corea como Asesor Técnico</w:t>
      </w:r>
      <w:r w:rsidR="00BB1B08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, </w:t>
      </w:r>
      <w:r w:rsidRP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Chequia en representación de la </w:t>
      </w:r>
      <w:r w:rsid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r</w:t>
      </w:r>
      <w:r w:rsidRP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egión de Europa</w:t>
      </w:r>
      <w:r w:rsid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,</w:t>
      </w:r>
      <w:r w:rsidRP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</w:t>
      </w:r>
      <w:r w:rsidR="00BB1B08" w:rsidRPr="00BB1B08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los Estados Unidos de América en representación de la </w:t>
      </w:r>
      <w:r w:rsidR="00350BB9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r</w:t>
      </w:r>
      <w:r w:rsidR="00BB1B08" w:rsidRPr="00BB1B08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egión de América del Norte</w:t>
      </w:r>
      <w:r w:rsidR="00BB1B08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, </w:t>
      </w:r>
      <w:r w:rsidRP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y Colombia en representación de la </w:t>
      </w:r>
      <w:r w:rsid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r</w:t>
      </w:r>
      <w:r w:rsidRP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egión de América Latina y el Caribe.</w:t>
      </w:r>
    </w:p>
    <w:p w14:paraId="3D02D8BC" w14:textId="3689093D" w:rsidR="00A30E81" w:rsidRDefault="00A30E81" w:rsidP="00BF0CB6">
      <w:pPr>
        <w:widowControl/>
        <w:autoSpaceDN/>
        <w:textAlignment w:val="auto"/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</w:pPr>
    </w:p>
    <w:p w14:paraId="42343896" w14:textId="36107844" w:rsidR="00350BB9" w:rsidRPr="00350BB9" w:rsidRDefault="00350BB9" w:rsidP="00BF0CB6">
      <w:pPr>
        <w:widowControl/>
        <w:autoSpaceDN/>
        <w:textAlignment w:val="auto"/>
        <w:rPr>
          <w:rFonts w:asciiTheme="minorHAnsi" w:eastAsia="Calibri" w:hAnsiTheme="minorHAnsi" w:cs="Times New Roman"/>
          <w:i/>
          <w:iCs/>
          <w:noProof/>
          <w:kern w:val="0"/>
          <w:sz w:val="22"/>
          <w:szCs w:val="22"/>
          <w:lang w:val="es-ES" w:eastAsia="en-US" w:bidi="ar-SA"/>
        </w:rPr>
      </w:pPr>
      <w:r>
        <w:rPr>
          <w:rFonts w:asciiTheme="minorHAnsi" w:eastAsia="Calibri" w:hAnsiTheme="minorHAnsi" w:cs="Times New Roman"/>
          <w:i/>
          <w:iCs/>
          <w:noProof/>
          <w:kern w:val="0"/>
          <w:sz w:val="22"/>
          <w:szCs w:val="22"/>
          <w:lang w:val="es-ES" w:eastAsia="en-US" w:bidi="ar-SA"/>
        </w:rPr>
        <w:t>Grupo de trabajo sobre el Plan Estratégico</w:t>
      </w:r>
    </w:p>
    <w:p w14:paraId="26CE6E4B" w14:textId="7B413E3C" w:rsidR="00FB44FC" w:rsidRDefault="00FB44FC" w:rsidP="00FB44FC">
      <w:pPr>
        <w:widowControl/>
        <w:autoSpaceDN/>
        <w:ind w:left="567" w:hanging="567"/>
        <w:textAlignment w:val="auto"/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</w:pPr>
    </w:p>
    <w:p w14:paraId="0B288848" w14:textId="29876E64" w:rsidR="00FB44FC" w:rsidRDefault="00FB44FC" w:rsidP="00FB44FC">
      <w:pPr>
        <w:widowControl/>
        <w:autoSpaceDN/>
        <w:ind w:left="567" w:hanging="567"/>
        <w:textAlignment w:val="auto"/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</w:pPr>
      <w:r w:rsidRPr="00BF0CB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Decisión SC61-10: El Comité Permanente acordó lo siguiente:</w:t>
      </w:r>
    </w:p>
    <w:p w14:paraId="071DF3FE" w14:textId="0988618A" w:rsidR="00FB44FC" w:rsidRDefault="00C62CF9" w:rsidP="00FB44FC">
      <w:pPr>
        <w:pStyle w:val="ListParagraph"/>
        <w:widowControl/>
        <w:numPr>
          <w:ilvl w:val="0"/>
          <w:numId w:val="3"/>
        </w:numPr>
        <w:autoSpaceDN/>
        <w:ind w:left="567" w:hanging="567"/>
        <w:textAlignment w:val="auto"/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</w:pP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q</w:t>
      </w:r>
      <w:r w:rsidR="00FB44FC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ue </w:t>
      </w:r>
      <w:r w:rsidR="00FB44FC" w:rsidRPr="00FB44FC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nombr</w:t>
      </w:r>
      <w:r w:rsidR="00FB44FC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aría</w:t>
      </w:r>
      <w:r w:rsidR="00FB44FC" w:rsidRPr="00FB44FC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</w:t>
      </w:r>
      <w:r w:rsidR="003851C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al</w:t>
      </w:r>
      <w:r w:rsidR="00FB44FC" w:rsidRPr="00FB44FC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Brasil y </w:t>
      </w:r>
      <w:r w:rsidR="003851C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al</w:t>
      </w:r>
      <w:r w:rsidR="00FB44FC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</w:t>
      </w:r>
      <w:r w:rsidR="00FB44FC" w:rsidRPr="00FB44FC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Canadá como </w:t>
      </w:r>
      <w:r w:rsidR="003851C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Co</w:t>
      </w:r>
      <w:r w:rsidR="00FB44FC" w:rsidRPr="00FB44FC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presidentes del </w:t>
      </w:r>
      <w:r w:rsidR="003851C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g</w:t>
      </w:r>
      <w:r w:rsidR="00FB44FC" w:rsidRPr="00FB44FC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rupo de </w:t>
      </w:r>
      <w:r w:rsidR="003851C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t</w:t>
      </w:r>
      <w:r w:rsidR="00FB44FC" w:rsidRPr="00FB44FC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rabajo sobre el Plan Estratégico, </w:t>
      </w:r>
      <w:r w:rsidR="003851C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que</w:t>
      </w:r>
      <w:r w:rsidR="00FB44FC" w:rsidRPr="00FB44FC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serían confirmados por el </w:t>
      </w:r>
      <w:r w:rsidR="003851C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g</w:t>
      </w:r>
      <w:r w:rsidR="00FB44FC" w:rsidRPr="00FB44FC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rupo en </w:t>
      </w:r>
      <w:r w:rsidR="00350BB9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el período entre sesiones</w:t>
      </w:r>
      <w:r w:rsidR="00FB44FC" w:rsidRPr="00FB44FC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, junto con el Vicepresidente; y</w:t>
      </w:r>
    </w:p>
    <w:p w14:paraId="708E97B7" w14:textId="011ECD13" w:rsidR="003851C6" w:rsidRDefault="00C62CF9" w:rsidP="00FB44FC">
      <w:pPr>
        <w:pStyle w:val="ListParagraph"/>
        <w:widowControl/>
        <w:numPr>
          <w:ilvl w:val="0"/>
          <w:numId w:val="3"/>
        </w:numPr>
        <w:autoSpaceDN/>
        <w:ind w:left="567" w:hanging="567"/>
        <w:textAlignment w:val="auto"/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</w:pP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que </w:t>
      </w:r>
      <w:r w:rsidR="003851C6" w:rsidRPr="003851C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la composición del </w:t>
      </w:r>
      <w:r w:rsidR="003851C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g</w:t>
      </w:r>
      <w:r w:rsidR="003851C6" w:rsidRPr="003851C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rupo de </w:t>
      </w:r>
      <w:r w:rsidR="003851C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t</w:t>
      </w:r>
      <w:r w:rsidR="003851C6" w:rsidRPr="003851C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rabajo</w:t>
      </w:r>
      <w:r w:rsidR="00C718D1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actual</w:t>
      </w:r>
      <w:r w:rsidR="003851C6" w:rsidRPr="003851C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</w:t>
      </w:r>
      <w:r w:rsidR="003851C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sobre el</w:t>
      </w:r>
      <w:r w:rsidR="003851C6" w:rsidRPr="003851C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Plan Estratégico se ampliaría para incluir a las siguientes Partes Contratantes: China, Chequia,</w:t>
      </w:r>
      <w:r w:rsidR="00350BB9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Colombia, Costa Rica,</w:t>
      </w:r>
      <w:r w:rsidR="003851C6" w:rsidRPr="003851C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Eslovaquia</w:t>
      </w:r>
      <w:r w:rsidR="00350BB9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, Eswatini, </w:t>
      </w:r>
      <w:r w:rsidR="003851C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el Iraq</w:t>
      </w:r>
      <w:r w:rsidR="00350BB9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y el Reino Unido de Gran Bretaña e Irlanda del Norte</w:t>
      </w:r>
      <w:r w:rsidR="003851C6" w:rsidRPr="003851C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.</w:t>
      </w:r>
    </w:p>
    <w:p w14:paraId="4E20A85C" w14:textId="55E79E72" w:rsidR="00350BB9" w:rsidRDefault="00350BB9" w:rsidP="00FF08ED">
      <w:pPr>
        <w:widowControl/>
        <w:autoSpaceDN/>
        <w:ind w:left="567" w:hanging="567"/>
        <w:textAlignment w:val="auto"/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</w:pPr>
    </w:p>
    <w:p w14:paraId="31B67121" w14:textId="47A69757" w:rsidR="00350BB9" w:rsidRPr="00350BB9" w:rsidRDefault="00350BB9" w:rsidP="00FF08ED">
      <w:pPr>
        <w:widowControl/>
        <w:autoSpaceDN/>
        <w:ind w:left="567" w:hanging="567"/>
        <w:textAlignment w:val="auto"/>
        <w:rPr>
          <w:rFonts w:asciiTheme="minorHAnsi" w:eastAsia="Calibri" w:hAnsiTheme="minorHAnsi" w:cs="Times New Roman"/>
          <w:i/>
          <w:iCs/>
          <w:noProof/>
          <w:kern w:val="0"/>
          <w:sz w:val="22"/>
          <w:szCs w:val="22"/>
          <w:lang w:val="es-ES" w:eastAsia="en-US" w:bidi="ar-SA"/>
        </w:rPr>
      </w:pPr>
      <w:r>
        <w:rPr>
          <w:rFonts w:asciiTheme="minorHAnsi" w:eastAsia="Calibri" w:hAnsiTheme="minorHAnsi" w:cs="Times New Roman"/>
          <w:i/>
          <w:iCs/>
          <w:noProof/>
          <w:kern w:val="0"/>
          <w:sz w:val="22"/>
          <w:szCs w:val="22"/>
          <w:lang w:val="es-ES" w:eastAsia="en-US" w:bidi="ar-SA"/>
        </w:rPr>
        <w:t>Subgrupo sobre la COP15</w:t>
      </w:r>
    </w:p>
    <w:p w14:paraId="44E4F2E4" w14:textId="77777777" w:rsidR="00A30E81" w:rsidRPr="00BF0CB6" w:rsidRDefault="00A30E81" w:rsidP="00BF0CB6">
      <w:pPr>
        <w:widowControl/>
        <w:autoSpaceDN/>
        <w:textAlignment w:val="auto"/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</w:pPr>
    </w:p>
    <w:p w14:paraId="67B05F5E" w14:textId="715218C1" w:rsidR="00A67E19" w:rsidRDefault="00A67E19" w:rsidP="00FF08ED">
      <w:pPr>
        <w:widowControl/>
        <w:autoSpaceDN/>
        <w:textAlignment w:val="auto"/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</w:pPr>
      <w:r w:rsidRPr="00A67E19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Decisión SC61-1</w:t>
      </w:r>
      <w:r w:rsidR="007A059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1</w:t>
      </w:r>
      <w:r w:rsidRPr="00A67E19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: El establecimiento del </w:t>
      </w:r>
      <w:r w:rsidR="00350BB9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Subgrupo</w:t>
      </w:r>
      <w:r w:rsidRPr="00A67E19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sobre</w:t>
      </w:r>
      <w:r w:rsidRPr="00A67E19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la COP15 se 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postergó</w:t>
      </w:r>
      <w:r w:rsidRPr="00A67E19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hasta la 62ª reunión del Comité Permanente.</w:t>
      </w:r>
    </w:p>
    <w:p w14:paraId="2C32529B" w14:textId="77777777" w:rsidR="00307435" w:rsidRPr="00BF0CB6" w:rsidRDefault="00307435" w:rsidP="00FF08ED">
      <w:pPr>
        <w:pStyle w:val="Standard"/>
        <w:rPr>
          <w:rFonts w:asciiTheme="minorHAnsi" w:hAnsiTheme="minorHAnsi" w:cstheme="minorHAnsi"/>
          <w:noProof/>
          <w:sz w:val="22"/>
          <w:szCs w:val="22"/>
          <w:highlight w:val="lightGray"/>
          <w:lang w:val="es-ES"/>
        </w:rPr>
      </w:pPr>
    </w:p>
    <w:p w14:paraId="4A123056" w14:textId="296EC78E" w:rsidR="007E26A7" w:rsidRPr="00BF0CB6" w:rsidRDefault="007E26A7" w:rsidP="00FF08ED">
      <w:pPr>
        <w:keepNext/>
        <w:widowControl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autoSpaceDN/>
        <w:contextualSpacing/>
        <w:textAlignment w:val="auto"/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</w:pPr>
      <w:r w:rsidRPr="00BF0CB6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 xml:space="preserve">Punto 6 del orden del día: </w:t>
      </w:r>
      <w:r w:rsidRPr="00BF0CB6">
        <w:rPr>
          <w:rFonts w:asciiTheme="minorHAnsi" w:hAnsiTheme="minorHAnsi" w:cstheme="minorHAnsi"/>
          <w:bCs/>
          <w:noProof/>
          <w:color w:val="000000"/>
          <w:sz w:val="22"/>
          <w:szCs w:val="22"/>
          <w:lang w:val="es-ES"/>
        </w:rPr>
        <w:t>Fechas y lugar de la 62ª reunión del Comité Permanente</w:t>
      </w:r>
    </w:p>
    <w:p w14:paraId="59ED2C94" w14:textId="77777777" w:rsidR="00307435" w:rsidRPr="00BF0CB6" w:rsidRDefault="00307435" w:rsidP="00FF08ED">
      <w:pPr>
        <w:pStyle w:val="Standard"/>
        <w:keepNext/>
        <w:rPr>
          <w:rFonts w:asciiTheme="minorHAnsi" w:hAnsiTheme="minorHAnsi" w:cstheme="minorHAnsi"/>
          <w:noProof/>
          <w:sz w:val="22"/>
          <w:szCs w:val="22"/>
          <w:highlight w:val="lightGray"/>
          <w:lang w:val="es-ES"/>
        </w:rPr>
      </w:pPr>
    </w:p>
    <w:p w14:paraId="6C4CBC08" w14:textId="2BE5256F" w:rsidR="00C62CF9" w:rsidRDefault="00C62CF9" w:rsidP="00FF08ED">
      <w:pPr>
        <w:pStyle w:val="Standard"/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</w:pPr>
      <w:r w:rsidRPr="00C62CF9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Decisión SC</w:t>
      </w:r>
      <w:r w:rsidR="00BC4B1B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61</w:t>
      </w:r>
      <w:bookmarkStart w:id="0" w:name="_GoBack"/>
      <w:bookmarkEnd w:id="0"/>
      <w:r w:rsidRPr="00C62CF9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-1</w:t>
      </w:r>
      <w:r w:rsidR="007A059F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2</w:t>
      </w:r>
      <w:r w:rsidRPr="00C62CF9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 xml:space="preserve">: El Comité Permanente </w:t>
      </w:r>
      <w:r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decidió</w:t>
      </w:r>
      <w:r w:rsidRPr="00C62CF9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 xml:space="preserve"> celebrar su 62ª reunión (SC62) en Gland, Suiza, </w:t>
      </w:r>
      <w:r w:rsidR="0037466D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 xml:space="preserve">entre </w:t>
      </w:r>
      <w:r w:rsidRPr="00C62CF9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 xml:space="preserve">el 4 </w:t>
      </w:r>
      <w:r w:rsidR="0037466D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y el</w:t>
      </w:r>
      <w:r w:rsidRPr="00C62CF9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 xml:space="preserve"> 8 de septiembre de 2023.</w:t>
      </w:r>
    </w:p>
    <w:p w14:paraId="7BDAD6B7" w14:textId="58B6AE08" w:rsidR="00196010" w:rsidRPr="00BF0CB6" w:rsidRDefault="00196010" w:rsidP="005367DC">
      <w:pPr>
        <w:pStyle w:val="Standard"/>
        <w:rPr>
          <w:rFonts w:asciiTheme="minorHAnsi" w:hAnsiTheme="minorHAnsi" w:cstheme="minorHAnsi"/>
          <w:noProof/>
          <w:sz w:val="22"/>
          <w:szCs w:val="22"/>
          <w:lang w:val="es-ES"/>
        </w:rPr>
      </w:pPr>
    </w:p>
    <w:sectPr w:rsidR="00196010" w:rsidRPr="00BF0CB6" w:rsidSect="007E36F5">
      <w:footerReference w:type="default" r:id="rId11"/>
      <w:pgSz w:w="11906" w:h="16838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B6EAC" w14:textId="77777777" w:rsidR="003B5544" w:rsidRDefault="003B5544">
      <w:r>
        <w:separator/>
      </w:r>
    </w:p>
  </w:endnote>
  <w:endnote w:type="continuationSeparator" w:id="0">
    <w:p w14:paraId="4CF48E0D" w14:textId="77777777" w:rsidR="003B5544" w:rsidRDefault="003B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181DE" w14:textId="4CC1432C" w:rsidR="007E36F5" w:rsidRPr="004D2CBB" w:rsidRDefault="00BC4B1B" w:rsidP="007E36F5">
    <w:pPr>
      <w:pStyle w:val="Header"/>
      <w:rPr>
        <w:rFonts w:asciiTheme="minorHAnsi" w:hAnsiTheme="minorHAnsi" w:cstheme="minorHAnsi"/>
        <w:noProof/>
        <w:sz w:val="20"/>
        <w:szCs w:val="20"/>
        <w:lang w:val="es-419"/>
      </w:rPr>
    </w:pPr>
    <w:sdt>
      <w:sdtPr>
        <w:rPr>
          <w:rFonts w:asciiTheme="minorHAnsi" w:hAnsiTheme="minorHAnsi" w:cstheme="minorHAnsi"/>
          <w:sz w:val="20"/>
          <w:szCs w:val="20"/>
        </w:r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367DC">
          <w:rPr>
            <w:rFonts w:asciiTheme="minorHAnsi" w:hAnsiTheme="minorHAnsi" w:cstheme="minorHAnsi"/>
            <w:sz w:val="20"/>
            <w:szCs w:val="20"/>
          </w:rPr>
          <w:t>D</w:t>
        </w:r>
        <w:proofErr w:type="spellStart"/>
        <w:r w:rsidR="001236B4" w:rsidRPr="00BF0CB6">
          <w:rPr>
            <w:rFonts w:asciiTheme="minorHAnsi" w:hAnsiTheme="minorHAnsi" w:cstheme="minorHAnsi"/>
            <w:sz w:val="20"/>
            <w:szCs w:val="20"/>
            <w:lang w:val="es-ES"/>
          </w:rPr>
          <w:t>ecision</w:t>
        </w:r>
        <w:r w:rsidR="001236B4">
          <w:rPr>
            <w:rFonts w:asciiTheme="minorHAnsi" w:hAnsiTheme="minorHAnsi" w:cstheme="minorHAnsi"/>
            <w:sz w:val="20"/>
            <w:szCs w:val="20"/>
            <w:lang w:val="es-ES"/>
          </w:rPr>
          <w:t>e</w:t>
        </w:r>
        <w:r w:rsidR="001236B4" w:rsidRPr="00BF0CB6">
          <w:rPr>
            <w:rFonts w:asciiTheme="minorHAnsi" w:hAnsiTheme="minorHAnsi" w:cstheme="minorHAnsi"/>
            <w:sz w:val="20"/>
            <w:szCs w:val="20"/>
            <w:lang w:val="es-ES"/>
          </w:rPr>
          <w:t>s</w:t>
        </w:r>
        <w:proofErr w:type="spellEnd"/>
        <w:r w:rsidR="001236B4" w:rsidRPr="00BF0CB6">
          <w:rPr>
            <w:rFonts w:asciiTheme="minorHAnsi" w:hAnsiTheme="minorHAnsi" w:cstheme="minorHAnsi"/>
            <w:sz w:val="20"/>
            <w:szCs w:val="20"/>
            <w:lang w:val="es-ES"/>
          </w:rPr>
          <w:t xml:space="preserve"> de la reunión </w:t>
        </w:r>
        <w:r w:rsidR="007E36F5" w:rsidRPr="00BF0CB6">
          <w:rPr>
            <w:rFonts w:asciiTheme="minorHAnsi" w:hAnsiTheme="minorHAnsi" w:cstheme="minorHAnsi"/>
            <w:sz w:val="20"/>
            <w:szCs w:val="20"/>
            <w:lang w:val="es-ES"/>
          </w:rPr>
          <w:t>SC6</w:t>
        </w:r>
        <w:r w:rsidR="00B30187" w:rsidRPr="00BF0CB6">
          <w:rPr>
            <w:rFonts w:asciiTheme="minorHAnsi" w:hAnsiTheme="minorHAnsi" w:cstheme="minorHAnsi"/>
            <w:sz w:val="20"/>
            <w:szCs w:val="20"/>
            <w:lang w:val="es-ES"/>
          </w:rPr>
          <w:t>1</w:t>
        </w:r>
        <w:r w:rsidR="007E36F5" w:rsidRPr="004D2CBB">
          <w:rPr>
            <w:rFonts w:asciiTheme="minorHAnsi" w:hAnsiTheme="minorHAnsi" w:cstheme="minorHAnsi"/>
            <w:sz w:val="20"/>
            <w:szCs w:val="20"/>
            <w:lang w:val="es-419"/>
          </w:rPr>
          <w:tab/>
        </w:r>
        <w:r w:rsidR="007E36F5" w:rsidRPr="004D2CBB">
          <w:rPr>
            <w:rFonts w:asciiTheme="minorHAnsi" w:hAnsiTheme="minorHAnsi" w:cstheme="minorHAnsi"/>
            <w:sz w:val="20"/>
            <w:szCs w:val="20"/>
            <w:lang w:val="es-419"/>
          </w:rPr>
          <w:tab/>
        </w:r>
        <w:r w:rsidR="007E36F5" w:rsidRPr="007E36F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7E36F5" w:rsidRPr="004D2CBB">
          <w:rPr>
            <w:rFonts w:asciiTheme="minorHAnsi" w:hAnsiTheme="minorHAnsi" w:cstheme="minorHAnsi"/>
            <w:sz w:val="20"/>
            <w:szCs w:val="20"/>
            <w:lang w:val="es-419"/>
          </w:rPr>
          <w:instrText xml:space="preserve"> PAGE   \* MERGEFORMAT </w:instrText>
        </w:r>
        <w:r w:rsidR="007E36F5" w:rsidRPr="007E36F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C86A4B" w:rsidRPr="004D2CBB">
          <w:rPr>
            <w:rFonts w:asciiTheme="minorHAnsi" w:hAnsiTheme="minorHAnsi" w:cstheme="minorHAnsi"/>
            <w:noProof/>
            <w:sz w:val="20"/>
            <w:szCs w:val="20"/>
            <w:lang w:val="es-419"/>
          </w:rPr>
          <w:t>4</w:t>
        </w:r>
        <w:r w:rsidR="007E36F5" w:rsidRPr="007E36F5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BE40D" w14:textId="77777777" w:rsidR="003B5544" w:rsidRDefault="003B5544">
      <w:r>
        <w:rPr>
          <w:color w:val="000000"/>
        </w:rPr>
        <w:separator/>
      </w:r>
    </w:p>
  </w:footnote>
  <w:footnote w:type="continuationSeparator" w:id="0">
    <w:p w14:paraId="5D70A734" w14:textId="77777777" w:rsidR="003B5544" w:rsidRDefault="003B5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0A25"/>
    <w:multiLevelType w:val="hybridMultilevel"/>
    <w:tmpl w:val="3D007BA4"/>
    <w:lvl w:ilvl="0" w:tplc="91C264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6088"/>
    <w:multiLevelType w:val="hybridMultilevel"/>
    <w:tmpl w:val="FA44C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67631"/>
    <w:multiLevelType w:val="hybridMultilevel"/>
    <w:tmpl w:val="283CE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435"/>
    <w:rsid w:val="00040330"/>
    <w:rsid w:val="00052918"/>
    <w:rsid w:val="0005335D"/>
    <w:rsid w:val="00055E1A"/>
    <w:rsid w:val="00056B39"/>
    <w:rsid w:val="0006158E"/>
    <w:rsid w:val="00064C72"/>
    <w:rsid w:val="000660EA"/>
    <w:rsid w:val="000663F7"/>
    <w:rsid w:val="00070614"/>
    <w:rsid w:val="000B2376"/>
    <w:rsid w:val="000C0B73"/>
    <w:rsid w:val="000D0B37"/>
    <w:rsid w:val="000F709A"/>
    <w:rsid w:val="001236B4"/>
    <w:rsid w:val="00125422"/>
    <w:rsid w:val="0013624A"/>
    <w:rsid w:val="001405F3"/>
    <w:rsid w:val="001748F0"/>
    <w:rsid w:val="00193B84"/>
    <w:rsid w:val="00194D9C"/>
    <w:rsid w:val="00196010"/>
    <w:rsid w:val="001D6CBD"/>
    <w:rsid w:val="001E1E84"/>
    <w:rsid w:val="001E2D15"/>
    <w:rsid w:val="001F4272"/>
    <w:rsid w:val="00210963"/>
    <w:rsid w:val="00215DFF"/>
    <w:rsid w:val="0024038D"/>
    <w:rsid w:val="00242720"/>
    <w:rsid w:val="002447D9"/>
    <w:rsid w:val="00252E2A"/>
    <w:rsid w:val="00267FB2"/>
    <w:rsid w:val="00270D34"/>
    <w:rsid w:val="00297F25"/>
    <w:rsid w:val="002A01A8"/>
    <w:rsid w:val="00307435"/>
    <w:rsid w:val="003115D3"/>
    <w:rsid w:val="003245EE"/>
    <w:rsid w:val="00327E1E"/>
    <w:rsid w:val="003460EB"/>
    <w:rsid w:val="00350BB9"/>
    <w:rsid w:val="00355C9A"/>
    <w:rsid w:val="003645E9"/>
    <w:rsid w:val="0037466D"/>
    <w:rsid w:val="0037755A"/>
    <w:rsid w:val="00383FB0"/>
    <w:rsid w:val="003851C6"/>
    <w:rsid w:val="0039485C"/>
    <w:rsid w:val="003A1331"/>
    <w:rsid w:val="003A7B7D"/>
    <w:rsid w:val="003B5544"/>
    <w:rsid w:val="003C3606"/>
    <w:rsid w:val="003E0637"/>
    <w:rsid w:val="003E287A"/>
    <w:rsid w:val="003E3C2A"/>
    <w:rsid w:val="003F3766"/>
    <w:rsid w:val="00412EA6"/>
    <w:rsid w:val="00442C45"/>
    <w:rsid w:val="00445BC0"/>
    <w:rsid w:val="00462BEA"/>
    <w:rsid w:val="00477767"/>
    <w:rsid w:val="00484BD6"/>
    <w:rsid w:val="00487317"/>
    <w:rsid w:val="00492172"/>
    <w:rsid w:val="004A1FEE"/>
    <w:rsid w:val="004A4364"/>
    <w:rsid w:val="004A4D2E"/>
    <w:rsid w:val="004B2601"/>
    <w:rsid w:val="004B4831"/>
    <w:rsid w:val="004D2CBB"/>
    <w:rsid w:val="004D2DF6"/>
    <w:rsid w:val="004E029F"/>
    <w:rsid w:val="004E694E"/>
    <w:rsid w:val="004F6256"/>
    <w:rsid w:val="00506CE8"/>
    <w:rsid w:val="005123A6"/>
    <w:rsid w:val="005247A8"/>
    <w:rsid w:val="0053004C"/>
    <w:rsid w:val="005367DC"/>
    <w:rsid w:val="0054685A"/>
    <w:rsid w:val="005977BC"/>
    <w:rsid w:val="005B3373"/>
    <w:rsid w:val="005E7AC0"/>
    <w:rsid w:val="005F2F8E"/>
    <w:rsid w:val="00606531"/>
    <w:rsid w:val="0061018C"/>
    <w:rsid w:val="006128AF"/>
    <w:rsid w:val="00621532"/>
    <w:rsid w:val="00631A45"/>
    <w:rsid w:val="00631E33"/>
    <w:rsid w:val="0064120B"/>
    <w:rsid w:val="006916E0"/>
    <w:rsid w:val="006A309A"/>
    <w:rsid w:val="006D0B8C"/>
    <w:rsid w:val="00717E19"/>
    <w:rsid w:val="00744A3E"/>
    <w:rsid w:val="00753BF5"/>
    <w:rsid w:val="00761856"/>
    <w:rsid w:val="00761A57"/>
    <w:rsid w:val="00762232"/>
    <w:rsid w:val="00765971"/>
    <w:rsid w:val="00774FF3"/>
    <w:rsid w:val="007A059F"/>
    <w:rsid w:val="007A243D"/>
    <w:rsid w:val="007A463F"/>
    <w:rsid w:val="007A4966"/>
    <w:rsid w:val="007B263C"/>
    <w:rsid w:val="007B3398"/>
    <w:rsid w:val="007C4272"/>
    <w:rsid w:val="007E0393"/>
    <w:rsid w:val="007E26A7"/>
    <w:rsid w:val="007E36F5"/>
    <w:rsid w:val="007F22A9"/>
    <w:rsid w:val="008128BB"/>
    <w:rsid w:val="0082086C"/>
    <w:rsid w:val="00820904"/>
    <w:rsid w:val="00845816"/>
    <w:rsid w:val="00866124"/>
    <w:rsid w:val="00866FE4"/>
    <w:rsid w:val="008849E0"/>
    <w:rsid w:val="00891AE0"/>
    <w:rsid w:val="008A3516"/>
    <w:rsid w:val="008B03EF"/>
    <w:rsid w:val="008C3090"/>
    <w:rsid w:val="008C716A"/>
    <w:rsid w:val="008D0F86"/>
    <w:rsid w:val="008D2FE4"/>
    <w:rsid w:val="00903841"/>
    <w:rsid w:val="00912491"/>
    <w:rsid w:val="00927C3F"/>
    <w:rsid w:val="00930D44"/>
    <w:rsid w:val="00940EF5"/>
    <w:rsid w:val="009442BE"/>
    <w:rsid w:val="009504A1"/>
    <w:rsid w:val="009537A9"/>
    <w:rsid w:val="00954E2F"/>
    <w:rsid w:val="00955B64"/>
    <w:rsid w:val="0095767A"/>
    <w:rsid w:val="00961FC1"/>
    <w:rsid w:val="009644EE"/>
    <w:rsid w:val="00970A33"/>
    <w:rsid w:val="00996FD9"/>
    <w:rsid w:val="009A0867"/>
    <w:rsid w:val="009C3AEC"/>
    <w:rsid w:val="009C4CCB"/>
    <w:rsid w:val="009E6588"/>
    <w:rsid w:val="009F699F"/>
    <w:rsid w:val="00A1167C"/>
    <w:rsid w:val="00A1291E"/>
    <w:rsid w:val="00A1572E"/>
    <w:rsid w:val="00A30E81"/>
    <w:rsid w:val="00A3209A"/>
    <w:rsid w:val="00A40DBC"/>
    <w:rsid w:val="00A67E19"/>
    <w:rsid w:val="00A73A14"/>
    <w:rsid w:val="00A90365"/>
    <w:rsid w:val="00A90D04"/>
    <w:rsid w:val="00A9250B"/>
    <w:rsid w:val="00AA14C7"/>
    <w:rsid w:val="00AD40BB"/>
    <w:rsid w:val="00AF0560"/>
    <w:rsid w:val="00B01386"/>
    <w:rsid w:val="00B30187"/>
    <w:rsid w:val="00B378CB"/>
    <w:rsid w:val="00B66BA9"/>
    <w:rsid w:val="00B67D1B"/>
    <w:rsid w:val="00B74387"/>
    <w:rsid w:val="00B75A4E"/>
    <w:rsid w:val="00BA2963"/>
    <w:rsid w:val="00BB1B08"/>
    <w:rsid w:val="00BC4B1B"/>
    <w:rsid w:val="00BE1F18"/>
    <w:rsid w:val="00BF0CB6"/>
    <w:rsid w:val="00C033A5"/>
    <w:rsid w:val="00C24175"/>
    <w:rsid w:val="00C331C9"/>
    <w:rsid w:val="00C5504E"/>
    <w:rsid w:val="00C56C58"/>
    <w:rsid w:val="00C62CF9"/>
    <w:rsid w:val="00C66DEB"/>
    <w:rsid w:val="00C718D1"/>
    <w:rsid w:val="00C83C82"/>
    <w:rsid w:val="00C86A4B"/>
    <w:rsid w:val="00CC414F"/>
    <w:rsid w:val="00CE1FA3"/>
    <w:rsid w:val="00CF7BD0"/>
    <w:rsid w:val="00D173E8"/>
    <w:rsid w:val="00D63176"/>
    <w:rsid w:val="00D97B33"/>
    <w:rsid w:val="00DA3BEC"/>
    <w:rsid w:val="00DA7AA5"/>
    <w:rsid w:val="00DC40AA"/>
    <w:rsid w:val="00DD678C"/>
    <w:rsid w:val="00DE3728"/>
    <w:rsid w:val="00DE7D39"/>
    <w:rsid w:val="00DF1C0E"/>
    <w:rsid w:val="00DF51C0"/>
    <w:rsid w:val="00DF773A"/>
    <w:rsid w:val="00E12849"/>
    <w:rsid w:val="00E3015B"/>
    <w:rsid w:val="00E560B5"/>
    <w:rsid w:val="00E574AA"/>
    <w:rsid w:val="00E6581A"/>
    <w:rsid w:val="00E703EF"/>
    <w:rsid w:val="00E82399"/>
    <w:rsid w:val="00E9564B"/>
    <w:rsid w:val="00F376EE"/>
    <w:rsid w:val="00F46693"/>
    <w:rsid w:val="00F51CE1"/>
    <w:rsid w:val="00F55BBA"/>
    <w:rsid w:val="00FA5C01"/>
    <w:rsid w:val="00FB44FC"/>
    <w:rsid w:val="00FC7E3A"/>
    <w:rsid w:val="00FD5E4C"/>
    <w:rsid w:val="00FE2848"/>
    <w:rsid w:val="00FE2BFC"/>
    <w:rsid w:val="00FE5FA8"/>
    <w:rsid w:val="00FE7C4F"/>
    <w:rsid w:val="00FF03A0"/>
    <w:rsid w:val="00FF08ED"/>
    <w:rsid w:val="00F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8A4CD"/>
  <w15:docId w15:val="{8A47E232-EFF1-4DE0-85E8-6B8EA7C3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Header">
    <w:name w:val="header"/>
    <w:basedOn w:val="Normal"/>
    <w:link w:val="HeaderChar"/>
    <w:uiPriority w:val="99"/>
    <w:unhideWhenUsed/>
    <w:rsid w:val="007E36F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E36F5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7E36F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E36F5"/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63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176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176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176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176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76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FF08ED"/>
    <w:pPr>
      <w:ind w:left="720"/>
      <w:contextualSpacing/>
    </w:pPr>
    <w:rPr>
      <w:rFonts w:cs="Mangal"/>
      <w:szCs w:val="21"/>
    </w:rPr>
  </w:style>
  <w:style w:type="paragraph" w:styleId="Revision">
    <w:name w:val="Revision"/>
    <w:hidden/>
    <w:uiPriority w:val="99"/>
    <w:semiHidden/>
    <w:rsid w:val="00940EF5"/>
    <w:pPr>
      <w:widowControl/>
      <w:suppressAutoHyphens w:val="0"/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3" ma:contentTypeDescription="Create a new document." ma:contentTypeScope="" ma:versionID="5013cc71c1859598a18b9ce7312ef195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4e80ea02e018efc09e8a65ba00d312e4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4B3F3-3DFC-438C-A198-4ECF7A980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CC6B5C-BE47-4B10-B369-DB246A0B873E}">
  <ds:schemaRefs>
    <ds:schemaRef ds:uri="http://purl.org/dc/terms/"/>
    <ds:schemaRef ds:uri="aedd258d-19a7-41ba-8260-b0918f25313d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8c0b6b05-eb82-4bda-97e8-cd82d0d6b453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AF7406-8129-48B1-A040-0E7EA88E6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51A432-969E-4AC4-A5AD-53C1CF69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IUCN</Company>
  <LinksUpToDate>false</LinksUpToDate>
  <CharactersWithSpaces>4809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Martinj Jenkins</dc:creator>
  <cp:keywords/>
  <dc:description/>
  <cp:lastModifiedBy>BRACE Poppy</cp:lastModifiedBy>
  <cp:revision>4</cp:revision>
  <cp:lastPrinted>2018-11-07T13:50:00Z</cp:lastPrinted>
  <dcterms:created xsi:type="dcterms:W3CDTF">2022-12-05T08:49:00Z</dcterms:created>
  <dcterms:modified xsi:type="dcterms:W3CDTF">2022-12-05T11:06:00Z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