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42F3" w14:textId="77777777" w:rsidR="004A72F2" w:rsidRPr="00A5562B" w:rsidRDefault="004A72F2" w:rsidP="00DB77F7">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bookmarkStart w:id="0" w:name="_GoBack"/>
      <w:r>
        <w:rPr>
          <w:rFonts w:asciiTheme="minorHAnsi" w:hAnsiTheme="minorHAnsi"/>
        </w:rPr>
        <w:t xml:space="preserve">CONVENTION SUR LES ZONES HUMIDES </w:t>
      </w:r>
    </w:p>
    <w:p w14:paraId="2D8C41B7" w14:textId="77777777" w:rsidR="004A72F2" w:rsidRPr="00A5562B" w:rsidRDefault="004A72F2" w:rsidP="00DB77F7">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Pr>
          <w:rFonts w:asciiTheme="minorHAnsi" w:hAnsiTheme="minorHAnsi"/>
        </w:rPr>
        <w:t>62</w:t>
      </w:r>
      <w:r>
        <w:rPr>
          <w:rFonts w:asciiTheme="minorHAnsi" w:hAnsiTheme="minorHAnsi"/>
          <w:vertAlign w:val="superscript"/>
        </w:rPr>
        <w:t>e</w:t>
      </w:r>
      <w:r>
        <w:rPr>
          <w:rFonts w:asciiTheme="minorHAnsi" w:hAnsiTheme="minorHAnsi"/>
        </w:rPr>
        <w:t> réunion du Comité permanent</w:t>
      </w:r>
    </w:p>
    <w:p w14:paraId="78C1D05C" w14:textId="77777777" w:rsidR="004A72F2" w:rsidRPr="00A5562B" w:rsidRDefault="004A72F2" w:rsidP="00DB77F7">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Pr>
          <w:rFonts w:asciiTheme="minorHAnsi" w:hAnsiTheme="minorHAnsi"/>
        </w:rPr>
        <w:t>Gland, Suisse, 4 au 8 septembre 2023</w:t>
      </w:r>
    </w:p>
    <w:bookmarkEnd w:id="0"/>
    <w:p w14:paraId="6C0CD29D" w14:textId="77777777" w:rsidR="00DF2386" w:rsidRPr="00073625" w:rsidRDefault="00DF2386" w:rsidP="007972E0">
      <w:pPr>
        <w:outlineLvl w:val="0"/>
        <w:rPr>
          <w:b/>
          <w:sz w:val="28"/>
          <w:szCs w:val="28"/>
        </w:rPr>
      </w:pPr>
    </w:p>
    <w:p w14:paraId="42F8BA29" w14:textId="5B0E47B4" w:rsidR="00DF2386" w:rsidRPr="00D245A1" w:rsidRDefault="00DF2386" w:rsidP="005C445D">
      <w:pPr>
        <w:ind w:left="0" w:firstLine="0"/>
        <w:jc w:val="right"/>
        <w:rPr>
          <w:rFonts w:cs="Arial"/>
          <w:sz w:val="28"/>
          <w:szCs w:val="28"/>
        </w:rPr>
      </w:pPr>
      <w:r>
        <w:rPr>
          <w:b/>
          <w:sz w:val="28"/>
        </w:rPr>
        <w:t>SC62 Doc.18</w:t>
      </w:r>
    </w:p>
    <w:p w14:paraId="5B0A8ABD" w14:textId="77777777" w:rsidR="00DF2386" w:rsidRDefault="00DF2386" w:rsidP="005C445D">
      <w:pPr>
        <w:ind w:left="0" w:firstLine="0"/>
        <w:rPr>
          <w:rFonts w:cs="Arial"/>
          <w:b/>
          <w:sz w:val="28"/>
          <w:szCs w:val="28"/>
        </w:rPr>
      </w:pPr>
    </w:p>
    <w:p w14:paraId="3E795851" w14:textId="2A0066AB" w:rsidR="00DF2386" w:rsidRDefault="00EC4519" w:rsidP="005C445D">
      <w:pPr>
        <w:ind w:left="0" w:firstLine="0"/>
        <w:jc w:val="center"/>
        <w:rPr>
          <w:rFonts w:cs="Arial"/>
          <w:b/>
          <w:sz w:val="28"/>
          <w:szCs w:val="28"/>
        </w:rPr>
      </w:pPr>
      <w:r>
        <w:rPr>
          <w:b/>
          <w:sz w:val="28"/>
        </w:rPr>
        <w:t>Plan de travail 2023-2025 pour la mobilisation des ressources</w:t>
      </w:r>
    </w:p>
    <w:p w14:paraId="503DE53B" w14:textId="77777777" w:rsidR="00DF2386" w:rsidRDefault="00DF2386" w:rsidP="007972E0">
      <w:pPr>
        <w:rPr>
          <w:rFonts w:ascii="Garamond" w:hAnsi="Garamond" w:cs="Arial"/>
        </w:rPr>
      </w:pPr>
    </w:p>
    <w:p w14:paraId="718FDF0C" w14:textId="77777777" w:rsidR="009E0AE8" w:rsidRPr="009B2CEE" w:rsidRDefault="000C2489" w:rsidP="007972E0">
      <w:pPr>
        <w:autoSpaceDE w:val="0"/>
        <w:autoSpaceDN w:val="0"/>
        <w:adjustRightInd w:val="0"/>
        <w:rPr>
          <w:rFonts w:asciiTheme="minorHAnsi" w:eastAsiaTheme="minorHAnsi" w:hAnsiTheme="minorHAnsi" w:cs="Calibri-Bold"/>
          <w:b/>
          <w:bCs/>
        </w:rPr>
      </w:pPr>
      <w:r>
        <w:rPr>
          <w:noProof/>
          <w:color w:val="2B579A"/>
          <w:shd w:val="clear" w:color="auto" w:fill="E6E6E6"/>
          <w:lang w:val="en-GB" w:eastAsia="en-GB"/>
        </w:rPr>
        <mc:AlternateContent>
          <mc:Choice Requires="wps">
            <w:drawing>
              <wp:inline distT="0" distB="0" distL="0" distR="0" wp14:anchorId="03E187D0" wp14:editId="7D3CCF8F">
                <wp:extent cx="5895975" cy="11049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04900"/>
                        </a:xfrm>
                        <a:prstGeom prst="rect">
                          <a:avLst/>
                        </a:prstGeom>
                        <a:solidFill>
                          <a:srgbClr val="FFFFFF"/>
                        </a:solidFill>
                        <a:ln w="9525">
                          <a:solidFill>
                            <a:srgbClr val="000000"/>
                          </a:solidFill>
                          <a:miter lim="800000"/>
                          <a:headEnd/>
                          <a:tailEnd/>
                        </a:ln>
                      </wps:spPr>
                      <wps:txbx>
                        <w:txbxContent>
                          <w:p w14:paraId="7F6CA72D" w14:textId="77777777" w:rsidR="000C2489" w:rsidRDefault="000C2489" w:rsidP="000C2489">
                            <w:pPr>
                              <w:rPr>
                                <w:b/>
                                <w:bCs/>
                              </w:rPr>
                            </w:pPr>
                            <w:r>
                              <w:rPr>
                                <w:b/>
                              </w:rPr>
                              <w:t xml:space="preserve">Mesures requises : </w:t>
                            </w:r>
                          </w:p>
                          <w:p w14:paraId="065664C2" w14:textId="77777777" w:rsidR="000C2489" w:rsidRDefault="000C2489" w:rsidP="000C2489">
                            <w:pPr>
                              <w:pStyle w:val="ColorfulList-Accent11"/>
                              <w:ind w:left="0"/>
                            </w:pPr>
                          </w:p>
                          <w:p w14:paraId="3B64203F" w14:textId="18AC67C2" w:rsidR="00EC4519" w:rsidRPr="00C2411D" w:rsidRDefault="007972E0" w:rsidP="006305C5">
                            <w:pPr>
                              <w:pStyle w:val="ColorfulList-Accent11"/>
                              <w:ind w:left="0" w:firstLine="0"/>
                              <w:rPr>
                                <w:rFonts w:cs="Calibri"/>
                              </w:rPr>
                            </w:pPr>
                            <w:r>
                              <w:t>Le Comité permanent est invité à prendre note du plan de travail pour la mobilisation des ressources et à l’approuver, celui-ci reflétant les mises à jour apportées aux priorités</w:t>
                            </w:r>
                            <w:r w:rsidR="00720311" w:rsidRPr="00720311">
                              <w:t xml:space="preserve"> </w:t>
                            </w:r>
                            <w:r w:rsidR="00720311">
                              <w:t>approuvées pour 2023-2025 en matière</w:t>
                            </w:r>
                            <w:r>
                              <w:t xml:space="preserve"> de financement non administratif. </w:t>
                            </w:r>
                          </w:p>
                          <w:p w14:paraId="0B35EC74" w14:textId="77777777" w:rsidR="000C2489" w:rsidRDefault="000C2489" w:rsidP="00275F13">
                            <w:pPr>
                              <w:pStyle w:val="ColorfulList-Accent11"/>
                              <w:ind w:left="36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3E187D0" id="_x0000_t202" coordsize="21600,21600" o:spt="202" path="m,l,21600r21600,l21600,xe">
                <v:stroke joinstyle="miter"/>
                <v:path gradientshapeok="t" o:connecttype="rect"/>
              </v:shapetype>
              <v:shape id="Text Box 1" o:spid="_x0000_s1026" type="#_x0000_t202" style="width:464.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">
                <v:textbox>
                  <w:txbxContent>
                    <w:p w14:paraId="7F6CA72D" w14:textId="77777777" w:rsidR="000C2489" w:rsidRDefault="000C2489" w:rsidP="000C2489">
                      <w:pPr>
                        <w:rPr>
                          <w:b/>
                          <w:bCs/>
                        </w:rPr>
                      </w:pPr>
                      <w:r>
                        <w:rPr>
                          <w:b/>
                        </w:rPr>
                        <w:t xml:space="preserve">Mesures requises : </w:t>
                      </w:r>
                    </w:p>
                    <w:p w14:paraId="065664C2" w14:textId="77777777" w:rsidR="000C2489" w:rsidRDefault="000C2489" w:rsidP="000C2489">
                      <w:pPr>
                        <w:pStyle w:val="ColorfulList-Accent11"/>
                        <w:ind w:left="0"/>
                      </w:pPr>
                    </w:p>
                    <w:p w14:paraId="3B64203F" w14:textId="18AC67C2" w:rsidR="00EC4519" w:rsidRPr="00C2411D" w:rsidRDefault="007972E0" w:rsidP="006305C5">
                      <w:pPr>
                        <w:pStyle w:val="ColorfulList-Accent11"/>
                        <w:ind w:left="0" w:firstLine="0"/>
                        <w:rPr>
                          <w:rFonts w:cs="Calibri"/>
                        </w:rPr>
                      </w:pPr>
                      <w:r>
                        <w:t>Le Comité permanent est invité à prendre note du plan de travail pour la mobilisation des ressources et à l’approuver, celui-ci reflétant les mises à jour apportées aux priorités</w:t>
                      </w:r>
                      <w:r w:rsidR="00720311" w:rsidRPr="00720311">
                        <w:t xml:space="preserve"> </w:t>
                      </w:r>
                      <w:r w:rsidR="00720311">
                        <w:t>approuvées pour 2023-2025</w:t>
                      </w:r>
                      <w:r w:rsidR="00720311">
                        <w:t xml:space="preserve"> en matière</w:t>
                      </w:r>
                      <w:r>
                        <w:t xml:space="preserve"> de financement non administratif. </w:t>
                      </w:r>
                    </w:p>
                    <w:p w14:paraId="0B35EC74" w14:textId="77777777" w:rsidR="000C2489" w:rsidRDefault="000C2489" w:rsidP="00275F13">
                      <w:pPr>
                        <w:pStyle w:val="ColorfulList-Accent11"/>
                        <w:ind w:left="360"/>
                      </w:pPr>
                    </w:p>
                  </w:txbxContent>
                </v:textbox>
                <w10:anchorlock/>
              </v:shape>
            </w:pict>
          </mc:Fallback>
        </mc:AlternateContent>
      </w:r>
    </w:p>
    <w:p w14:paraId="376CCEAA" w14:textId="77777777" w:rsidR="00EC4519" w:rsidRDefault="00EC4519" w:rsidP="007972E0">
      <w:pPr>
        <w:rPr>
          <w:rFonts w:cs="Arial"/>
          <w:b/>
        </w:rPr>
      </w:pPr>
    </w:p>
    <w:p w14:paraId="64411A9C" w14:textId="77777777" w:rsidR="007972E0" w:rsidRDefault="007972E0" w:rsidP="007972E0">
      <w:pPr>
        <w:rPr>
          <w:rFonts w:cs="Arial"/>
          <w:b/>
        </w:rPr>
      </w:pPr>
    </w:p>
    <w:p w14:paraId="487AF683" w14:textId="3F30D295" w:rsidR="0098651C" w:rsidRDefault="00EC4519" w:rsidP="007972E0">
      <w:pPr>
        <w:rPr>
          <w:rFonts w:asciiTheme="minorHAnsi" w:eastAsiaTheme="minorHAnsi" w:hAnsiTheme="minorHAnsi" w:cstheme="minorHAnsi"/>
          <w:b/>
        </w:rPr>
      </w:pPr>
      <w:r>
        <w:rPr>
          <w:rFonts w:asciiTheme="minorHAnsi" w:hAnsiTheme="minorHAnsi"/>
          <w:b/>
        </w:rPr>
        <w:t>Introduction</w:t>
      </w:r>
    </w:p>
    <w:p w14:paraId="72EAF943" w14:textId="77777777" w:rsidR="007830E8" w:rsidRDefault="007830E8" w:rsidP="007972E0">
      <w:pPr>
        <w:rPr>
          <w:rFonts w:asciiTheme="minorHAnsi" w:eastAsiaTheme="minorHAnsi" w:hAnsiTheme="minorHAnsi" w:cstheme="minorHAnsi"/>
          <w:b/>
        </w:rPr>
      </w:pPr>
    </w:p>
    <w:p w14:paraId="2C7F56A6" w14:textId="136272C2" w:rsidR="00555BA9" w:rsidRPr="00073625" w:rsidRDefault="00073625" w:rsidP="00073625">
      <w:pPr>
        <w:ind w:left="426"/>
        <w:rPr>
          <w:rFonts w:asciiTheme="minorHAnsi" w:eastAsiaTheme="minorHAnsi" w:hAnsiTheme="minorHAnsi" w:cstheme="minorHAnsi"/>
        </w:rPr>
      </w:pPr>
      <w:r>
        <w:rPr>
          <w:rFonts w:asciiTheme="minorHAnsi" w:hAnsiTheme="minorHAnsi"/>
        </w:rPr>
        <w:t>1.</w:t>
      </w:r>
      <w:r>
        <w:rPr>
          <w:rFonts w:asciiTheme="minorHAnsi" w:hAnsiTheme="minorHAnsi"/>
        </w:rPr>
        <w:tab/>
        <w:t>Le plan de travail pour la mobilisation des ressources définit et oriente l’approche du Secrétariat en ce qui concerne l’obtention de financement</w:t>
      </w:r>
      <w:r w:rsidR="009D5BFC">
        <w:rPr>
          <w:rFonts w:asciiTheme="minorHAnsi" w:hAnsiTheme="minorHAnsi"/>
        </w:rPr>
        <w:t>s</w:t>
      </w:r>
      <w:r>
        <w:rPr>
          <w:rFonts w:asciiTheme="minorHAnsi" w:hAnsiTheme="minorHAnsi"/>
        </w:rPr>
        <w:t xml:space="preserve"> pour les activités prioritaires qui ne sont pas incluses dans le budget administratif. Il présente également les activités proposées pour faciliter la mobilisation des ressources pour les Parties contractantes aux niveaux local, national et régional, comme indiqué dans la Résolution XII.7, </w:t>
      </w:r>
      <w:r>
        <w:rPr>
          <w:rFonts w:asciiTheme="minorHAnsi" w:hAnsiTheme="minorHAnsi"/>
          <w:i/>
          <w:iCs/>
        </w:rPr>
        <w:t>Cadre de la Convention de Ramsar pour la mobilisation de ressources et les partenariats</w:t>
      </w:r>
      <w:r>
        <w:rPr>
          <w:rFonts w:asciiTheme="minorHAnsi" w:hAnsiTheme="minorHAnsi"/>
        </w:rPr>
        <w:t xml:space="preserve">.  </w:t>
      </w:r>
    </w:p>
    <w:p w14:paraId="46FF336B" w14:textId="001B25A2" w:rsidR="000B3626" w:rsidRPr="00073625" w:rsidRDefault="0032703B" w:rsidP="00073625">
      <w:pPr>
        <w:ind w:left="426"/>
        <w:rPr>
          <w:rFonts w:asciiTheme="minorHAnsi" w:eastAsiaTheme="minorHAnsi" w:hAnsiTheme="minorHAnsi" w:cstheme="minorHAnsi"/>
        </w:rPr>
      </w:pPr>
      <w:r>
        <w:rPr>
          <w:rFonts w:asciiTheme="minorHAnsi" w:hAnsiTheme="minorHAnsi"/>
        </w:rPr>
        <w:t xml:space="preserve"> </w:t>
      </w:r>
    </w:p>
    <w:p w14:paraId="4DEB33A1" w14:textId="34ED3C34" w:rsidR="004E4374" w:rsidRPr="00073625" w:rsidRDefault="00073625" w:rsidP="00073625">
      <w:pPr>
        <w:ind w:left="426"/>
        <w:rPr>
          <w:rFonts w:asciiTheme="minorHAnsi" w:eastAsiaTheme="minorHAnsi" w:hAnsiTheme="minorHAnsi" w:cstheme="minorHAnsi"/>
        </w:rPr>
      </w:pPr>
      <w:r>
        <w:rPr>
          <w:rFonts w:asciiTheme="minorHAnsi" w:hAnsiTheme="minorHAnsi"/>
        </w:rPr>
        <w:t>2.</w:t>
      </w:r>
      <w:r>
        <w:rPr>
          <w:rFonts w:asciiTheme="minorHAnsi" w:hAnsiTheme="minorHAnsi"/>
        </w:rPr>
        <w:tab/>
        <w:t>Le premier plan de travail pour la mobilisation des ressources élaboré par le Secrétariat a été présenté lors de la 57</w:t>
      </w:r>
      <w:r>
        <w:rPr>
          <w:rFonts w:asciiTheme="minorHAnsi" w:hAnsiTheme="minorHAnsi"/>
          <w:vertAlign w:val="superscript"/>
        </w:rPr>
        <w:t>e</w:t>
      </w:r>
      <w:r>
        <w:rPr>
          <w:rFonts w:asciiTheme="minorHAnsi" w:hAnsiTheme="minorHAnsi"/>
        </w:rPr>
        <w:t> </w:t>
      </w:r>
      <w:r w:rsidR="000847F3">
        <w:rPr>
          <w:rFonts w:asciiTheme="minorHAnsi" w:hAnsiTheme="minorHAnsi"/>
        </w:rPr>
        <w:t>r</w:t>
      </w:r>
      <w:r>
        <w:rPr>
          <w:rFonts w:asciiTheme="minorHAnsi" w:hAnsiTheme="minorHAnsi"/>
        </w:rPr>
        <w:t>éunion du Comité permanent (SC57) en 2019. Ce plan de travail, présenté dans le document SC5</w:t>
      </w:r>
      <w:r w:rsidR="00357218">
        <w:rPr>
          <w:rFonts w:asciiTheme="minorHAnsi" w:hAnsiTheme="minorHAnsi"/>
        </w:rPr>
        <w:t>7 Doc.19</w:t>
      </w:r>
      <w:r>
        <w:rPr>
          <w:rFonts w:asciiTheme="minorHAnsi" w:hAnsiTheme="minorHAnsi"/>
        </w:rPr>
        <w:t>, énonçait les objectifs en matière de mobilisation des ressources, les objectifs stratégiques</w:t>
      </w:r>
      <w:r w:rsidR="006A02A4">
        <w:rPr>
          <w:rFonts w:asciiTheme="minorHAnsi" w:hAnsiTheme="minorHAnsi"/>
        </w:rPr>
        <w:t>,</w:t>
      </w:r>
      <w:r>
        <w:rPr>
          <w:rFonts w:asciiTheme="minorHAnsi" w:hAnsiTheme="minorHAnsi"/>
        </w:rPr>
        <w:t xml:space="preserve"> ainsi que le calendrier d’application </w:t>
      </w:r>
      <w:r w:rsidR="000847F3">
        <w:rPr>
          <w:rFonts w:asciiTheme="minorHAnsi" w:hAnsiTheme="minorHAnsi"/>
        </w:rPr>
        <w:t xml:space="preserve">pour </w:t>
      </w:r>
      <w:r>
        <w:rPr>
          <w:rFonts w:asciiTheme="minorHAnsi" w:hAnsiTheme="minorHAnsi"/>
        </w:rPr>
        <w:t>l’obtention d’un financement non administratif pour les priorités approuvées par les Parties lors de la 13</w:t>
      </w:r>
      <w:r>
        <w:rPr>
          <w:rFonts w:asciiTheme="minorHAnsi" w:hAnsiTheme="minorHAnsi"/>
          <w:vertAlign w:val="superscript"/>
        </w:rPr>
        <w:t>e</w:t>
      </w:r>
      <w:r>
        <w:rPr>
          <w:rFonts w:asciiTheme="minorHAnsi" w:hAnsiTheme="minorHAnsi"/>
        </w:rPr>
        <w:t> </w:t>
      </w:r>
      <w:r w:rsidR="006A02A4">
        <w:rPr>
          <w:rFonts w:asciiTheme="minorHAnsi" w:hAnsiTheme="minorHAnsi"/>
        </w:rPr>
        <w:t>s</w:t>
      </w:r>
      <w:r>
        <w:rPr>
          <w:rFonts w:asciiTheme="minorHAnsi" w:hAnsiTheme="minorHAnsi"/>
        </w:rPr>
        <w:t>ession de la Conférence des Parties contractantes (COP13, 2018) pour la période triennale 2019-2021.</w:t>
      </w:r>
    </w:p>
    <w:p w14:paraId="2698E27F" w14:textId="22DB28D3" w:rsidR="00BB6EAC" w:rsidRPr="004E4374" w:rsidRDefault="00BB6EAC" w:rsidP="00073625">
      <w:pPr>
        <w:ind w:left="426"/>
        <w:rPr>
          <w:rFonts w:asciiTheme="minorHAnsi" w:eastAsiaTheme="minorHAnsi" w:hAnsiTheme="minorHAnsi" w:cstheme="minorHAnsi"/>
        </w:rPr>
      </w:pPr>
    </w:p>
    <w:p w14:paraId="25493617" w14:textId="544F1D06" w:rsidR="00B61DD1" w:rsidRDefault="00073625" w:rsidP="00073625">
      <w:pPr>
        <w:ind w:left="426"/>
        <w:rPr>
          <w:rFonts w:asciiTheme="minorHAnsi" w:eastAsiaTheme="minorHAnsi" w:hAnsiTheme="minorHAnsi" w:cstheme="minorHAnsi"/>
        </w:rPr>
      </w:pPr>
      <w:r>
        <w:rPr>
          <w:rFonts w:asciiTheme="minorHAnsi" w:hAnsiTheme="minorHAnsi"/>
        </w:rPr>
        <w:t>3.</w:t>
      </w:r>
      <w:r>
        <w:rPr>
          <w:rFonts w:asciiTheme="minorHAnsi" w:hAnsiTheme="minorHAnsi"/>
        </w:rPr>
        <w:tab/>
        <w:t xml:space="preserve">La Résolution XIV.1, </w:t>
      </w:r>
      <w:r>
        <w:rPr>
          <w:rFonts w:asciiTheme="minorHAnsi" w:hAnsiTheme="minorHAnsi"/>
          <w:i/>
        </w:rPr>
        <w:t>Questions financières et budgétaires</w:t>
      </w:r>
      <w:r>
        <w:rPr>
          <w:rFonts w:asciiTheme="minorHAnsi" w:hAnsiTheme="minorHAnsi"/>
        </w:rPr>
        <w:t xml:space="preserve">, demande au Secrétariat de mettre à jour le plan de travail pour la mobilisation des ressources afin de tenir compte des priorités identifiées par les Parties contractantes </w:t>
      </w:r>
      <w:r w:rsidR="006A02A4">
        <w:rPr>
          <w:rFonts w:asciiTheme="minorHAnsi" w:hAnsiTheme="minorHAnsi"/>
        </w:rPr>
        <w:t>lors de</w:t>
      </w:r>
      <w:r>
        <w:rPr>
          <w:rFonts w:asciiTheme="minorHAnsi" w:hAnsiTheme="minorHAnsi"/>
        </w:rPr>
        <w:t xml:space="preserve"> la COP14 et de le communiquer</w:t>
      </w:r>
      <w:r w:rsidR="006A02A4">
        <w:rPr>
          <w:rFonts w:asciiTheme="minorHAnsi" w:hAnsiTheme="minorHAnsi"/>
        </w:rPr>
        <w:t xml:space="preserve"> au Comité permanent</w:t>
      </w:r>
      <w:r>
        <w:rPr>
          <w:rFonts w:asciiTheme="minorHAnsi" w:hAnsiTheme="minorHAnsi"/>
        </w:rPr>
        <w:t xml:space="preserve"> pour examen</w:t>
      </w:r>
      <w:r w:rsidR="006A02A4">
        <w:rPr>
          <w:rFonts w:asciiTheme="minorHAnsi" w:hAnsiTheme="minorHAnsi"/>
        </w:rPr>
        <w:t xml:space="preserve"> lors de</w:t>
      </w:r>
      <w:r>
        <w:rPr>
          <w:rFonts w:asciiTheme="minorHAnsi" w:hAnsiTheme="minorHAnsi"/>
        </w:rPr>
        <w:t xml:space="preserve"> sa 62</w:t>
      </w:r>
      <w:r>
        <w:rPr>
          <w:rFonts w:asciiTheme="minorHAnsi" w:hAnsiTheme="minorHAnsi"/>
          <w:vertAlign w:val="superscript"/>
        </w:rPr>
        <w:t>e</w:t>
      </w:r>
      <w:r>
        <w:rPr>
          <w:rFonts w:asciiTheme="minorHAnsi" w:hAnsiTheme="minorHAnsi"/>
        </w:rPr>
        <w:t> </w:t>
      </w:r>
      <w:r w:rsidR="006D183D">
        <w:rPr>
          <w:rFonts w:asciiTheme="minorHAnsi" w:hAnsiTheme="minorHAnsi"/>
        </w:rPr>
        <w:t>r</w:t>
      </w:r>
      <w:r>
        <w:rPr>
          <w:rFonts w:asciiTheme="minorHAnsi" w:hAnsiTheme="minorHAnsi"/>
        </w:rPr>
        <w:t>éunion. Les objectifs et les objectifs stratégiques précédemment détaillés dans le document SC5</w:t>
      </w:r>
      <w:r w:rsidR="00357218">
        <w:rPr>
          <w:rFonts w:asciiTheme="minorHAnsi" w:hAnsiTheme="minorHAnsi"/>
        </w:rPr>
        <w:t>7 Doc.19</w:t>
      </w:r>
      <w:r w:rsidR="00C35FF5">
        <w:rPr>
          <w:rStyle w:val="FootnoteReference"/>
          <w:rFonts w:asciiTheme="minorHAnsi" w:eastAsiaTheme="minorHAnsi" w:hAnsiTheme="minorHAnsi" w:cstheme="minorHAnsi"/>
        </w:rPr>
        <w:footnoteReference w:id="1"/>
      </w:r>
      <w:r>
        <w:rPr>
          <w:rFonts w:asciiTheme="minorHAnsi" w:hAnsiTheme="minorHAnsi"/>
        </w:rPr>
        <w:t xml:space="preserve"> restent d’actualité et continueront à guider la mise en œuvre du plan de travail actualisé.</w:t>
      </w:r>
    </w:p>
    <w:p w14:paraId="0522ABD3" w14:textId="77777777" w:rsidR="00073625" w:rsidRPr="00B61DD1" w:rsidRDefault="00073625" w:rsidP="00073625">
      <w:pPr>
        <w:ind w:left="426"/>
        <w:rPr>
          <w:rFonts w:asciiTheme="minorHAnsi" w:eastAsiaTheme="minorHAnsi" w:hAnsiTheme="minorHAnsi" w:cstheme="minorHAnsi"/>
        </w:rPr>
      </w:pPr>
    </w:p>
    <w:p w14:paraId="0DC3ED25" w14:textId="55B8C22E" w:rsidR="00717A5F" w:rsidRDefault="00073625" w:rsidP="00073625">
      <w:pPr>
        <w:ind w:left="426"/>
        <w:rPr>
          <w:rFonts w:asciiTheme="minorHAnsi" w:eastAsiaTheme="minorHAnsi" w:hAnsiTheme="minorHAnsi" w:cstheme="minorHAnsi"/>
        </w:rPr>
      </w:pPr>
      <w:r>
        <w:rPr>
          <w:rFonts w:asciiTheme="minorHAnsi" w:hAnsiTheme="minorHAnsi"/>
        </w:rPr>
        <w:t>4.</w:t>
      </w:r>
      <w:r>
        <w:rPr>
          <w:rFonts w:asciiTheme="minorHAnsi" w:hAnsiTheme="minorHAnsi"/>
        </w:rPr>
        <w:tab/>
        <w:t xml:space="preserve">Ce plan de travail est joint en annexe 1 et présente la liste actualisée des priorités en matière de financement non administratif pour 2023-2025, </w:t>
      </w:r>
      <w:r w:rsidR="006A02A4">
        <w:rPr>
          <w:rFonts w:asciiTheme="minorHAnsi" w:hAnsiTheme="minorHAnsi"/>
        </w:rPr>
        <w:t xml:space="preserve">qui sont </w:t>
      </w:r>
      <w:r>
        <w:rPr>
          <w:rFonts w:asciiTheme="minorHAnsi" w:hAnsiTheme="minorHAnsi"/>
        </w:rPr>
        <w:t xml:space="preserve">énumérées en annexe 4 de la Résolution XIV.1, ainsi que le calendrier d’application révisé pour la période triennale 2023-2025. L’annexe 2 </w:t>
      </w:r>
      <w:r w:rsidR="006A02A4">
        <w:rPr>
          <w:rFonts w:asciiTheme="minorHAnsi" w:hAnsiTheme="minorHAnsi"/>
        </w:rPr>
        <w:t>présente</w:t>
      </w:r>
      <w:r>
        <w:rPr>
          <w:rFonts w:asciiTheme="minorHAnsi" w:hAnsiTheme="minorHAnsi"/>
        </w:rPr>
        <w:t xml:space="preserve"> en outre les activités que le Secrétariat mènera pour faciliter les activités de mobilisation des ressources des Parties contractantes.</w:t>
      </w:r>
    </w:p>
    <w:p w14:paraId="0DCBB4D1" w14:textId="77777777" w:rsidR="00073625" w:rsidRPr="00717A5F" w:rsidRDefault="00073625" w:rsidP="00073625">
      <w:pPr>
        <w:ind w:left="426"/>
        <w:rPr>
          <w:rFonts w:asciiTheme="minorHAnsi" w:eastAsiaTheme="minorHAnsi" w:hAnsiTheme="minorHAnsi" w:cstheme="minorHAnsi"/>
        </w:rPr>
      </w:pPr>
    </w:p>
    <w:p w14:paraId="2A1C9F22" w14:textId="6967C5B5" w:rsidR="00542391" w:rsidRDefault="00073625" w:rsidP="00073625">
      <w:pPr>
        <w:ind w:left="426"/>
      </w:pPr>
      <w:r>
        <w:lastRenderedPageBreak/>
        <w:t>5.</w:t>
      </w:r>
      <w:r>
        <w:tab/>
        <w:t xml:space="preserve">La mise en œuvre de ce plan de travail passera par la sensibilisation des Parties contractantes, des organismes bailleurs de fonds bilatéraux, des organismes bailleurs de fonds multilatéraux, du secteur privé et des fondations, ainsi que par la mise en place de collaborations et de partenariats stratégiques pertinents. Une évaluation des sources de financement des priorités non administratives pour la période triennale 2019-2021 a montré que 76 % des contributions volontaires reçues provenaient d’organismes gouvernementaux, alors que 14 % provenaient du secteur privé et 10 % de fondations. </w:t>
      </w:r>
    </w:p>
    <w:p w14:paraId="2711A2E9" w14:textId="77777777" w:rsidR="00542391" w:rsidRDefault="00542391" w:rsidP="00073625">
      <w:pPr>
        <w:ind w:left="426"/>
      </w:pPr>
    </w:p>
    <w:p w14:paraId="66F2B230" w14:textId="2D41E27C" w:rsidR="007772E6" w:rsidRDefault="00073625" w:rsidP="00073625">
      <w:pPr>
        <w:ind w:left="426"/>
      </w:pPr>
      <w:r>
        <w:t>6.</w:t>
      </w:r>
      <w:r>
        <w:tab/>
        <w:t>Une approche à l’échelle d</w:t>
      </w:r>
      <w:r w:rsidR="006A02A4">
        <w:t>e l’ensemble d</w:t>
      </w:r>
      <w:r>
        <w:t xml:space="preserve">u Secrétariat </w:t>
      </w:r>
      <w:r w:rsidR="006A02A4">
        <w:t>pour la</w:t>
      </w:r>
      <w:r>
        <w:t xml:space="preserve"> mobilisation des ressources (telle qu’approuvée dans la décision SC52-23), dans le cadre de laquelle le responsable de la mobilisation des ressources et d’autres hauts responsables du Secrétariat se chargent de la collecte de fonds pour les priorités non administratives, contribuera en outre à la mise en œuvre du plan de travail ainsi qu’à la réalisation des objectifs stratégiques et des objectifs de mobilisation des ressources. </w:t>
      </w:r>
    </w:p>
    <w:p w14:paraId="07AABBE0" w14:textId="77777777" w:rsidR="007772E6" w:rsidRDefault="007772E6" w:rsidP="00073625">
      <w:pPr>
        <w:ind w:left="426"/>
      </w:pPr>
    </w:p>
    <w:p w14:paraId="53F88B6A" w14:textId="5FC4A416" w:rsidR="007463CA" w:rsidRPr="00073625" w:rsidRDefault="00073625" w:rsidP="00073625">
      <w:pPr>
        <w:ind w:left="426"/>
        <w:rPr>
          <w:rFonts w:asciiTheme="minorHAnsi" w:eastAsiaTheme="minorEastAsia" w:hAnsiTheme="minorHAnsi" w:cstheme="minorBidi"/>
        </w:rPr>
        <w:sectPr w:rsidR="007463CA" w:rsidRPr="00073625" w:rsidSect="002137E0">
          <w:footerReference w:type="default" r:id="rId11"/>
          <w:pgSz w:w="11906" w:h="16838"/>
          <w:pgMar w:top="1440" w:right="1440" w:bottom="1440" w:left="1440" w:header="709" w:footer="709" w:gutter="0"/>
          <w:cols w:space="708"/>
          <w:titlePg/>
          <w:docGrid w:linePitch="360"/>
        </w:sectPr>
      </w:pPr>
      <w:r>
        <w:t>7.</w:t>
      </w:r>
      <w:r>
        <w:tab/>
        <w:t>Afin d</w:t>
      </w:r>
      <w:r w:rsidR="006A02A4">
        <w:t xml:space="preserve">’assurer une mise </w:t>
      </w:r>
      <w:r>
        <w:t>en œuvre efficace</w:t>
      </w:r>
      <w:r w:rsidR="006A02A4">
        <w:t xml:space="preserve"> de</w:t>
      </w:r>
      <w:r>
        <w:t xml:space="preserve"> cette approche à l’échelle d</w:t>
      </w:r>
      <w:r w:rsidR="006A02A4">
        <w:t>e l’ensemble d</w:t>
      </w:r>
      <w:r>
        <w:t xml:space="preserve">u Secrétariat </w:t>
      </w:r>
      <w:r w:rsidR="006A02A4">
        <w:t>pour la</w:t>
      </w:r>
      <w:r>
        <w:t xml:space="preserve"> mobilisation des ressources, un atelier a été organisé dans le cadre de l’atelier annuel 2023 de planification du travail, qui s’est tenu du 6 au 9 mars 2023. Tous les membres du personnel impliqués dans la recherche de financements étaient présents et ont contribué </w:t>
      </w:r>
      <w:r w:rsidR="006A02A4">
        <w:t xml:space="preserve">aux </w:t>
      </w:r>
      <w:r>
        <w:t>discussion</w:t>
      </w:r>
      <w:r w:rsidR="006A02A4">
        <w:t>s</w:t>
      </w:r>
      <w:r>
        <w:t xml:space="preserve"> visant à renforcer les objectifs de collecte de fonds et de mobilisation de ressources du Secrétariat.</w:t>
      </w:r>
    </w:p>
    <w:p w14:paraId="01093761" w14:textId="775A8377" w:rsidR="009B2CEE" w:rsidRPr="00EB68CB" w:rsidRDefault="00EB68CB" w:rsidP="00FF7846">
      <w:pPr>
        <w:ind w:left="0" w:firstLine="0"/>
        <w:contextualSpacing/>
        <w:rPr>
          <w:rFonts w:asciiTheme="minorHAnsi" w:eastAsiaTheme="minorHAnsi" w:hAnsiTheme="minorHAnsi" w:cstheme="minorHAnsi"/>
          <w:b/>
          <w:sz w:val="24"/>
          <w:szCs w:val="24"/>
        </w:rPr>
      </w:pPr>
      <w:r>
        <w:rPr>
          <w:rFonts w:asciiTheme="minorHAnsi" w:hAnsiTheme="minorHAnsi"/>
          <w:b/>
          <w:sz w:val="24"/>
        </w:rPr>
        <w:lastRenderedPageBreak/>
        <w:t>Annexe 1</w:t>
      </w:r>
    </w:p>
    <w:p w14:paraId="0B060649" w14:textId="7DCC66B0" w:rsidR="00230310" w:rsidRDefault="00EB68CB" w:rsidP="1CA1DDE8">
      <w:pPr>
        <w:contextualSpacing/>
        <w:rPr>
          <w:rFonts w:asciiTheme="minorHAnsi" w:eastAsiaTheme="minorEastAsia" w:hAnsiTheme="minorHAnsi" w:cstheme="minorBidi"/>
        </w:rPr>
      </w:pPr>
      <w:r>
        <w:rPr>
          <w:rFonts w:asciiTheme="minorHAnsi" w:hAnsiTheme="minorHAnsi"/>
          <w:b/>
          <w:sz w:val="24"/>
        </w:rPr>
        <w:t xml:space="preserve">Calendrier d’application du plan de travail : </w:t>
      </w:r>
      <w:r w:rsidR="00CF5B44">
        <w:rPr>
          <w:rFonts w:asciiTheme="minorHAnsi" w:hAnsiTheme="minorHAnsi"/>
          <w:b/>
          <w:sz w:val="24"/>
        </w:rPr>
        <w:t>l</w:t>
      </w:r>
      <w:r>
        <w:rPr>
          <w:rFonts w:asciiTheme="minorHAnsi" w:hAnsiTheme="minorHAnsi"/>
          <w:b/>
          <w:sz w:val="24"/>
        </w:rPr>
        <w:t>iste des priorités en matière de financement non administratif pour 2023-2025</w:t>
      </w:r>
    </w:p>
    <w:p w14:paraId="1118CE87" w14:textId="2B331EE8" w:rsidR="00CA439F" w:rsidRDefault="00CA439F" w:rsidP="007972E0">
      <w:pPr>
        <w:contextualSpacing/>
        <w:rPr>
          <w:rFonts w:asciiTheme="minorHAnsi" w:eastAsiaTheme="minorHAnsi" w:hAnsiTheme="minorHAnsi" w:cstheme="minorHAnsi"/>
        </w:rPr>
      </w:pPr>
    </w:p>
    <w:p w14:paraId="633567F2" w14:textId="77777777" w:rsidR="00073625" w:rsidRPr="0006198A" w:rsidRDefault="00073625" w:rsidP="007972E0">
      <w:pPr>
        <w:contextualSpacing/>
        <w:rPr>
          <w:rFonts w:asciiTheme="minorHAnsi" w:eastAsiaTheme="minorHAnsi" w:hAnsiTheme="minorHAnsi" w:cstheme="minorHAnsi"/>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2"/>
        <w:gridCol w:w="1700"/>
        <w:gridCol w:w="2270"/>
        <w:gridCol w:w="1274"/>
        <w:gridCol w:w="3117"/>
        <w:gridCol w:w="2553"/>
        <w:gridCol w:w="2553"/>
      </w:tblGrid>
      <w:tr w:rsidR="00E66205" w:rsidRPr="004C143B" w14:paraId="5961225C" w14:textId="77777777" w:rsidTr="00BE3A3F">
        <w:trPr>
          <w:cantSplit/>
          <w:tblHeader/>
        </w:trPr>
        <w:tc>
          <w:tcPr>
            <w:tcW w:w="200" w:type="pct"/>
            <w:shd w:val="clear" w:color="auto" w:fill="B4C6E7"/>
            <w:vAlign w:val="center"/>
          </w:tcPr>
          <w:p w14:paraId="64216259" w14:textId="77777777" w:rsidR="00FF7846" w:rsidRPr="004C143B" w:rsidRDefault="00FF7846" w:rsidP="00BE3A3F">
            <w:pPr>
              <w:ind w:left="0" w:firstLine="0"/>
              <w:jc w:val="center"/>
              <w:rPr>
                <w:rFonts w:asciiTheme="minorHAnsi" w:eastAsia="Times New Roman" w:hAnsiTheme="minorHAnsi" w:cstheme="minorHAnsi"/>
                <w:b/>
                <w:bCs/>
                <w:color w:val="000000"/>
                <w:lang w:eastAsia="en-GB"/>
              </w:rPr>
            </w:pPr>
          </w:p>
        </w:tc>
        <w:tc>
          <w:tcPr>
            <w:tcW w:w="606" w:type="pct"/>
            <w:shd w:val="clear" w:color="auto" w:fill="B4C6E7"/>
            <w:noWrap/>
            <w:vAlign w:val="center"/>
            <w:hideMark/>
          </w:tcPr>
          <w:p w14:paraId="74E4B1B4" w14:textId="7908DD5E"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color w:val="000000"/>
              </w:rPr>
              <w:t>Postes non administratifs prioritaires</w:t>
            </w:r>
          </w:p>
        </w:tc>
        <w:tc>
          <w:tcPr>
            <w:tcW w:w="809" w:type="pct"/>
            <w:shd w:val="clear" w:color="auto" w:fill="B4C6E7"/>
            <w:vAlign w:val="center"/>
          </w:tcPr>
          <w:p w14:paraId="77D671F9" w14:textId="72053615"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color w:val="000000"/>
              </w:rPr>
              <w:t>Brève description</w:t>
            </w:r>
          </w:p>
        </w:tc>
        <w:tc>
          <w:tcPr>
            <w:tcW w:w="454" w:type="pct"/>
            <w:shd w:val="clear" w:color="auto" w:fill="B4C6E7"/>
            <w:noWrap/>
            <w:vAlign w:val="center"/>
          </w:tcPr>
          <w:p w14:paraId="10AAD748" w14:textId="5FEB946E" w:rsidR="00FF7846" w:rsidRPr="004C143B" w:rsidRDefault="00820624" w:rsidP="00BE3A3F">
            <w:pPr>
              <w:ind w:left="0" w:firstLine="0"/>
              <w:jc w:val="center"/>
              <w:rPr>
                <w:rFonts w:asciiTheme="minorHAnsi" w:eastAsia="Times New Roman" w:hAnsiTheme="minorHAnsi" w:cstheme="minorHAnsi"/>
                <w:b/>
                <w:bCs/>
                <w:color w:val="000000"/>
              </w:rPr>
            </w:pPr>
            <w:r>
              <w:rPr>
                <w:rFonts w:asciiTheme="minorHAnsi" w:hAnsiTheme="minorHAnsi"/>
                <w:b/>
                <w:color w:val="000000"/>
              </w:rPr>
              <w:t>Montant (CHF)</w:t>
            </w:r>
          </w:p>
        </w:tc>
        <w:tc>
          <w:tcPr>
            <w:tcW w:w="1111" w:type="pct"/>
            <w:shd w:val="clear" w:color="auto" w:fill="B4C6E7"/>
            <w:vAlign w:val="center"/>
          </w:tcPr>
          <w:p w14:paraId="6BA5ADE1" w14:textId="56F19AAE"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color w:val="000000"/>
              </w:rPr>
              <w:t>2023</w:t>
            </w:r>
          </w:p>
        </w:tc>
        <w:tc>
          <w:tcPr>
            <w:tcW w:w="910" w:type="pct"/>
            <w:shd w:val="clear" w:color="auto" w:fill="B4C6E7"/>
            <w:noWrap/>
            <w:vAlign w:val="center"/>
          </w:tcPr>
          <w:p w14:paraId="0511A8BF" w14:textId="6DFF0668"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color w:val="000000"/>
              </w:rPr>
              <w:t>2024</w:t>
            </w:r>
          </w:p>
        </w:tc>
        <w:tc>
          <w:tcPr>
            <w:tcW w:w="910" w:type="pct"/>
            <w:shd w:val="clear" w:color="auto" w:fill="B4C6E7"/>
            <w:noWrap/>
            <w:vAlign w:val="center"/>
            <w:hideMark/>
          </w:tcPr>
          <w:p w14:paraId="118354B9" w14:textId="3F810427" w:rsidR="00FF7846" w:rsidRPr="004C143B" w:rsidRDefault="00FF7846" w:rsidP="00BE3A3F">
            <w:pPr>
              <w:ind w:left="0" w:firstLine="0"/>
              <w:jc w:val="center"/>
              <w:rPr>
                <w:rFonts w:asciiTheme="minorHAnsi" w:eastAsia="Times New Roman" w:hAnsiTheme="minorHAnsi" w:cstheme="minorHAnsi"/>
                <w:b/>
                <w:bCs/>
                <w:color w:val="000000"/>
              </w:rPr>
            </w:pPr>
            <w:r>
              <w:rPr>
                <w:rFonts w:asciiTheme="minorHAnsi" w:hAnsiTheme="minorHAnsi"/>
                <w:b/>
                <w:color w:val="000000"/>
              </w:rPr>
              <w:t>2025</w:t>
            </w:r>
          </w:p>
        </w:tc>
      </w:tr>
      <w:tr w:rsidR="00E66205" w:rsidRPr="004C143B" w14:paraId="0762F194" w14:textId="77777777" w:rsidTr="004C143B">
        <w:trPr>
          <w:cantSplit/>
        </w:trPr>
        <w:tc>
          <w:tcPr>
            <w:tcW w:w="200" w:type="pct"/>
          </w:tcPr>
          <w:p w14:paraId="61A413E0" w14:textId="6BAA3931"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auto"/>
            <w:noWrap/>
            <w:hideMark/>
          </w:tcPr>
          <w:p w14:paraId="7E6FF95C" w14:textId="1EB35A83"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Missions consultatives Ramsar </w:t>
            </w:r>
          </w:p>
        </w:tc>
        <w:tc>
          <w:tcPr>
            <w:tcW w:w="809" w:type="pct"/>
          </w:tcPr>
          <w:p w14:paraId="11564953" w14:textId="7A6CA8A6" w:rsidR="00FF7846" w:rsidRPr="004C143B" w:rsidRDefault="49AFEA9B" w:rsidP="36DAF3CC">
            <w:pPr>
              <w:ind w:left="0" w:firstLine="0"/>
              <w:rPr>
                <w:rFonts w:asciiTheme="minorHAnsi" w:eastAsia="Times New Roman" w:hAnsiTheme="minorHAnsi" w:cstheme="minorHAnsi"/>
                <w:color w:val="000000" w:themeColor="text1"/>
              </w:rPr>
            </w:pPr>
            <w:r>
              <w:rPr>
                <w:rFonts w:asciiTheme="minorHAnsi" w:hAnsiTheme="minorHAnsi"/>
                <w:color w:val="000000" w:themeColor="text1"/>
              </w:rPr>
              <w:t>Faciliter la réalisation des MCR dans les pays qui en font la demande.</w:t>
            </w:r>
          </w:p>
          <w:p w14:paraId="062D2DD5" w14:textId="4E54DCC2" w:rsidR="00FF7846" w:rsidRPr="004C143B" w:rsidRDefault="00FF7846" w:rsidP="36DAF3CC">
            <w:pPr>
              <w:ind w:left="0" w:firstLine="0"/>
              <w:rPr>
                <w:rFonts w:asciiTheme="minorHAnsi" w:eastAsia="Times New Roman" w:hAnsiTheme="minorHAnsi" w:cstheme="minorHAnsi"/>
                <w:color w:val="000000"/>
                <w:lang w:eastAsia="en-GB"/>
              </w:rPr>
            </w:pPr>
          </w:p>
        </w:tc>
        <w:tc>
          <w:tcPr>
            <w:tcW w:w="454" w:type="pct"/>
            <w:shd w:val="clear" w:color="auto" w:fill="auto"/>
            <w:noWrap/>
            <w:hideMark/>
          </w:tcPr>
          <w:p w14:paraId="1E38B853" w14:textId="6EDC2C83"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225 000</w:t>
            </w:r>
          </w:p>
          <w:p w14:paraId="276C5B51" w14:textId="5661725A" w:rsidR="00FF7846" w:rsidRPr="004C143B" w:rsidRDefault="00FF7846" w:rsidP="00FF7846">
            <w:pPr>
              <w:ind w:left="0" w:firstLine="0"/>
              <w:jc w:val="center"/>
              <w:rPr>
                <w:rFonts w:asciiTheme="minorHAnsi" w:eastAsia="Times New Roman" w:hAnsiTheme="minorHAnsi" w:cstheme="minorHAnsi"/>
                <w:color w:val="000000"/>
                <w:lang w:eastAsia="en-GB"/>
              </w:rPr>
            </w:pPr>
          </w:p>
        </w:tc>
        <w:tc>
          <w:tcPr>
            <w:tcW w:w="1111" w:type="pct"/>
          </w:tcPr>
          <w:p w14:paraId="3E83D1FC" w14:textId="2217E7AC" w:rsidR="70100E02" w:rsidRPr="004C143B" w:rsidRDefault="7068859A" w:rsidP="2718667C">
            <w:pPr>
              <w:pStyle w:val="ListParagraph"/>
              <w:numPr>
                <w:ilvl w:val="0"/>
                <w:numId w:val="36"/>
              </w:numPr>
              <w:rPr>
                <w:rFonts w:asciiTheme="minorHAnsi" w:eastAsia="Times New Roman" w:hAnsiTheme="minorHAnsi" w:cstheme="minorHAnsi"/>
                <w:color w:val="000000" w:themeColor="text1"/>
              </w:rPr>
            </w:pPr>
            <w:r>
              <w:rPr>
                <w:rFonts w:asciiTheme="minorHAnsi" w:hAnsiTheme="minorHAnsi"/>
                <w:color w:val="000000" w:themeColor="text1"/>
              </w:rPr>
              <w:t>Dresser la liste des MCR.</w:t>
            </w:r>
          </w:p>
          <w:p w14:paraId="5144097A" w14:textId="539C0D22" w:rsidR="00FF7846" w:rsidRPr="004C143B" w:rsidRDefault="70100E02"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Faire l’état des lieux des bailleurs de fonds. </w:t>
            </w:r>
          </w:p>
          <w:p w14:paraId="3E1311FB" w14:textId="77777777" w:rsidR="00CF5B44" w:rsidRPr="00CF5B44" w:rsidRDefault="3BD4D9B1" w:rsidP="36DAF3C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Élaborer des notes de synthèse. </w:t>
            </w:r>
          </w:p>
          <w:p w14:paraId="1CF1EF79" w14:textId="7528ECD8" w:rsidR="00FF7846" w:rsidRPr="004C143B" w:rsidRDefault="3BD4D9B1" w:rsidP="36DAF3C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Sensibilisation des partenaires et des bailleurs de fonds.</w:t>
            </w:r>
          </w:p>
        </w:tc>
        <w:tc>
          <w:tcPr>
            <w:tcW w:w="910" w:type="pct"/>
            <w:shd w:val="clear" w:color="auto" w:fill="auto"/>
            <w:noWrap/>
            <w:hideMark/>
          </w:tcPr>
          <w:p w14:paraId="32E1DAB3" w14:textId="03E89D7E" w:rsidR="00FF7846" w:rsidRPr="004C143B" w:rsidRDefault="00FF7846" w:rsidP="00864A66">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rPr>
              <w:t xml:space="preserve">Dresser la liste des MCR. </w:t>
            </w:r>
          </w:p>
          <w:p w14:paraId="1F7D360D" w14:textId="0DEEA1C6" w:rsidR="00FF7846" w:rsidRPr="004C143B" w:rsidRDefault="70100E02"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Faire l’état des lieux des bailleurs de fonds. </w:t>
            </w:r>
          </w:p>
          <w:p w14:paraId="3B1AEE61" w14:textId="5CBBC328" w:rsidR="4B83F2E5" w:rsidRPr="004C143B" w:rsidRDefault="4B83F2E5" w:rsidP="2718667C">
            <w:pPr>
              <w:pStyle w:val="ListParagraph"/>
              <w:numPr>
                <w:ilvl w:val="0"/>
                <w:numId w:val="36"/>
              </w:numPr>
              <w:rPr>
                <w:rFonts w:asciiTheme="minorHAnsi" w:hAnsiTheme="minorHAnsi" w:cstheme="minorHAnsi"/>
                <w:color w:val="000000" w:themeColor="text1"/>
              </w:rPr>
            </w:pPr>
            <w:r>
              <w:rPr>
                <w:rFonts w:asciiTheme="minorHAnsi" w:hAnsiTheme="minorHAnsi"/>
                <w:color w:val="000000" w:themeColor="text1"/>
              </w:rPr>
              <w:t>Élaborer des notes de synthèse.</w:t>
            </w:r>
          </w:p>
          <w:p w14:paraId="02F7FB1C" w14:textId="7C6108F4" w:rsidR="00FF7846" w:rsidRPr="004C143B" w:rsidRDefault="70100E02" w:rsidP="004C143B">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Sensibilisation des partenaires et des bailleurs de fonds. </w:t>
            </w:r>
          </w:p>
        </w:tc>
        <w:tc>
          <w:tcPr>
            <w:tcW w:w="910" w:type="pct"/>
            <w:shd w:val="clear" w:color="auto" w:fill="auto"/>
            <w:noWrap/>
            <w:hideMark/>
          </w:tcPr>
          <w:p w14:paraId="28AD0C96" w14:textId="0FB7FCD4" w:rsidR="00FF7846" w:rsidRPr="004C143B" w:rsidRDefault="70100E02" w:rsidP="00532598">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Dresser la liste des MCR. </w:t>
            </w:r>
          </w:p>
          <w:p w14:paraId="6B45309C" w14:textId="5AD78FD5" w:rsidR="00FF7846" w:rsidRPr="004C143B" w:rsidRDefault="70100E02"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Faire l’état des lieux des bailleurs de fonds.</w:t>
            </w:r>
          </w:p>
          <w:p w14:paraId="17C5CFC0" w14:textId="6EA32C10" w:rsidR="00FF7846" w:rsidRPr="004C143B" w:rsidRDefault="5757E526" w:rsidP="2718667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Élaborer des notes de synthèse.  </w:t>
            </w:r>
          </w:p>
          <w:p w14:paraId="7E691BFD" w14:textId="0536260E" w:rsidR="00FF7846" w:rsidRPr="004C143B" w:rsidRDefault="70100E02" w:rsidP="00532598">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Sensibilisation des partenaires et des bailleurs de fonds.</w:t>
            </w:r>
          </w:p>
        </w:tc>
      </w:tr>
      <w:tr w:rsidR="00E66205" w:rsidRPr="004C143B" w14:paraId="0336BEC2" w14:textId="77777777" w:rsidTr="004C143B">
        <w:trPr>
          <w:cantSplit/>
        </w:trPr>
        <w:tc>
          <w:tcPr>
            <w:tcW w:w="200" w:type="pct"/>
            <w:shd w:val="clear" w:color="auto" w:fill="DDEBF7"/>
          </w:tcPr>
          <w:p w14:paraId="4625C6AD"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DDEBF7"/>
            <w:noWrap/>
          </w:tcPr>
          <w:p w14:paraId="7E70C735" w14:textId="36E3399B"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 Jeunesse dans le contexte des zones humides</w:t>
            </w:r>
          </w:p>
        </w:tc>
        <w:tc>
          <w:tcPr>
            <w:tcW w:w="809" w:type="pct"/>
            <w:shd w:val="clear" w:color="auto" w:fill="DDEBF7"/>
          </w:tcPr>
          <w:p w14:paraId="10B682CC" w14:textId="2C2B2705"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Renforcer l’implication et la participation des jeunes.</w:t>
            </w:r>
          </w:p>
        </w:tc>
        <w:tc>
          <w:tcPr>
            <w:tcW w:w="454" w:type="pct"/>
            <w:shd w:val="clear" w:color="auto" w:fill="DDEBF7"/>
            <w:noWrap/>
          </w:tcPr>
          <w:p w14:paraId="1197F36D" w14:textId="02AF9DF7"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280 000</w:t>
            </w:r>
          </w:p>
        </w:tc>
        <w:tc>
          <w:tcPr>
            <w:tcW w:w="1111" w:type="pct"/>
            <w:shd w:val="clear" w:color="auto" w:fill="DDEBF7"/>
          </w:tcPr>
          <w:p w14:paraId="63A24385" w14:textId="65B28AD2" w:rsidR="00FF7846" w:rsidRPr="004C143B" w:rsidRDefault="7068859A" w:rsidP="36DAF3CC">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Élaborer des propositions d’activités basées sur le plan de travail du Groupe de travail sur la jeunesse. </w:t>
            </w:r>
          </w:p>
          <w:p w14:paraId="66EDB4E3" w14:textId="637D9C99" w:rsidR="00762121" w:rsidRPr="004C143B" w:rsidRDefault="5F0C3C9F" w:rsidP="007B0010">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Inviter les Parties contractantes intéressées à financer le poste de Conseiller Jeunesse. </w:t>
            </w:r>
          </w:p>
          <w:p w14:paraId="7D769647" w14:textId="09E585A1" w:rsidR="00FF7846" w:rsidRPr="004C143B" w:rsidRDefault="70100E02" w:rsidP="007B0010">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 xml:space="preserve">Faire l’état des lieux des bailleurs de fonds.  </w:t>
            </w:r>
          </w:p>
          <w:p w14:paraId="640A7ECF" w14:textId="4EFED8DC" w:rsidR="00FF7846" w:rsidRPr="004C143B" w:rsidRDefault="7068859A" w:rsidP="004C143B">
            <w:pPr>
              <w:pStyle w:val="ListParagraph"/>
              <w:numPr>
                <w:ilvl w:val="0"/>
                <w:numId w:val="36"/>
              </w:numPr>
              <w:rPr>
                <w:rFonts w:asciiTheme="minorHAnsi" w:eastAsia="Times New Roman" w:hAnsiTheme="minorHAnsi" w:cstheme="minorHAnsi"/>
                <w:color w:val="000000"/>
              </w:rPr>
            </w:pPr>
            <w:r>
              <w:rPr>
                <w:rFonts w:asciiTheme="minorHAnsi" w:hAnsiTheme="minorHAnsi"/>
                <w:color w:val="000000" w:themeColor="text1"/>
              </w:rPr>
              <w:t>Sensibilisation des partenaires et des bailleurs de fonds.</w:t>
            </w:r>
          </w:p>
        </w:tc>
        <w:tc>
          <w:tcPr>
            <w:tcW w:w="910" w:type="pct"/>
            <w:shd w:val="clear" w:color="auto" w:fill="DDEBF7"/>
            <w:noWrap/>
          </w:tcPr>
          <w:p w14:paraId="1C19AE0F" w14:textId="15760664" w:rsidR="00FF7846" w:rsidRPr="004C143B" w:rsidRDefault="00FF7846" w:rsidP="002C67D1">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p w14:paraId="739705D6" w14:textId="34170CE5" w:rsidR="00E66205" w:rsidRPr="004C143B" w:rsidRDefault="00E66205" w:rsidP="00E66205">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Inviter les Parties contractantes intéressées à financer le poste de Conseiller Jeunesse. </w:t>
            </w:r>
          </w:p>
          <w:p w14:paraId="0D625FE3" w14:textId="6BBD9BAF" w:rsidR="00FF7846" w:rsidRPr="004C143B" w:rsidRDefault="00FF7846" w:rsidP="002C67D1">
            <w:pPr>
              <w:ind w:left="0" w:firstLine="0"/>
              <w:rPr>
                <w:rFonts w:asciiTheme="minorHAnsi" w:eastAsia="Times New Roman" w:hAnsiTheme="minorHAnsi" w:cstheme="minorHAnsi"/>
                <w:color w:val="000000"/>
                <w:lang w:eastAsia="en-GB"/>
              </w:rPr>
            </w:pPr>
          </w:p>
        </w:tc>
        <w:tc>
          <w:tcPr>
            <w:tcW w:w="910" w:type="pct"/>
            <w:shd w:val="clear" w:color="auto" w:fill="DDEBF7"/>
            <w:noWrap/>
          </w:tcPr>
          <w:p w14:paraId="00C20B69" w14:textId="3800C87A" w:rsidR="00FF7846" w:rsidRPr="004C143B" w:rsidRDefault="00FF7846" w:rsidP="002C67D1">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p w14:paraId="2D12D41A" w14:textId="499C68C6" w:rsidR="00E66205" w:rsidRPr="004C143B" w:rsidRDefault="00E66205" w:rsidP="00E66205">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Inviter les Parties contractantes intéressées à financer le poste de Conseiller Jeunesse. </w:t>
            </w:r>
          </w:p>
          <w:p w14:paraId="12053F4A" w14:textId="77777777" w:rsidR="00FF7846" w:rsidRPr="004C143B" w:rsidRDefault="00FF7846" w:rsidP="002C67D1">
            <w:pPr>
              <w:ind w:left="0" w:firstLine="0"/>
              <w:rPr>
                <w:rFonts w:asciiTheme="minorHAnsi" w:eastAsia="Times New Roman" w:hAnsiTheme="minorHAnsi" w:cstheme="minorHAnsi"/>
                <w:color w:val="000000"/>
                <w:lang w:eastAsia="en-GB"/>
              </w:rPr>
            </w:pPr>
          </w:p>
        </w:tc>
      </w:tr>
      <w:tr w:rsidR="00864A66" w:rsidRPr="004C143B" w14:paraId="5301B96B" w14:textId="77777777" w:rsidTr="004C143B">
        <w:trPr>
          <w:cantSplit/>
        </w:trPr>
        <w:tc>
          <w:tcPr>
            <w:tcW w:w="200" w:type="pct"/>
            <w:shd w:val="clear" w:color="auto" w:fill="FFFFFF" w:themeFill="background1"/>
          </w:tcPr>
          <w:p w14:paraId="06200D8C"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FFFFFF" w:themeFill="background1"/>
            <w:noWrap/>
          </w:tcPr>
          <w:p w14:paraId="44FE1955" w14:textId="5F8B82A6"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Appui aux centres et réseaux d’Initiatives régionales </w:t>
            </w:r>
          </w:p>
        </w:tc>
        <w:tc>
          <w:tcPr>
            <w:tcW w:w="809" w:type="pct"/>
            <w:shd w:val="clear" w:color="auto" w:fill="FFFFFF" w:themeFill="background1"/>
          </w:tcPr>
          <w:p w14:paraId="70EFD2D1" w14:textId="0C30D2E8"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Soutenir les objectifs de collecte de fonds des IRR </w:t>
            </w:r>
          </w:p>
        </w:tc>
        <w:tc>
          <w:tcPr>
            <w:tcW w:w="454" w:type="pct"/>
            <w:shd w:val="clear" w:color="auto" w:fill="FFFFFF" w:themeFill="background1"/>
            <w:noWrap/>
          </w:tcPr>
          <w:p w14:paraId="2D12C7F8" w14:textId="684B9E94"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150 000</w:t>
            </w:r>
          </w:p>
        </w:tc>
        <w:tc>
          <w:tcPr>
            <w:tcW w:w="1111" w:type="pct"/>
            <w:shd w:val="clear" w:color="auto" w:fill="FFFFFF" w:themeFill="background1"/>
          </w:tcPr>
          <w:p w14:paraId="48D2E0C0" w14:textId="2DD27CF9" w:rsidR="00FF7846" w:rsidRPr="004C143B" w:rsidRDefault="49AFEA9B" w:rsidP="36DAF3CC">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themeColor="text1"/>
              </w:rPr>
              <w:t xml:space="preserve">Prendre contact avec les IRR pour identifier les besoins de financement/discuter des options de collecte de fonds. </w:t>
            </w:r>
          </w:p>
          <w:p w14:paraId="0E14F011" w14:textId="4CD769F9" w:rsidR="00FF7846" w:rsidRPr="004C143B" w:rsidRDefault="00FF7846" w:rsidP="00086BAD">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 xml:space="preserve">Faire l’état des lieux des bailleurs de fonds. </w:t>
            </w:r>
          </w:p>
          <w:p w14:paraId="435EDD7F" w14:textId="0997EDAB" w:rsidR="00FF7846" w:rsidRPr="004C143B" w:rsidRDefault="00FF7846" w:rsidP="00903D13">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Sensibilisation des partenaires et des bailleurs de fonds.</w:t>
            </w:r>
          </w:p>
        </w:tc>
        <w:tc>
          <w:tcPr>
            <w:tcW w:w="910" w:type="pct"/>
            <w:shd w:val="clear" w:color="auto" w:fill="FFFFFF" w:themeFill="background1"/>
            <w:noWrap/>
          </w:tcPr>
          <w:p w14:paraId="1619CCED" w14:textId="231FC930" w:rsidR="00FF7846" w:rsidRPr="004C143B" w:rsidRDefault="00FF7846" w:rsidP="009463C5">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Sensibilisation des partenaires et des bailleurs de fonds.</w:t>
            </w:r>
          </w:p>
          <w:p w14:paraId="448E530E" w14:textId="3B29884E" w:rsidR="00FF7846" w:rsidRPr="004C143B" w:rsidRDefault="00FF7846" w:rsidP="00EB68CB">
            <w:pPr>
              <w:ind w:left="0" w:firstLine="0"/>
              <w:rPr>
                <w:rFonts w:asciiTheme="minorHAnsi" w:eastAsia="Times New Roman" w:hAnsiTheme="minorHAnsi" w:cstheme="minorHAnsi"/>
                <w:color w:val="000000"/>
                <w:lang w:eastAsia="en-GB"/>
              </w:rPr>
            </w:pPr>
          </w:p>
        </w:tc>
        <w:tc>
          <w:tcPr>
            <w:tcW w:w="910" w:type="pct"/>
            <w:shd w:val="clear" w:color="auto" w:fill="FFFFFF" w:themeFill="background1"/>
            <w:noWrap/>
          </w:tcPr>
          <w:p w14:paraId="419932F1" w14:textId="1117C512" w:rsidR="00FF7846" w:rsidRPr="004C143B" w:rsidRDefault="00FF7846" w:rsidP="009463C5">
            <w:pPr>
              <w:pStyle w:val="ListParagraph"/>
              <w:numPr>
                <w:ilvl w:val="0"/>
                <w:numId w:val="39"/>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p w14:paraId="23151163" w14:textId="77777777" w:rsidR="00FF7846" w:rsidRPr="004C143B" w:rsidRDefault="00FF7846" w:rsidP="00EB68CB">
            <w:pPr>
              <w:ind w:left="0" w:firstLine="0"/>
              <w:rPr>
                <w:rFonts w:asciiTheme="minorHAnsi" w:eastAsia="Times New Roman" w:hAnsiTheme="minorHAnsi" w:cstheme="minorHAnsi"/>
                <w:color w:val="000000"/>
                <w:lang w:eastAsia="en-GB"/>
              </w:rPr>
            </w:pPr>
          </w:p>
        </w:tc>
      </w:tr>
      <w:tr w:rsidR="00E66205" w:rsidRPr="004C143B" w14:paraId="53175D20" w14:textId="77777777" w:rsidTr="004C143B">
        <w:trPr>
          <w:cantSplit/>
        </w:trPr>
        <w:tc>
          <w:tcPr>
            <w:tcW w:w="200" w:type="pct"/>
            <w:shd w:val="clear" w:color="auto" w:fill="DDEBF7"/>
          </w:tcPr>
          <w:p w14:paraId="51C2B5FE"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DDEBF7"/>
            <w:noWrap/>
          </w:tcPr>
          <w:p w14:paraId="6B926390" w14:textId="40171D10"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Journée mondiale des zones humides </w:t>
            </w:r>
          </w:p>
        </w:tc>
        <w:tc>
          <w:tcPr>
            <w:tcW w:w="809" w:type="pct"/>
            <w:shd w:val="clear" w:color="auto" w:fill="DDEBF7"/>
          </w:tcPr>
          <w:p w14:paraId="09D8B15E" w14:textId="4817BBC3"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Financer l’élaboration de supports de communication et de sensibilisation.</w:t>
            </w:r>
          </w:p>
        </w:tc>
        <w:tc>
          <w:tcPr>
            <w:tcW w:w="454" w:type="pct"/>
            <w:shd w:val="clear" w:color="auto" w:fill="DDEBF7"/>
            <w:noWrap/>
          </w:tcPr>
          <w:p w14:paraId="1B48D794" w14:textId="77777777"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250 000</w:t>
            </w:r>
          </w:p>
          <w:p w14:paraId="7AE6645B" w14:textId="66F1BE89" w:rsidR="00C03F48" w:rsidRPr="004C143B" w:rsidRDefault="00C03F48" w:rsidP="00FF7846">
            <w:pPr>
              <w:ind w:left="0" w:firstLine="0"/>
              <w:jc w:val="center"/>
              <w:rPr>
                <w:rFonts w:asciiTheme="minorHAnsi" w:eastAsia="Times New Roman" w:hAnsiTheme="minorHAnsi" w:cstheme="minorHAnsi"/>
                <w:color w:val="000000"/>
                <w:lang w:eastAsia="en-GB"/>
              </w:rPr>
            </w:pPr>
          </w:p>
        </w:tc>
        <w:tc>
          <w:tcPr>
            <w:tcW w:w="1111" w:type="pct"/>
            <w:shd w:val="clear" w:color="auto" w:fill="DDEBF7"/>
          </w:tcPr>
          <w:p w14:paraId="28F9B58D" w14:textId="4782A23C" w:rsidR="00FF7846" w:rsidRPr="004C143B" w:rsidRDefault="00FF7846" w:rsidP="00A24404">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Préparer une proposition.  </w:t>
            </w:r>
          </w:p>
          <w:p w14:paraId="42FFEE98" w14:textId="72CB3947" w:rsidR="00FF7846" w:rsidRPr="004C143B" w:rsidRDefault="00FF7846" w:rsidP="00864A66">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tc>
        <w:tc>
          <w:tcPr>
            <w:tcW w:w="910" w:type="pct"/>
            <w:shd w:val="clear" w:color="auto" w:fill="DDEBF7"/>
            <w:noWrap/>
          </w:tcPr>
          <w:p w14:paraId="34E7FBE8" w14:textId="1CBF9742" w:rsidR="00FF7846" w:rsidRPr="004C143B" w:rsidRDefault="00FF7846" w:rsidP="000805B0">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Préparer une proposition.</w:t>
            </w:r>
          </w:p>
          <w:p w14:paraId="73A4E619" w14:textId="37CED7FA" w:rsidR="00FF7846" w:rsidRPr="004C143B" w:rsidRDefault="00FF7846" w:rsidP="000805B0">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Sensibilisation des partenaires et des bailleurs de fonds.</w:t>
            </w:r>
          </w:p>
        </w:tc>
        <w:tc>
          <w:tcPr>
            <w:tcW w:w="910" w:type="pct"/>
            <w:shd w:val="clear" w:color="auto" w:fill="DDEBF7"/>
            <w:noWrap/>
          </w:tcPr>
          <w:p w14:paraId="2599067A" w14:textId="77777777" w:rsidR="00FF7846" w:rsidRPr="004C143B" w:rsidRDefault="00FF7846" w:rsidP="00E03E71">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Préparer une proposition.  </w:t>
            </w:r>
          </w:p>
          <w:p w14:paraId="181C54C8" w14:textId="28DEF4E4" w:rsidR="00FF7846" w:rsidRPr="004C143B" w:rsidRDefault="00FF7846" w:rsidP="00E03E71">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Sensibilisation des partenaires et des bailleurs de fonds.</w:t>
            </w:r>
          </w:p>
        </w:tc>
      </w:tr>
      <w:tr w:rsidR="00864A66" w:rsidRPr="004C143B" w14:paraId="1C1E53D9" w14:textId="77777777" w:rsidTr="004C143B">
        <w:trPr>
          <w:cantSplit/>
        </w:trPr>
        <w:tc>
          <w:tcPr>
            <w:tcW w:w="200" w:type="pct"/>
            <w:shd w:val="clear" w:color="auto" w:fill="FFFFFF" w:themeFill="background1"/>
          </w:tcPr>
          <w:p w14:paraId="5D03D528"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FFFFFF" w:themeFill="background1"/>
            <w:noWrap/>
          </w:tcPr>
          <w:p w14:paraId="2C6965CE" w14:textId="49B360A4" w:rsidR="00FF7846" w:rsidRPr="004C143B" w:rsidRDefault="00FF7846" w:rsidP="00BE3A3F">
            <w:pPr>
              <w:ind w:left="0" w:firstLine="0"/>
              <w:rPr>
                <w:rFonts w:asciiTheme="minorHAnsi" w:eastAsia="Times New Roman" w:hAnsiTheme="minorHAnsi" w:cstheme="minorHAnsi"/>
                <w:color w:val="000000"/>
              </w:rPr>
            </w:pPr>
            <w:r>
              <w:rPr>
                <w:rFonts w:asciiTheme="minorHAnsi" w:hAnsiTheme="minorHAnsi"/>
                <w:color w:val="000000"/>
              </w:rPr>
              <w:t xml:space="preserve">Inventaires des zones humides </w:t>
            </w:r>
          </w:p>
        </w:tc>
        <w:tc>
          <w:tcPr>
            <w:tcW w:w="809" w:type="pct"/>
            <w:shd w:val="clear" w:color="auto" w:fill="FFFFFF" w:themeFill="background1"/>
          </w:tcPr>
          <w:p w14:paraId="4FB9FCA2" w14:textId="396F8CA9"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Aider les Parties contractantes à commencer, mener ou achever l’inventaire de leurs zones humides. </w:t>
            </w:r>
          </w:p>
        </w:tc>
        <w:tc>
          <w:tcPr>
            <w:tcW w:w="454" w:type="pct"/>
            <w:shd w:val="clear" w:color="auto" w:fill="FFFFFF" w:themeFill="background1"/>
            <w:noWrap/>
          </w:tcPr>
          <w:p w14:paraId="009B842C" w14:textId="0970EC27"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165 000</w:t>
            </w:r>
          </w:p>
        </w:tc>
        <w:tc>
          <w:tcPr>
            <w:tcW w:w="1111" w:type="pct"/>
            <w:shd w:val="clear" w:color="auto" w:fill="FFFFFF" w:themeFill="background1"/>
          </w:tcPr>
          <w:p w14:paraId="17257408" w14:textId="6F0ACCE0" w:rsidR="00AB667B" w:rsidRPr="004C143B" w:rsidRDefault="28387FA0" w:rsidP="36DAF3CC">
            <w:pPr>
              <w:pStyle w:val="ListParagraph"/>
              <w:numPr>
                <w:ilvl w:val="0"/>
                <w:numId w:val="47"/>
              </w:numPr>
              <w:rPr>
                <w:rFonts w:asciiTheme="minorHAnsi" w:eastAsia="Times New Roman" w:hAnsiTheme="minorHAnsi" w:cstheme="minorHAnsi"/>
                <w:color w:val="000000"/>
              </w:rPr>
            </w:pPr>
            <w:r>
              <w:rPr>
                <w:rFonts w:asciiTheme="minorHAnsi" w:hAnsiTheme="minorHAnsi"/>
                <w:color w:val="000000" w:themeColor="text1"/>
              </w:rPr>
              <w:t xml:space="preserve">Partager la proposition de projet avec les partenaires et les bailleurs de fonds. </w:t>
            </w:r>
          </w:p>
          <w:p w14:paraId="48C8D9F4" w14:textId="31A17818" w:rsidR="00FF7846" w:rsidRPr="00F37FA4" w:rsidRDefault="00FF5E1D" w:rsidP="00F37FA4">
            <w:pPr>
              <w:pStyle w:val="ListParagraph"/>
              <w:numPr>
                <w:ilvl w:val="0"/>
                <w:numId w:val="47"/>
              </w:numPr>
              <w:rPr>
                <w:rFonts w:asciiTheme="minorHAnsi" w:eastAsia="Times New Roman" w:hAnsiTheme="minorHAnsi" w:cstheme="minorHAnsi"/>
                <w:color w:val="000000"/>
              </w:rPr>
            </w:pPr>
            <w:r>
              <w:rPr>
                <w:rFonts w:asciiTheme="minorHAnsi" w:hAnsiTheme="minorHAnsi"/>
                <w:color w:val="000000" w:themeColor="text1"/>
              </w:rPr>
              <w:t xml:space="preserve">Informer les bailleurs de fonds actuels de l’état d’avancement de la mise en œuvre. </w:t>
            </w:r>
          </w:p>
        </w:tc>
        <w:tc>
          <w:tcPr>
            <w:tcW w:w="910" w:type="pct"/>
            <w:shd w:val="clear" w:color="auto" w:fill="FFFFFF" w:themeFill="background1"/>
            <w:noWrap/>
          </w:tcPr>
          <w:p w14:paraId="2AEC3FB0" w14:textId="32257B29" w:rsidR="00FF7846" w:rsidRPr="004C143B" w:rsidRDefault="00FF7846" w:rsidP="00D563B4">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p w14:paraId="692A2D40" w14:textId="1A890983" w:rsidR="00FF7846" w:rsidRPr="004C143B" w:rsidRDefault="00FF5E1D" w:rsidP="004C143B">
            <w:pPr>
              <w:pStyle w:val="ListParagraph"/>
              <w:numPr>
                <w:ilvl w:val="0"/>
                <w:numId w:val="38"/>
              </w:numPr>
            </w:pPr>
            <w:r>
              <w:rPr>
                <w:rFonts w:asciiTheme="minorHAnsi" w:hAnsiTheme="minorHAnsi"/>
                <w:color w:val="000000"/>
              </w:rPr>
              <w:t xml:space="preserve">Informer les bailleurs de fonds actuels de l'état d'avancement de la mise en œuvre. </w:t>
            </w:r>
          </w:p>
        </w:tc>
        <w:tc>
          <w:tcPr>
            <w:tcW w:w="910" w:type="pct"/>
            <w:shd w:val="clear" w:color="auto" w:fill="FFFFFF" w:themeFill="background1"/>
            <w:noWrap/>
          </w:tcPr>
          <w:p w14:paraId="6911D946" w14:textId="62F29647" w:rsidR="00FF7846" w:rsidRPr="004C143B" w:rsidRDefault="00FF7846" w:rsidP="00E03E71">
            <w:pPr>
              <w:pStyle w:val="ListParagraph"/>
              <w:numPr>
                <w:ilvl w:val="0"/>
                <w:numId w:val="38"/>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p w14:paraId="1216E2F8" w14:textId="163EA36F" w:rsidR="00FF7846" w:rsidRPr="004C143B" w:rsidRDefault="00FF5E1D" w:rsidP="00F37FA4">
            <w:pPr>
              <w:pStyle w:val="ListParagraph"/>
              <w:numPr>
                <w:ilvl w:val="0"/>
                <w:numId w:val="38"/>
              </w:numPr>
            </w:pPr>
            <w:r>
              <w:rPr>
                <w:rFonts w:asciiTheme="minorHAnsi" w:hAnsiTheme="minorHAnsi"/>
                <w:color w:val="000000"/>
              </w:rPr>
              <w:t xml:space="preserve">Informer les bailleurs de fonds actuels de l'état d'avancement de la mise en œuvre. </w:t>
            </w:r>
          </w:p>
        </w:tc>
      </w:tr>
      <w:tr w:rsidR="00E66205" w:rsidRPr="004C143B" w14:paraId="29EE9B08" w14:textId="77777777" w:rsidTr="004C143B">
        <w:trPr>
          <w:cantSplit/>
        </w:trPr>
        <w:tc>
          <w:tcPr>
            <w:tcW w:w="200" w:type="pct"/>
            <w:shd w:val="clear" w:color="auto" w:fill="DDEBF7"/>
          </w:tcPr>
          <w:p w14:paraId="7B8B59CA"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DDEBF7"/>
            <w:noWrap/>
          </w:tcPr>
          <w:p w14:paraId="691E1EA3" w14:textId="0F841565" w:rsidR="00FF7846" w:rsidRPr="004C143B" w:rsidRDefault="00FF7846" w:rsidP="00BE3A3F">
            <w:pPr>
              <w:ind w:left="0" w:firstLine="0"/>
              <w:rPr>
                <w:rFonts w:asciiTheme="minorHAnsi" w:eastAsia="Times New Roman" w:hAnsiTheme="minorHAnsi" w:cstheme="minorHAnsi"/>
                <w:color w:val="000000"/>
              </w:rPr>
            </w:pPr>
            <w:r>
              <w:rPr>
                <w:rFonts w:asciiTheme="minorHAnsi" w:hAnsiTheme="minorHAnsi"/>
                <w:color w:val="000000"/>
              </w:rPr>
              <w:t>Frais de déplacement des délégués parrainés pour la COP15</w:t>
            </w:r>
          </w:p>
        </w:tc>
        <w:tc>
          <w:tcPr>
            <w:tcW w:w="809" w:type="pct"/>
            <w:shd w:val="clear" w:color="auto" w:fill="DDEBF7"/>
          </w:tcPr>
          <w:p w14:paraId="64BC7012" w14:textId="747D2F6C"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Soutien financier aux Parties contractantes figurant sur la liste du CAD et des petits États insulaires en développement, afin de leur permettre de participer à la session.</w:t>
            </w:r>
          </w:p>
        </w:tc>
        <w:tc>
          <w:tcPr>
            <w:tcW w:w="454" w:type="pct"/>
            <w:shd w:val="clear" w:color="auto" w:fill="DDEBF7"/>
            <w:noWrap/>
          </w:tcPr>
          <w:p w14:paraId="2A0E5FCF" w14:textId="0D163860"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600 000</w:t>
            </w:r>
          </w:p>
        </w:tc>
        <w:tc>
          <w:tcPr>
            <w:tcW w:w="1111" w:type="pct"/>
            <w:shd w:val="clear" w:color="auto" w:fill="DDEBF7"/>
          </w:tcPr>
          <w:p w14:paraId="62963168" w14:textId="16CCE769" w:rsidR="00FF7846" w:rsidRPr="004C143B" w:rsidRDefault="7068859A" w:rsidP="36DAF3CC">
            <w:pPr>
              <w:pStyle w:val="ListParagraph"/>
              <w:numPr>
                <w:ilvl w:val="0"/>
                <w:numId w:val="46"/>
              </w:numPr>
              <w:rPr>
                <w:rFonts w:asciiTheme="minorHAnsi" w:eastAsia="Times New Roman" w:hAnsiTheme="minorHAnsi" w:cstheme="minorHAnsi"/>
                <w:color w:val="000000"/>
              </w:rPr>
            </w:pPr>
            <w:r>
              <w:rPr>
                <w:rFonts w:asciiTheme="minorHAnsi" w:hAnsiTheme="minorHAnsi"/>
                <w:color w:val="000000" w:themeColor="text1"/>
              </w:rPr>
              <w:t xml:space="preserve">Faire l’état des lieux des bailleurs de fonds. </w:t>
            </w:r>
          </w:p>
        </w:tc>
        <w:tc>
          <w:tcPr>
            <w:tcW w:w="910" w:type="pct"/>
            <w:shd w:val="clear" w:color="auto" w:fill="DDEBF7"/>
            <w:noWrap/>
          </w:tcPr>
          <w:p w14:paraId="07007C4C" w14:textId="77777777" w:rsidR="00FF7846" w:rsidRPr="004C143B" w:rsidRDefault="00FF7846" w:rsidP="00231D73">
            <w:pPr>
              <w:pStyle w:val="ListParagraph"/>
              <w:numPr>
                <w:ilvl w:val="0"/>
                <w:numId w:val="42"/>
              </w:numPr>
              <w:rPr>
                <w:rFonts w:asciiTheme="minorHAnsi" w:eastAsia="Times New Roman" w:hAnsiTheme="minorHAnsi" w:cstheme="minorHAnsi"/>
                <w:color w:val="000000"/>
              </w:rPr>
            </w:pPr>
            <w:r>
              <w:rPr>
                <w:rFonts w:asciiTheme="minorHAnsi" w:hAnsiTheme="minorHAnsi"/>
                <w:color w:val="000000"/>
              </w:rPr>
              <w:t xml:space="preserve">Préparer la proposition. </w:t>
            </w:r>
          </w:p>
          <w:p w14:paraId="047E4079" w14:textId="0F7C1F73" w:rsidR="00FF7846" w:rsidRPr="004C143B" w:rsidRDefault="00FF7846" w:rsidP="00231D73">
            <w:pPr>
              <w:pStyle w:val="ListParagraph"/>
              <w:numPr>
                <w:ilvl w:val="0"/>
                <w:numId w:val="42"/>
              </w:numPr>
              <w:rPr>
                <w:rFonts w:asciiTheme="minorHAnsi" w:eastAsia="Times New Roman" w:hAnsiTheme="minorHAnsi" w:cstheme="minorHAnsi"/>
                <w:color w:val="000000"/>
              </w:rPr>
            </w:pPr>
            <w:r>
              <w:rPr>
                <w:rFonts w:asciiTheme="minorHAnsi" w:hAnsiTheme="minorHAnsi"/>
                <w:color w:val="000000"/>
              </w:rPr>
              <w:t>Sensibilisation des partenaires et des bailleurs de fonds.</w:t>
            </w:r>
          </w:p>
        </w:tc>
        <w:tc>
          <w:tcPr>
            <w:tcW w:w="910" w:type="pct"/>
            <w:shd w:val="clear" w:color="auto" w:fill="DDEBF7"/>
            <w:noWrap/>
          </w:tcPr>
          <w:p w14:paraId="7A7C253D" w14:textId="4DD67272" w:rsidR="00FF7846" w:rsidRPr="004C143B" w:rsidRDefault="00FF7846" w:rsidP="00231D73">
            <w:pPr>
              <w:pStyle w:val="ListParagraph"/>
              <w:numPr>
                <w:ilvl w:val="0"/>
                <w:numId w:val="42"/>
              </w:numPr>
              <w:rPr>
                <w:rFonts w:asciiTheme="minorHAnsi" w:eastAsia="Times New Roman" w:hAnsiTheme="minorHAnsi" w:cstheme="minorHAnsi"/>
                <w:color w:val="000000"/>
              </w:rPr>
            </w:pPr>
            <w:r>
              <w:rPr>
                <w:rFonts w:asciiTheme="minorHAnsi" w:hAnsiTheme="minorHAnsi"/>
                <w:color w:val="000000"/>
              </w:rPr>
              <w:t>Sensibilisation des partenaires et des bailleurs de fonds.</w:t>
            </w:r>
          </w:p>
        </w:tc>
      </w:tr>
      <w:tr w:rsidR="00864A66" w:rsidRPr="004C143B" w14:paraId="59FF6066" w14:textId="77777777" w:rsidTr="004C143B">
        <w:trPr>
          <w:cantSplit/>
        </w:trPr>
        <w:tc>
          <w:tcPr>
            <w:tcW w:w="200" w:type="pct"/>
            <w:shd w:val="clear" w:color="auto" w:fill="FFFFFF" w:themeFill="background1"/>
          </w:tcPr>
          <w:p w14:paraId="6209A82B"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FFFFFF" w:themeFill="background1"/>
            <w:noWrap/>
            <w:hideMark/>
          </w:tcPr>
          <w:p w14:paraId="316BD5BB" w14:textId="293A0CCD" w:rsidR="00FF7846" w:rsidRPr="004C143B" w:rsidRDefault="00FF7846" w:rsidP="004F3F1A">
            <w:pPr>
              <w:ind w:left="0" w:firstLine="0"/>
              <w:rPr>
                <w:rFonts w:asciiTheme="minorHAnsi" w:eastAsia="Times New Roman" w:hAnsiTheme="minorHAnsi" w:cstheme="minorHAnsi"/>
                <w:color w:val="000000"/>
              </w:rPr>
            </w:pPr>
            <w:r>
              <w:rPr>
                <w:rFonts w:asciiTheme="minorHAnsi" w:hAnsiTheme="minorHAnsi"/>
                <w:color w:val="000000"/>
              </w:rPr>
              <w:t>Plan de travail du GEST</w:t>
            </w:r>
          </w:p>
        </w:tc>
        <w:tc>
          <w:tcPr>
            <w:tcW w:w="809" w:type="pct"/>
            <w:shd w:val="clear" w:color="auto" w:fill="FFFFFF" w:themeFill="background1"/>
          </w:tcPr>
          <w:p w14:paraId="7EC1EBDA" w14:textId="0B161B8D"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Appuyer l’élaboration et la production des produits détaillés dans le plan de travail du Groupe d’évaluation scientifique et technique.</w:t>
            </w:r>
          </w:p>
        </w:tc>
        <w:tc>
          <w:tcPr>
            <w:tcW w:w="454" w:type="pct"/>
            <w:shd w:val="clear" w:color="auto" w:fill="FFFFFF" w:themeFill="background1"/>
            <w:noWrap/>
            <w:hideMark/>
          </w:tcPr>
          <w:p w14:paraId="5D1A53D8" w14:textId="0B04F5BA"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300 000</w:t>
            </w:r>
          </w:p>
        </w:tc>
        <w:tc>
          <w:tcPr>
            <w:tcW w:w="1111" w:type="pct"/>
            <w:shd w:val="clear" w:color="auto" w:fill="FFFFFF" w:themeFill="background1"/>
          </w:tcPr>
          <w:p w14:paraId="093AB9A0" w14:textId="10C538F7" w:rsidR="00FF7846" w:rsidRPr="004C143B" w:rsidRDefault="00FF7846" w:rsidP="00FA49EA">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Élaborer des propositions de financement sur la base du plan de travail approuvé du GEST.</w:t>
            </w:r>
          </w:p>
          <w:p w14:paraId="2CEFDD82" w14:textId="31F5CAD9" w:rsidR="00FF7846" w:rsidRPr="004C143B" w:rsidRDefault="00FF7846" w:rsidP="00FA49EA">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Faire l’état des lieux des bailleurs de fonds. </w:t>
            </w:r>
          </w:p>
          <w:p w14:paraId="09E1B158" w14:textId="7110E6F0" w:rsidR="00FF7846" w:rsidRPr="004C143B" w:rsidRDefault="00FF7846" w:rsidP="00C03F48">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tc>
        <w:tc>
          <w:tcPr>
            <w:tcW w:w="910" w:type="pct"/>
            <w:shd w:val="clear" w:color="auto" w:fill="FFFFFF" w:themeFill="background1"/>
            <w:noWrap/>
            <w:hideMark/>
          </w:tcPr>
          <w:p w14:paraId="0F7BAA8C" w14:textId="67219FF1" w:rsidR="00FF7846" w:rsidRPr="004C143B" w:rsidRDefault="00FF7846" w:rsidP="00B60C3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p w14:paraId="560F7124" w14:textId="164A7A4E" w:rsidR="00FF7846" w:rsidRPr="004C143B" w:rsidRDefault="00FF7846" w:rsidP="00EB68CB">
            <w:pPr>
              <w:ind w:left="0" w:firstLine="0"/>
              <w:rPr>
                <w:rFonts w:asciiTheme="minorHAnsi" w:eastAsia="Times New Roman" w:hAnsiTheme="minorHAnsi" w:cstheme="minorHAnsi"/>
                <w:color w:val="000000"/>
                <w:lang w:eastAsia="en-GB"/>
              </w:rPr>
            </w:pPr>
          </w:p>
        </w:tc>
        <w:tc>
          <w:tcPr>
            <w:tcW w:w="910" w:type="pct"/>
            <w:shd w:val="clear" w:color="auto" w:fill="FFFFFF" w:themeFill="background1"/>
            <w:noWrap/>
            <w:hideMark/>
          </w:tcPr>
          <w:p w14:paraId="42EC483F" w14:textId="36F16E4F" w:rsidR="00FF7846" w:rsidRPr="004C143B" w:rsidRDefault="00FF7846" w:rsidP="00FA49EA">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 Sensibilisation des partenaires et des bailleurs de fonds. </w:t>
            </w:r>
          </w:p>
          <w:p w14:paraId="29744C98" w14:textId="7D9C82FB" w:rsidR="00FF7846" w:rsidRPr="004C143B" w:rsidRDefault="00FF7846" w:rsidP="00EB68CB">
            <w:pPr>
              <w:ind w:left="0" w:firstLine="0"/>
              <w:rPr>
                <w:rFonts w:asciiTheme="minorHAnsi" w:eastAsia="Times New Roman" w:hAnsiTheme="minorHAnsi" w:cstheme="minorHAnsi"/>
                <w:color w:val="000000"/>
                <w:lang w:eastAsia="en-GB"/>
              </w:rPr>
            </w:pPr>
          </w:p>
        </w:tc>
      </w:tr>
      <w:tr w:rsidR="00E66205" w:rsidRPr="004C143B" w14:paraId="0E948F79" w14:textId="77777777" w:rsidTr="004C143B">
        <w:trPr>
          <w:cantSplit/>
        </w:trPr>
        <w:tc>
          <w:tcPr>
            <w:tcW w:w="200" w:type="pct"/>
            <w:shd w:val="clear" w:color="auto" w:fill="DDEBF7"/>
          </w:tcPr>
          <w:p w14:paraId="0E431ACA"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DDEBF7"/>
            <w:noWrap/>
            <w:hideMark/>
          </w:tcPr>
          <w:p w14:paraId="4F7FB15D" w14:textId="6670EDA9" w:rsidR="00FF7846" w:rsidRPr="004C143B" w:rsidRDefault="00FF7846" w:rsidP="00BE3A3F">
            <w:pPr>
              <w:ind w:left="0" w:firstLine="0"/>
              <w:rPr>
                <w:rFonts w:asciiTheme="minorHAnsi" w:eastAsia="Times New Roman" w:hAnsiTheme="minorHAnsi" w:cstheme="minorHAnsi"/>
                <w:color w:val="000000"/>
              </w:rPr>
            </w:pPr>
            <w:r>
              <w:rPr>
                <w:rFonts w:asciiTheme="minorHAnsi" w:hAnsiTheme="minorHAnsi"/>
                <w:color w:val="000000"/>
              </w:rPr>
              <w:t>Frais de déplacement des délégués avant la COP15</w:t>
            </w:r>
          </w:p>
        </w:tc>
        <w:tc>
          <w:tcPr>
            <w:tcW w:w="809" w:type="pct"/>
            <w:shd w:val="clear" w:color="auto" w:fill="DDEBF7"/>
          </w:tcPr>
          <w:p w14:paraId="6D4A2A20" w14:textId="643B5132"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 xml:space="preserve">Soutien financier pour permettre la participation en personne aux réunions régionales. </w:t>
            </w:r>
          </w:p>
        </w:tc>
        <w:tc>
          <w:tcPr>
            <w:tcW w:w="454" w:type="pct"/>
            <w:shd w:val="clear" w:color="auto" w:fill="DDEBF7"/>
            <w:noWrap/>
            <w:hideMark/>
          </w:tcPr>
          <w:p w14:paraId="2F4876EB" w14:textId="3855593E"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650 000</w:t>
            </w:r>
          </w:p>
        </w:tc>
        <w:tc>
          <w:tcPr>
            <w:tcW w:w="1111" w:type="pct"/>
            <w:shd w:val="clear" w:color="auto" w:fill="DDEBF7"/>
          </w:tcPr>
          <w:p w14:paraId="531993C3" w14:textId="77777777" w:rsidR="00FF7846" w:rsidRPr="004C143B" w:rsidRDefault="00FF7846" w:rsidP="00EB68CB">
            <w:pPr>
              <w:ind w:left="0" w:firstLine="0"/>
              <w:rPr>
                <w:rFonts w:asciiTheme="minorHAnsi" w:eastAsia="Times New Roman" w:hAnsiTheme="minorHAnsi" w:cstheme="minorHAnsi"/>
                <w:color w:val="000000"/>
                <w:lang w:eastAsia="en-GB"/>
              </w:rPr>
            </w:pPr>
          </w:p>
        </w:tc>
        <w:tc>
          <w:tcPr>
            <w:tcW w:w="910" w:type="pct"/>
            <w:shd w:val="clear" w:color="auto" w:fill="DDEBF7"/>
            <w:noWrap/>
            <w:hideMark/>
          </w:tcPr>
          <w:p w14:paraId="24BC6317" w14:textId="77777777" w:rsidR="00FF7846" w:rsidRPr="004C143B" w:rsidRDefault="00FF7846" w:rsidP="00B60C3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 Sensibilisation des partenaires et des bailleurs de fonds. </w:t>
            </w:r>
          </w:p>
          <w:p w14:paraId="0A06D48A" w14:textId="6A32328F" w:rsidR="00FF7846" w:rsidRPr="004C143B" w:rsidRDefault="00FF7846" w:rsidP="00EB68CB">
            <w:pPr>
              <w:ind w:left="0" w:firstLine="0"/>
              <w:rPr>
                <w:rFonts w:asciiTheme="minorHAnsi" w:eastAsia="Times New Roman" w:hAnsiTheme="minorHAnsi" w:cstheme="minorHAnsi"/>
                <w:color w:val="000000"/>
                <w:lang w:eastAsia="en-GB"/>
              </w:rPr>
            </w:pPr>
          </w:p>
        </w:tc>
        <w:tc>
          <w:tcPr>
            <w:tcW w:w="910" w:type="pct"/>
            <w:shd w:val="clear" w:color="auto" w:fill="DDEBF7"/>
            <w:noWrap/>
            <w:hideMark/>
          </w:tcPr>
          <w:p w14:paraId="43146A54" w14:textId="109886D4" w:rsidR="00FF7846" w:rsidRPr="004C143B" w:rsidRDefault="00FF7846" w:rsidP="00EB68CB">
            <w:pPr>
              <w:ind w:left="0" w:firstLine="0"/>
              <w:rPr>
                <w:rFonts w:asciiTheme="minorHAnsi" w:eastAsia="Times New Roman" w:hAnsiTheme="minorHAnsi" w:cstheme="minorHAnsi"/>
                <w:color w:val="000000"/>
                <w:lang w:eastAsia="en-GB"/>
              </w:rPr>
            </w:pPr>
          </w:p>
        </w:tc>
      </w:tr>
      <w:tr w:rsidR="00E66205" w:rsidRPr="004C143B" w14:paraId="1B787079" w14:textId="77777777" w:rsidTr="004C143B">
        <w:trPr>
          <w:cantSplit/>
        </w:trPr>
        <w:tc>
          <w:tcPr>
            <w:tcW w:w="200" w:type="pct"/>
          </w:tcPr>
          <w:p w14:paraId="1EFB2F7C" w14:textId="77777777" w:rsidR="00FF7846" w:rsidRPr="004C143B" w:rsidRDefault="00FF7846" w:rsidP="004C143B">
            <w:pPr>
              <w:pStyle w:val="ListParagraph"/>
              <w:numPr>
                <w:ilvl w:val="0"/>
                <w:numId w:val="45"/>
              </w:numPr>
              <w:ind w:left="0" w:firstLine="0"/>
              <w:rPr>
                <w:rFonts w:asciiTheme="minorHAnsi" w:eastAsia="Times New Roman" w:hAnsiTheme="minorHAnsi" w:cstheme="minorHAnsi"/>
                <w:b/>
                <w:bCs/>
                <w:color w:val="000000"/>
                <w:lang w:eastAsia="en-GB"/>
              </w:rPr>
            </w:pPr>
          </w:p>
        </w:tc>
        <w:tc>
          <w:tcPr>
            <w:tcW w:w="606" w:type="pct"/>
            <w:shd w:val="clear" w:color="auto" w:fill="auto"/>
            <w:noWrap/>
            <w:hideMark/>
          </w:tcPr>
          <w:p w14:paraId="314F6701" w14:textId="7C109FAE" w:rsidR="00FF7846" w:rsidRPr="004C143B" w:rsidRDefault="00FF7846" w:rsidP="0006198A">
            <w:pPr>
              <w:ind w:left="0" w:firstLine="0"/>
              <w:rPr>
                <w:rFonts w:asciiTheme="minorHAnsi" w:eastAsia="Times New Roman" w:hAnsiTheme="minorHAnsi" w:cstheme="minorHAnsi"/>
                <w:color w:val="000000"/>
              </w:rPr>
            </w:pPr>
            <w:r>
              <w:rPr>
                <w:rFonts w:asciiTheme="minorHAnsi" w:hAnsiTheme="minorHAnsi"/>
                <w:color w:val="000000"/>
              </w:rPr>
              <w:t xml:space="preserve">Programme de CESP </w:t>
            </w:r>
          </w:p>
        </w:tc>
        <w:tc>
          <w:tcPr>
            <w:tcW w:w="809" w:type="pct"/>
          </w:tcPr>
          <w:p w14:paraId="4923E8B7" w14:textId="1B1DA1BA" w:rsidR="00FF7846" w:rsidRPr="004C143B" w:rsidRDefault="00FF7846" w:rsidP="00EB68CB">
            <w:pPr>
              <w:ind w:left="0" w:firstLine="0"/>
              <w:rPr>
                <w:rFonts w:asciiTheme="minorHAnsi" w:eastAsia="Times New Roman" w:hAnsiTheme="minorHAnsi" w:cstheme="minorHAnsi"/>
                <w:color w:val="000000"/>
              </w:rPr>
            </w:pPr>
            <w:r>
              <w:rPr>
                <w:rFonts w:asciiTheme="minorHAnsi" w:hAnsiTheme="minorHAnsi"/>
                <w:color w:val="000000"/>
              </w:rPr>
              <w:t>Financement des activités du plan de travail du Groupe de surveillance des activités de CESP.</w:t>
            </w:r>
          </w:p>
        </w:tc>
        <w:tc>
          <w:tcPr>
            <w:tcW w:w="454" w:type="pct"/>
            <w:shd w:val="clear" w:color="auto" w:fill="auto"/>
            <w:noWrap/>
            <w:hideMark/>
          </w:tcPr>
          <w:p w14:paraId="09451D31" w14:textId="3FD2279E" w:rsidR="00FF7846" w:rsidRPr="004C143B" w:rsidRDefault="00FF7846" w:rsidP="00FF7846">
            <w:pPr>
              <w:ind w:left="0" w:firstLine="0"/>
              <w:jc w:val="center"/>
              <w:rPr>
                <w:rFonts w:asciiTheme="minorHAnsi" w:eastAsia="Times New Roman" w:hAnsiTheme="minorHAnsi" w:cstheme="minorHAnsi"/>
                <w:color w:val="000000"/>
              </w:rPr>
            </w:pPr>
            <w:r>
              <w:rPr>
                <w:rFonts w:asciiTheme="minorHAnsi" w:hAnsiTheme="minorHAnsi"/>
                <w:color w:val="000000"/>
              </w:rPr>
              <w:t>200 000</w:t>
            </w:r>
          </w:p>
        </w:tc>
        <w:tc>
          <w:tcPr>
            <w:tcW w:w="1111" w:type="pct"/>
          </w:tcPr>
          <w:p w14:paraId="7F2B1E13" w14:textId="24CAC58E" w:rsidR="00FF7846" w:rsidRPr="004C143B" w:rsidRDefault="00FF7846" w:rsidP="00B9377B">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Élaborer des propositions sur la base du plan de travail du Groupe de surveillance des activités de CESP. </w:t>
            </w:r>
          </w:p>
          <w:p w14:paraId="342DCC25" w14:textId="2DEB3E5B" w:rsidR="00FF7846" w:rsidRPr="004C143B" w:rsidRDefault="00FF7846" w:rsidP="00DD7DA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Faire l’état des lieux des bailleurs de fonds.  </w:t>
            </w:r>
          </w:p>
          <w:p w14:paraId="36D2024E" w14:textId="28DA143F" w:rsidR="00FF7846" w:rsidRPr="004C143B" w:rsidRDefault="00FF7846" w:rsidP="004C143B">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Sensibilisation des partenaires et des bailleurs de fonds.</w:t>
            </w:r>
          </w:p>
        </w:tc>
        <w:tc>
          <w:tcPr>
            <w:tcW w:w="910" w:type="pct"/>
            <w:shd w:val="clear" w:color="auto" w:fill="auto"/>
            <w:noWrap/>
            <w:hideMark/>
          </w:tcPr>
          <w:p w14:paraId="3B7D9121" w14:textId="5EC42252" w:rsidR="00FF7846" w:rsidRPr="004C143B" w:rsidRDefault="00FF7846" w:rsidP="00025997">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tc>
        <w:tc>
          <w:tcPr>
            <w:tcW w:w="910" w:type="pct"/>
            <w:shd w:val="clear" w:color="auto" w:fill="auto"/>
            <w:noWrap/>
            <w:hideMark/>
          </w:tcPr>
          <w:p w14:paraId="5B357EE5" w14:textId="256586B2" w:rsidR="00FF7846" w:rsidRPr="004C143B" w:rsidRDefault="00FF7846" w:rsidP="00BE3A3F">
            <w:pPr>
              <w:pStyle w:val="ListParagraph"/>
              <w:numPr>
                <w:ilvl w:val="0"/>
                <w:numId w:val="37"/>
              </w:numPr>
              <w:rPr>
                <w:rFonts w:asciiTheme="minorHAnsi" w:eastAsia="Times New Roman" w:hAnsiTheme="minorHAnsi" w:cstheme="minorHAnsi"/>
                <w:color w:val="000000"/>
              </w:rPr>
            </w:pPr>
            <w:r>
              <w:rPr>
                <w:rFonts w:asciiTheme="minorHAnsi" w:hAnsiTheme="minorHAnsi"/>
                <w:color w:val="000000"/>
              </w:rPr>
              <w:t xml:space="preserve">Sensibilisation des partenaires et des bailleurs de fonds. </w:t>
            </w:r>
          </w:p>
        </w:tc>
      </w:tr>
    </w:tbl>
    <w:p w14:paraId="2707D42C" w14:textId="65A5ED6A" w:rsidR="00073625" w:rsidRDefault="00073625" w:rsidP="007972E0">
      <w:pPr>
        <w:contextualSpacing/>
        <w:rPr>
          <w:rFonts w:eastAsia="Times New Roman"/>
          <w:b/>
          <w:bCs/>
          <w:color w:val="000000"/>
          <w:lang w:eastAsia="en-GB"/>
        </w:rPr>
      </w:pPr>
    </w:p>
    <w:p w14:paraId="2991D5B9" w14:textId="77777777" w:rsidR="00073625" w:rsidRDefault="00073625">
      <w:pPr>
        <w:rPr>
          <w:rFonts w:eastAsia="Times New Roman"/>
          <w:b/>
          <w:bCs/>
          <w:color w:val="000000"/>
        </w:rPr>
      </w:pPr>
      <w:r>
        <w:br w:type="page"/>
      </w:r>
    </w:p>
    <w:p w14:paraId="68D080BB" w14:textId="67583A21" w:rsidR="008D641C" w:rsidRPr="00073625" w:rsidRDefault="00546ADC" w:rsidP="007972E0">
      <w:pPr>
        <w:contextualSpacing/>
        <w:rPr>
          <w:rFonts w:eastAsia="Times New Roman"/>
          <w:b/>
          <w:bCs/>
          <w:color w:val="000000"/>
          <w:sz w:val="24"/>
          <w:szCs w:val="24"/>
        </w:rPr>
      </w:pPr>
      <w:r>
        <w:rPr>
          <w:b/>
          <w:color w:val="000000"/>
          <w:sz w:val="24"/>
        </w:rPr>
        <w:lastRenderedPageBreak/>
        <w:t>Annexe 2</w:t>
      </w:r>
    </w:p>
    <w:p w14:paraId="309554E2" w14:textId="74072DEC" w:rsidR="003A560E" w:rsidRPr="00073625" w:rsidRDefault="00546ADC" w:rsidP="007972E0">
      <w:pPr>
        <w:contextualSpacing/>
        <w:rPr>
          <w:rFonts w:eastAsia="Times New Roman"/>
          <w:color w:val="000000"/>
          <w:sz w:val="24"/>
          <w:szCs w:val="24"/>
        </w:rPr>
      </w:pPr>
      <w:r>
        <w:rPr>
          <w:b/>
          <w:color w:val="000000"/>
          <w:sz w:val="24"/>
        </w:rPr>
        <w:t>Activités visant à faciliter la mobilisation des ressources pour les Parties contractantes</w:t>
      </w:r>
      <w:r>
        <w:rPr>
          <w:color w:val="000000"/>
          <w:sz w:val="24"/>
        </w:rPr>
        <w:t xml:space="preserve"> </w:t>
      </w:r>
    </w:p>
    <w:p w14:paraId="0C12DB2D" w14:textId="1AA1AC45" w:rsidR="00DB7948" w:rsidRDefault="00DB7948" w:rsidP="007972E0">
      <w:pPr>
        <w:contextualSpacing/>
        <w:rPr>
          <w:rFonts w:asciiTheme="minorHAnsi" w:eastAsiaTheme="minorHAnsi" w:hAnsiTheme="minorHAnsi" w:cstheme="minorHAnsi"/>
        </w:rPr>
      </w:pPr>
    </w:p>
    <w:p w14:paraId="475A820C" w14:textId="77777777" w:rsidR="00073625" w:rsidRPr="0006198A" w:rsidRDefault="00073625" w:rsidP="007972E0">
      <w:pPr>
        <w:contextualSpacing/>
        <w:rPr>
          <w:rFonts w:asciiTheme="minorHAnsi" w:eastAsiaTheme="minorHAnsi" w:hAnsiTheme="minorHAnsi" w:cstheme="minorHAnsi"/>
        </w:rPr>
      </w:pPr>
    </w:p>
    <w:tbl>
      <w:tblPr>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547"/>
        <w:gridCol w:w="4257"/>
        <w:gridCol w:w="3686"/>
        <w:gridCol w:w="3539"/>
      </w:tblGrid>
      <w:tr w:rsidR="006B7C23" w:rsidRPr="00FF5E1D" w14:paraId="18B7AA89" w14:textId="77777777" w:rsidTr="00BE3A3F">
        <w:tc>
          <w:tcPr>
            <w:tcW w:w="2547" w:type="dxa"/>
            <w:shd w:val="clear" w:color="000000" w:fill="B4C6E7"/>
            <w:noWrap/>
            <w:hideMark/>
          </w:tcPr>
          <w:p w14:paraId="6C102481" w14:textId="63B5914F" w:rsidR="005C055C" w:rsidRPr="00FF5E1D" w:rsidRDefault="005E498A" w:rsidP="00E96B1B">
            <w:pPr>
              <w:ind w:left="0" w:firstLine="0"/>
              <w:jc w:val="center"/>
              <w:rPr>
                <w:rFonts w:eastAsia="Times New Roman"/>
                <w:b/>
                <w:bCs/>
                <w:color w:val="000000"/>
              </w:rPr>
            </w:pPr>
            <w:r>
              <w:rPr>
                <w:b/>
                <w:color w:val="000000"/>
              </w:rPr>
              <w:t>Activité</w:t>
            </w:r>
          </w:p>
        </w:tc>
        <w:tc>
          <w:tcPr>
            <w:tcW w:w="4257" w:type="dxa"/>
            <w:shd w:val="clear" w:color="000000" w:fill="B4C6E7"/>
            <w:noWrap/>
            <w:hideMark/>
          </w:tcPr>
          <w:p w14:paraId="4255555C" w14:textId="01551245" w:rsidR="005C055C" w:rsidRPr="00FF5E1D" w:rsidRDefault="005C055C" w:rsidP="00E96B1B">
            <w:pPr>
              <w:ind w:left="0" w:firstLine="0"/>
              <w:jc w:val="center"/>
              <w:rPr>
                <w:rFonts w:eastAsia="Times New Roman"/>
                <w:b/>
                <w:bCs/>
                <w:color w:val="000000"/>
              </w:rPr>
            </w:pPr>
            <w:r>
              <w:rPr>
                <w:b/>
                <w:color w:val="000000"/>
              </w:rPr>
              <w:t>2023</w:t>
            </w:r>
          </w:p>
        </w:tc>
        <w:tc>
          <w:tcPr>
            <w:tcW w:w="3686" w:type="dxa"/>
            <w:shd w:val="clear" w:color="000000" w:fill="B4C6E7"/>
            <w:noWrap/>
            <w:hideMark/>
          </w:tcPr>
          <w:p w14:paraId="5EB884DC" w14:textId="50F808FB" w:rsidR="005C055C" w:rsidRPr="00FF5E1D" w:rsidRDefault="005C055C" w:rsidP="00E96B1B">
            <w:pPr>
              <w:ind w:left="0" w:firstLine="0"/>
              <w:jc w:val="center"/>
              <w:rPr>
                <w:rFonts w:eastAsia="Times New Roman"/>
                <w:b/>
                <w:bCs/>
                <w:color w:val="000000"/>
              </w:rPr>
            </w:pPr>
            <w:r>
              <w:rPr>
                <w:b/>
                <w:color w:val="000000"/>
              </w:rPr>
              <w:t>2024</w:t>
            </w:r>
          </w:p>
        </w:tc>
        <w:tc>
          <w:tcPr>
            <w:tcW w:w="3539" w:type="dxa"/>
            <w:shd w:val="clear" w:color="000000" w:fill="B4C6E7"/>
            <w:noWrap/>
            <w:hideMark/>
          </w:tcPr>
          <w:p w14:paraId="67CDCEFA" w14:textId="0AF5B680" w:rsidR="005C055C" w:rsidRPr="00FF5E1D" w:rsidRDefault="005C055C" w:rsidP="00E96B1B">
            <w:pPr>
              <w:ind w:left="0" w:firstLine="0"/>
              <w:jc w:val="center"/>
              <w:rPr>
                <w:rFonts w:eastAsia="Times New Roman"/>
                <w:b/>
                <w:bCs/>
                <w:color w:val="000000"/>
              </w:rPr>
            </w:pPr>
            <w:r>
              <w:rPr>
                <w:b/>
                <w:color w:val="000000"/>
              </w:rPr>
              <w:t>2025</w:t>
            </w:r>
          </w:p>
        </w:tc>
      </w:tr>
      <w:tr w:rsidR="005C055C" w:rsidRPr="00FF5E1D" w14:paraId="25C877EF" w14:textId="77777777" w:rsidTr="00BE3A3F">
        <w:trPr>
          <w:trHeight w:val="1932"/>
        </w:trPr>
        <w:tc>
          <w:tcPr>
            <w:tcW w:w="2547" w:type="dxa"/>
            <w:shd w:val="clear" w:color="auto" w:fill="auto"/>
            <w:noWrap/>
          </w:tcPr>
          <w:p w14:paraId="36BFD98B" w14:textId="15890A23" w:rsidR="005C055C" w:rsidRPr="00FF5E1D" w:rsidRDefault="005C055C" w:rsidP="00D6149C">
            <w:pPr>
              <w:ind w:left="0" w:firstLine="0"/>
              <w:rPr>
                <w:rFonts w:eastAsia="Times New Roman"/>
                <w:color w:val="000000"/>
              </w:rPr>
            </w:pPr>
            <w:r>
              <w:rPr>
                <w:color w:val="000000"/>
              </w:rPr>
              <w:t xml:space="preserve">Partage des connaissances et formation </w:t>
            </w:r>
          </w:p>
          <w:p w14:paraId="5AA12598" w14:textId="39EF91F9" w:rsidR="00F33B96" w:rsidRPr="00FF5E1D" w:rsidRDefault="00F33B96" w:rsidP="00D6149C">
            <w:pPr>
              <w:ind w:left="0" w:firstLine="0"/>
              <w:rPr>
                <w:rFonts w:eastAsia="Times New Roman"/>
                <w:color w:val="000000"/>
                <w:lang w:eastAsia="en-GB"/>
              </w:rPr>
            </w:pPr>
          </w:p>
        </w:tc>
        <w:tc>
          <w:tcPr>
            <w:tcW w:w="4257" w:type="dxa"/>
            <w:shd w:val="clear" w:color="auto" w:fill="auto"/>
            <w:noWrap/>
          </w:tcPr>
          <w:p w14:paraId="0535FFB8" w14:textId="4A05F3C7" w:rsidR="00D5480A" w:rsidRPr="00FF5E1D" w:rsidRDefault="00D7646A" w:rsidP="00BE3A3F">
            <w:pPr>
              <w:pStyle w:val="ListParagraph"/>
              <w:numPr>
                <w:ilvl w:val="0"/>
                <w:numId w:val="44"/>
              </w:numPr>
              <w:ind w:left="377" w:hanging="283"/>
              <w:rPr>
                <w:rFonts w:eastAsia="Times New Roman"/>
                <w:color w:val="000000"/>
              </w:rPr>
            </w:pPr>
            <w:r>
              <w:rPr>
                <w:color w:val="000000"/>
              </w:rPr>
              <w:t xml:space="preserve">Consolider les résultats d’une </w:t>
            </w:r>
            <w:r>
              <w:rPr>
                <w:i/>
                <w:color w:val="000000"/>
              </w:rPr>
              <w:t>enquête d’évaluation des besoins*</w:t>
            </w:r>
            <w:r>
              <w:rPr>
                <w:color w:val="000000"/>
              </w:rPr>
              <w:t xml:space="preserve"> dans un plan de partage des connaissances et de formation. </w:t>
            </w:r>
          </w:p>
          <w:p w14:paraId="0A4008AC" w14:textId="78841F70" w:rsidR="005E498A" w:rsidRPr="00FF5E1D" w:rsidRDefault="00414B9D" w:rsidP="00BE3A3F">
            <w:pPr>
              <w:pStyle w:val="ListParagraph"/>
              <w:numPr>
                <w:ilvl w:val="0"/>
                <w:numId w:val="44"/>
              </w:numPr>
              <w:ind w:left="377" w:hanging="283"/>
              <w:rPr>
                <w:rFonts w:eastAsia="Times New Roman"/>
                <w:color w:val="000000"/>
              </w:rPr>
            </w:pPr>
            <w:r>
              <w:rPr>
                <w:color w:val="000000"/>
              </w:rPr>
              <w:t>Préparer/partager les ressources et orientations pertinentes sur le site Web et autres canaux.</w:t>
            </w:r>
          </w:p>
          <w:p w14:paraId="732C13B4" w14:textId="37C74C73" w:rsidR="00D21C5C" w:rsidRPr="00CF5B44" w:rsidRDefault="00D21C5C" w:rsidP="00CF5B44">
            <w:pPr>
              <w:pStyle w:val="ListParagraph"/>
              <w:numPr>
                <w:ilvl w:val="0"/>
                <w:numId w:val="44"/>
              </w:numPr>
              <w:ind w:left="377" w:hanging="283"/>
              <w:rPr>
                <w:rFonts w:eastAsia="Times New Roman"/>
                <w:color w:val="000000"/>
              </w:rPr>
            </w:pPr>
            <w:r>
              <w:rPr>
                <w:color w:val="000000"/>
              </w:rPr>
              <w:t xml:space="preserve">Organiser des webinaires sur la mobilisation des ressources et la collecte de fonds. </w:t>
            </w:r>
          </w:p>
        </w:tc>
        <w:tc>
          <w:tcPr>
            <w:tcW w:w="3686" w:type="dxa"/>
            <w:shd w:val="clear" w:color="auto" w:fill="auto"/>
            <w:noWrap/>
          </w:tcPr>
          <w:p w14:paraId="24E003CC" w14:textId="6B67F3C1" w:rsidR="001275BA" w:rsidRPr="00FF5E1D" w:rsidRDefault="00824DC8" w:rsidP="00BE3A3F">
            <w:pPr>
              <w:pStyle w:val="ListParagraph"/>
              <w:numPr>
                <w:ilvl w:val="0"/>
                <w:numId w:val="44"/>
              </w:numPr>
              <w:ind w:left="377" w:hanging="283"/>
              <w:rPr>
                <w:rFonts w:eastAsia="Times New Roman"/>
                <w:color w:val="000000"/>
              </w:rPr>
            </w:pPr>
            <w:r>
              <w:rPr>
                <w:color w:val="000000"/>
              </w:rPr>
              <w:t xml:space="preserve">Sur la base des résultats de l’évaluation des besoins, offrir une formation et des conseils en ligne, en collaboration avec les partenaires concernés. </w:t>
            </w:r>
          </w:p>
          <w:p w14:paraId="353B7288" w14:textId="77777777" w:rsidR="0058678D" w:rsidRPr="00FF5E1D" w:rsidRDefault="0058678D" w:rsidP="00BE3A3F">
            <w:pPr>
              <w:pStyle w:val="ListParagraph"/>
              <w:numPr>
                <w:ilvl w:val="0"/>
                <w:numId w:val="44"/>
              </w:numPr>
              <w:ind w:left="377" w:hanging="283"/>
              <w:rPr>
                <w:rFonts w:eastAsia="Times New Roman"/>
                <w:color w:val="000000"/>
              </w:rPr>
            </w:pPr>
            <w:r>
              <w:rPr>
                <w:color w:val="000000"/>
              </w:rPr>
              <w:t>Préparer/partager les ressources et orientations pertinentes sur le site Web et autres canaux.</w:t>
            </w:r>
          </w:p>
          <w:p w14:paraId="7CFCD846" w14:textId="52994EFC" w:rsidR="005C055C" w:rsidRPr="00FF5E1D" w:rsidRDefault="005C055C" w:rsidP="00BE3A3F">
            <w:pPr>
              <w:ind w:left="377" w:hanging="283"/>
              <w:rPr>
                <w:rFonts w:eastAsia="Times New Roman"/>
                <w:color w:val="000000"/>
                <w:lang w:eastAsia="en-GB"/>
              </w:rPr>
            </w:pPr>
          </w:p>
        </w:tc>
        <w:tc>
          <w:tcPr>
            <w:tcW w:w="3539" w:type="dxa"/>
            <w:shd w:val="clear" w:color="auto" w:fill="auto"/>
            <w:noWrap/>
          </w:tcPr>
          <w:p w14:paraId="4D80801C" w14:textId="77777777" w:rsidR="00CE7C37" w:rsidRPr="00FF5E1D" w:rsidRDefault="00CE7C37" w:rsidP="00BE3A3F">
            <w:pPr>
              <w:pStyle w:val="ListParagraph"/>
              <w:numPr>
                <w:ilvl w:val="0"/>
                <w:numId w:val="44"/>
              </w:numPr>
              <w:ind w:left="377" w:hanging="283"/>
              <w:rPr>
                <w:rFonts w:eastAsia="Times New Roman"/>
                <w:color w:val="000000"/>
              </w:rPr>
            </w:pPr>
            <w:r>
              <w:rPr>
                <w:color w:val="000000"/>
              </w:rPr>
              <w:t xml:space="preserve">Sur la base des résultats de l'évaluation des besoins, offrir une formation et des conseils en ligne, en collaboration avec les partenaires concernés. </w:t>
            </w:r>
          </w:p>
          <w:p w14:paraId="64CED8AE" w14:textId="3EA12863" w:rsidR="0092749C" w:rsidRPr="00FF5E1D" w:rsidRDefault="0092749C" w:rsidP="00BE3A3F">
            <w:pPr>
              <w:pStyle w:val="ListParagraph"/>
              <w:numPr>
                <w:ilvl w:val="0"/>
                <w:numId w:val="44"/>
              </w:numPr>
              <w:ind w:left="377" w:hanging="283"/>
              <w:rPr>
                <w:rFonts w:eastAsia="Times New Roman"/>
                <w:color w:val="000000"/>
              </w:rPr>
            </w:pPr>
            <w:r>
              <w:rPr>
                <w:color w:val="000000"/>
              </w:rPr>
              <w:t>Préparer/partager les ressources et orientations pertinentes sur le site Web et autres canaux.</w:t>
            </w:r>
          </w:p>
          <w:p w14:paraId="0B01E740" w14:textId="660B7431" w:rsidR="005C055C" w:rsidRPr="00FF5E1D" w:rsidRDefault="005C055C" w:rsidP="00BE3A3F">
            <w:pPr>
              <w:ind w:left="377" w:hanging="283"/>
              <w:rPr>
                <w:rFonts w:eastAsia="Times New Roman"/>
                <w:color w:val="000000"/>
                <w:lang w:eastAsia="en-GB"/>
              </w:rPr>
            </w:pPr>
          </w:p>
        </w:tc>
      </w:tr>
      <w:tr w:rsidR="005C055C" w:rsidRPr="00FF5E1D" w14:paraId="0A3C430D" w14:textId="77777777" w:rsidTr="00BE3A3F">
        <w:tc>
          <w:tcPr>
            <w:tcW w:w="2547" w:type="dxa"/>
            <w:shd w:val="clear" w:color="auto" w:fill="auto"/>
            <w:noWrap/>
          </w:tcPr>
          <w:p w14:paraId="16ADDABA" w14:textId="6798BA94" w:rsidR="005C055C" w:rsidRPr="00FF5E1D" w:rsidRDefault="005C055C" w:rsidP="00D6149C">
            <w:pPr>
              <w:ind w:left="0" w:firstLine="0"/>
              <w:rPr>
                <w:rFonts w:eastAsia="Times New Roman"/>
                <w:color w:val="000000"/>
              </w:rPr>
            </w:pPr>
            <w:r>
              <w:rPr>
                <w:color w:val="000000"/>
              </w:rPr>
              <w:t xml:space="preserve">Base de données des organismes de financement </w:t>
            </w:r>
          </w:p>
        </w:tc>
        <w:tc>
          <w:tcPr>
            <w:tcW w:w="4257" w:type="dxa"/>
            <w:shd w:val="clear" w:color="auto" w:fill="auto"/>
            <w:noWrap/>
          </w:tcPr>
          <w:p w14:paraId="3B284CB7" w14:textId="21B7DD50" w:rsidR="005C055C" w:rsidRPr="00FF5E1D" w:rsidRDefault="00D35BCB" w:rsidP="00BE3A3F">
            <w:pPr>
              <w:pStyle w:val="ListParagraph"/>
              <w:numPr>
                <w:ilvl w:val="0"/>
                <w:numId w:val="44"/>
              </w:numPr>
              <w:ind w:left="377" w:hanging="283"/>
              <w:rPr>
                <w:rFonts w:eastAsia="Times New Roman"/>
                <w:color w:val="000000"/>
              </w:rPr>
            </w:pPr>
            <w:r>
              <w:rPr>
                <w:color w:val="000000"/>
              </w:rPr>
              <w:t>Mettre à jour la base de données et en partager le lien.</w:t>
            </w:r>
          </w:p>
          <w:p w14:paraId="26ACCF50" w14:textId="3221B830" w:rsidR="005C055C" w:rsidRPr="00FF5E1D" w:rsidRDefault="004C5E3B" w:rsidP="00BE3A3F">
            <w:pPr>
              <w:pStyle w:val="ListParagraph"/>
              <w:numPr>
                <w:ilvl w:val="0"/>
                <w:numId w:val="44"/>
              </w:numPr>
              <w:ind w:left="377" w:hanging="283"/>
              <w:rPr>
                <w:rFonts w:eastAsia="Times New Roman"/>
                <w:color w:val="000000"/>
              </w:rPr>
            </w:pPr>
            <w:r>
              <w:rPr>
                <w:color w:val="000000"/>
              </w:rPr>
              <w:t>Informer régulièrement les P</w:t>
            </w:r>
            <w:r>
              <w:rPr>
                <w:rFonts w:asciiTheme="minorHAnsi" w:hAnsiTheme="minorHAnsi"/>
                <w:color w:val="000000"/>
              </w:rPr>
              <w:t>arties contract</w:t>
            </w:r>
            <w:r>
              <w:rPr>
                <w:color w:val="000000"/>
              </w:rPr>
              <w:t xml:space="preserve">antes qui ont demandé à être notifiées des possibilités de financement. </w:t>
            </w:r>
          </w:p>
        </w:tc>
        <w:tc>
          <w:tcPr>
            <w:tcW w:w="3686" w:type="dxa"/>
            <w:shd w:val="clear" w:color="auto" w:fill="auto"/>
            <w:noWrap/>
          </w:tcPr>
          <w:p w14:paraId="60FA75C6" w14:textId="0B6B98D5" w:rsidR="005C055C" w:rsidRPr="00FF5E1D" w:rsidRDefault="005C055C" w:rsidP="00BE3A3F">
            <w:pPr>
              <w:pStyle w:val="ListParagraph"/>
              <w:numPr>
                <w:ilvl w:val="0"/>
                <w:numId w:val="44"/>
              </w:numPr>
              <w:ind w:left="377" w:hanging="283"/>
              <w:rPr>
                <w:rFonts w:eastAsia="Times New Roman"/>
                <w:color w:val="000000"/>
              </w:rPr>
            </w:pPr>
            <w:r>
              <w:rPr>
                <w:color w:val="000000"/>
              </w:rPr>
              <w:t>Mettre à jour la base de données et en partager le lien.</w:t>
            </w:r>
          </w:p>
          <w:p w14:paraId="2E1A30C6" w14:textId="01B42294" w:rsidR="004316B7" w:rsidRPr="00FF5E1D" w:rsidRDefault="004316B7" w:rsidP="00BE3A3F">
            <w:pPr>
              <w:pStyle w:val="ListParagraph"/>
              <w:numPr>
                <w:ilvl w:val="0"/>
                <w:numId w:val="44"/>
              </w:numPr>
              <w:ind w:left="377" w:hanging="283"/>
              <w:rPr>
                <w:rFonts w:eastAsia="Times New Roman"/>
                <w:color w:val="000000"/>
              </w:rPr>
            </w:pPr>
            <w:r>
              <w:rPr>
                <w:color w:val="000000"/>
              </w:rPr>
              <w:t>Informer régulièrement les P</w:t>
            </w:r>
            <w:r>
              <w:rPr>
                <w:rFonts w:asciiTheme="minorHAnsi" w:hAnsiTheme="minorHAnsi"/>
                <w:color w:val="000000"/>
              </w:rPr>
              <w:t>arties contract</w:t>
            </w:r>
            <w:r>
              <w:rPr>
                <w:color w:val="000000"/>
              </w:rPr>
              <w:t xml:space="preserve">antes qui ont demandé à être notifiées des possibilités de financement. </w:t>
            </w:r>
          </w:p>
          <w:p w14:paraId="4E99FD50" w14:textId="6BB2525E" w:rsidR="005C055C" w:rsidRPr="00FF5E1D" w:rsidRDefault="005C055C" w:rsidP="00BE3A3F">
            <w:pPr>
              <w:pStyle w:val="ListParagraph"/>
              <w:ind w:left="377" w:hanging="283"/>
              <w:rPr>
                <w:rFonts w:eastAsia="Times New Roman"/>
                <w:color w:val="000000"/>
                <w:lang w:eastAsia="en-GB"/>
              </w:rPr>
            </w:pPr>
          </w:p>
        </w:tc>
        <w:tc>
          <w:tcPr>
            <w:tcW w:w="3539" w:type="dxa"/>
            <w:shd w:val="clear" w:color="auto" w:fill="auto"/>
            <w:noWrap/>
          </w:tcPr>
          <w:p w14:paraId="4ABEBBEC" w14:textId="2AE9816A" w:rsidR="005C055C" w:rsidRPr="00FF5E1D" w:rsidRDefault="005C055C" w:rsidP="00BE3A3F">
            <w:pPr>
              <w:pStyle w:val="ListParagraph"/>
              <w:numPr>
                <w:ilvl w:val="0"/>
                <w:numId w:val="44"/>
              </w:numPr>
              <w:ind w:left="377" w:hanging="283"/>
              <w:rPr>
                <w:rFonts w:eastAsia="Times New Roman"/>
                <w:color w:val="000000"/>
              </w:rPr>
            </w:pPr>
            <w:r>
              <w:rPr>
                <w:color w:val="000000"/>
              </w:rPr>
              <w:t xml:space="preserve">Mettre à jour la base de données et en partager le lien. </w:t>
            </w:r>
          </w:p>
          <w:p w14:paraId="0497CA52" w14:textId="78F0F250" w:rsidR="005C055C" w:rsidRPr="00FF5E1D" w:rsidRDefault="004316B7" w:rsidP="00BE3A3F">
            <w:pPr>
              <w:pStyle w:val="ListParagraph"/>
              <w:numPr>
                <w:ilvl w:val="0"/>
                <w:numId w:val="44"/>
              </w:numPr>
              <w:ind w:left="377" w:hanging="283"/>
              <w:rPr>
                <w:rFonts w:eastAsia="Times New Roman"/>
                <w:color w:val="000000"/>
              </w:rPr>
            </w:pPr>
            <w:r>
              <w:rPr>
                <w:color w:val="000000"/>
              </w:rPr>
              <w:t>Informer régulièrement les P</w:t>
            </w:r>
            <w:r>
              <w:rPr>
                <w:rFonts w:asciiTheme="minorHAnsi" w:hAnsiTheme="minorHAnsi"/>
                <w:color w:val="000000"/>
              </w:rPr>
              <w:t>arties contract</w:t>
            </w:r>
            <w:r>
              <w:rPr>
                <w:color w:val="000000"/>
              </w:rPr>
              <w:t xml:space="preserve">antes qui ont demandé à être notifiées des possibilités de financement. </w:t>
            </w:r>
          </w:p>
        </w:tc>
      </w:tr>
    </w:tbl>
    <w:p w14:paraId="796C824B" w14:textId="6165FA19" w:rsidR="00BA6BC1" w:rsidRDefault="00BA6BC1" w:rsidP="001275BA">
      <w:pPr>
        <w:contextualSpacing/>
        <w:rPr>
          <w:rFonts w:asciiTheme="minorHAnsi" w:eastAsiaTheme="minorHAnsi" w:hAnsiTheme="minorHAnsi" w:cstheme="minorHAnsi"/>
        </w:rPr>
      </w:pPr>
      <w:r>
        <w:rPr>
          <w:rFonts w:asciiTheme="minorHAnsi" w:hAnsiTheme="minorHAnsi"/>
        </w:rPr>
        <w:t xml:space="preserve"> </w:t>
      </w:r>
    </w:p>
    <w:p w14:paraId="20388500" w14:textId="4F07CE17" w:rsidR="00683790" w:rsidRPr="00BE3A3F" w:rsidRDefault="00BE3A3F" w:rsidP="00BE3A3F">
      <w:pPr>
        <w:ind w:left="0" w:firstLine="0"/>
        <w:rPr>
          <w:rFonts w:eastAsia="Times New Roman"/>
          <w:color w:val="000000"/>
          <w:sz w:val="20"/>
          <w:szCs w:val="20"/>
        </w:rPr>
      </w:pPr>
      <w:r>
        <w:rPr>
          <w:color w:val="000000"/>
          <w:sz w:val="20"/>
        </w:rPr>
        <w:t xml:space="preserve">* Les Parties contractantes de la Convention ont fait part de leur besoin de disposer d’informations pour renforcer les capacités et faciliter les efforts locaux, nationaux et régionaux de mobilisation des ressources. L’enquête d’évaluation des besoins, qui sera menée en 2023, permettra d’identifier les besoins urgents en matière de renforcement des capacités, de contribuer à l’élaboration d’outils de connaissance pertinents et de préciser le public visé pour le renforcement des capacités. L’évaluation des besoins permettra en outre au Secrétariat de déterminer s’il </w:t>
      </w:r>
      <w:r w:rsidR="004F3F1A">
        <w:rPr>
          <w:color w:val="000000"/>
          <w:sz w:val="20"/>
        </w:rPr>
        <w:t>sera</w:t>
      </w:r>
      <w:r>
        <w:rPr>
          <w:color w:val="000000"/>
          <w:sz w:val="20"/>
        </w:rPr>
        <w:t xml:space="preserve"> nécessaire d’élaborer des supports d’information de haut niveau sur la mobilisation des ressources et la collecte de fonds, tels qu’une vue d’ensemble des sources de financement nationales et internationales et des tendances pour les zones humides.</w:t>
      </w:r>
    </w:p>
    <w:sectPr w:rsidR="00683790" w:rsidRPr="00BE3A3F" w:rsidSect="00E96B1B">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922C2" w14:textId="77777777" w:rsidR="00397C65" w:rsidRDefault="00397C65" w:rsidP="00DF2386">
      <w:r>
        <w:separator/>
      </w:r>
    </w:p>
  </w:endnote>
  <w:endnote w:type="continuationSeparator" w:id="0">
    <w:p w14:paraId="2D601352" w14:textId="77777777" w:rsidR="00397C65" w:rsidRDefault="00397C6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FB53" w14:textId="3BF8CD9C" w:rsidR="00F73E71" w:rsidRDefault="007972E0" w:rsidP="00E96B1B">
    <w:pPr>
      <w:pStyle w:val="Header"/>
      <w:tabs>
        <w:tab w:val="clear" w:pos="9026"/>
        <w:tab w:val="right" w:pos="9180"/>
      </w:tabs>
      <w:rPr>
        <w:noProof/>
      </w:rPr>
    </w:pPr>
    <w:r>
      <w:rPr>
        <w:sz w:val="20"/>
      </w:rPr>
      <w:t>SC62 Doc.18</w:t>
    </w:r>
    <w:r>
      <w:tab/>
    </w:r>
    <w:r>
      <w:tab/>
    </w:r>
    <w:sdt>
      <w:sdtPr>
        <w:rPr>
          <w:color w:val="2B579A"/>
          <w:shd w:val="clear" w:color="auto" w:fill="E6E6E6"/>
        </w:rPr>
        <w:id w:val="-1790969534"/>
        <w:docPartObj>
          <w:docPartGallery w:val="Page Numbers (Top of Page)"/>
          <w:docPartUnique/>
        </w:docPartObj>
      </w:sdtPr>
      <w:sdtEndPr>
        <w:rPr>
          <w:noProof/>
          <w:color w:val="auto"/>
          <w:shd w:val="clear" w:color="auto" w:fill="auto"/>
        </w:rPr>
      </w:sdtEndPr>
      <w:sdtContent>
        <w:r w:rsidR="00F73E71" w:rsidRPr="00F344DE">
          <w:rPr>
            <w:color w:val="2B579A"/>
            <w:sz w:val="20"/>
            <w:shd w:val="clear" w:color="auto" w:fill="E6E6E6"/>
          </w:rPr>
          <w:fldChar w:fldCharType="begin"/>
        </w:r>
        <w:r w:rsidR="00F73E71" w:rsidRPr="00F344DE">
          <w:rPr>
            <w:sz w:val="20"/>
          </w:rPr>
          <w:instrText xml:space="preserve"> PAGE   \* MERGEFORMAT </w:instrText>
        </w:r>
        <w:r w:rsidR="00F73E71" w:rsidRPr="00F344DE">
          <w:rPr>
            <w:color w:val="2B579A"/>
            <w:sz w:val="20"/>
            <w:shd w:val="clear" w:color="auto" w:fill="E6E6E6"/>
          </w:rPr>
          <w:fldChar w:fldCharType="separate"/>
        </w:r>
        <w:r w:rsidR="00DB77F7">
          <w:rPr>
            <w:noProof/>
            <w:sz w:val="20"/>
          </w:rPr>
          <w:t>2</w:t>
        </w:r>
        <w:r w:rsidR="00F73E71" w:rsidRPr="00F344DE">
          <w:rPr>
            <w:color w:val="2B579A"/>
            <w:sz w:val="20"/>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FC79" w14:textId="5663DAB2" w:rsidR="00E96B1B" w:rsidRDefault="00E96B1B" w:rsidP="00E96B1B">
    <w:pPr>
      <w:pStyle w:val="Header"/>
      <w:tabs>
        <w:tab w:val="clear" w:pos="9026"/>
        <w:tab w:val="right" w:pos="14040"/>
      </w:tabs>
      <w:rPr>
        <w:noProof/>
      </w:rPr>
    </w:pPr>
    <w:r>
      <w:rPr>
        <w:sz w:val="20"/>
      </w:rPr>
      <w:t>SC62 Doc.18</w:t>
    </w:r>
    <w:r>
      <w:tab/>
    </w:r>
    <w:r>
      <w:tab/>
    </w:r>
    <w:sdt>
      <w:sdtPr>
        <w:rPr>
          <w:color w:val="2B579A"/>
          <w:shd w:val="clear" w:color="auto" w:fill="E6E6E6"/>
        </w:rPr>
        <w:id w:val="1295647979"/>
        <w:docPartObj>
          <w:docPartGallery w:val="Page Numbers (Top of Page)"/>
          <w:docPartUnique/>
        </w:docPartObj>
      </w:sdtPr>
      <w:sdtEndPr>
        <w:rPr>
          <w:noProof/>
          <w:color w:val="auto"/>
          <w:shd w:val="clear" w:color="auto" w:fill="auto"/>
        </w:rPr>
      </w:sdtEndPr>
      <w:sdtContent>
        <w:r w:rsidRPr="00F344DE">
          <w:rPr>
            <w:color w:val="2B579A"/>
            <w:sz w:val="20"/>
            <w:shd w:val="clear" w:color="auto" w:fill="E6E6E6"/>
          </w:rPr>
          <w:fldChar w:fldCharType="begin"/>
        </w:r>
        <w:r w:rsidRPr="00F344DE">
          <w:rPr>
            <w:sz w:val="20"/>
          </w:rPr>
          <w:instrText xml:space="preserve"> PAGE   \* MERGEFORMAT </w:instrText>
        </w:r>
        <w:r w:rsidRPr="00F344DE">
          <w:rPr>
            <w:color w:val="2B579A"/>
            <w:sz w:val="20"/>
            <w:shd w:val="clear" w:color="auto" w:fill="E6E6E6"/>
          </w:rPr>
          <w:fldChar w:fldCharType="separate"/>
        </w:r>
        <w:r w:rsidR="00DB77F7">
          <w:rPr>
            <w:noProof/>
            <w:sz w:val="20"/>
          </w:rPr>
          <w:t>6</w:t>
        </w:r>
        <w:r w:rsidRPr="00F344DE">
          <w:rPr>
            <w:color w:val="2B579A"/>
            <w:sz w:val="20"/>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9336" w14:textId="48CB38A1" w:rsidR="2718667C" w:rsidRDefault="2718667C" w:rsidP="2718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D30F" w14:textId="77777777" w:rsidR="00397C65" w:rsidRDefault="00397C65" w:rsidP="00DF2386">
      <w:r>
        <w:separator/>
      </w:r>
    </w:p>
  </w:footnote>
  <w:footnote w:type="continuationSeparator" w:id="0">
    <w:p w14:paraId="201340C2" w14:textId="77777777" w:rsidR="00397C65" w:rsidRDefault="00397C65" w:rsidP="00DF2386">
      <w:r>
        <w:continuationSeparator/>
      </w:r>
    </w:p>
  </w:footnote>
  <w:footnote w:id="1">
    <w:p w14:paraId="60717303" w14:textId="0BDB5290" w:rsidR="00C35FF5" w:rsidRDefault="00C35FF5" w:rsidP="00343993">
      <w:pPr>
        <w:pStyle w:val="FootnoteText"/>
        <w:ind w:left="0" w:firstLine="0"/>
      </w:pPr>
      <w:r>
        <w:rPr>
          <w:rStyle w:val="FootnoteReference"/>
        </w:rPr>
        <w:footnoteRef/>
      </w:r>
      <w:r>
        <w:t xml:space="preserve"> Voir </w:t>
      </w:r>
      <w:hyperlink r:id="rId1" w:history="1">
        <w:r w:rsidR="00343993" w:rsidRPr="00D31095">
          <w:rPr>
            <w:rStyle w:val="Hyperlink"/>
          </w:rPr>
          <w:t>https://www.ramsar.org/fr/document/sc57-doc19-plan-de-travail-de-la-convention-de-ramsar-pour-la-mobilisation-des-ressources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1CD2" w14:textId="034F8EC5" w:rsidR="2718667C" w:rsidRDefault="2718667C" w:rsidP="2718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1B686A"/>
    <w:multiLevelType w:val="hybridMultilevel"/>
    <w:tmpl w:val="1FD48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5B82876">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87474"/>
    <w:multiLevelType w:val="hybridMultilevel"/>
    <w:tmpl w:val="FAC26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87210F"/>
    <w:multiLevelType w:val="hybridMultilevel"/>
    <w:tmpl w:val="4E0220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94229"/>
    <w:multiLevelType w:val="hybridMultilevel"/>
    <w:tmpl w:val="D5B4D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50999"/>
    <w:multiLevelType w:val="hybridMultilevel"/>
    <w:tmpl w:val="CD665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DA5969"/>
    <w:multiLevelType w:val="hybridMultilevel"/>
    <w:tmpl w:val="D728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F4317"/>
    <w:multiLevelType w:val="hybridMultilevel"/>
    <w:tmpl w:val="F1E81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7D4538"/>
    <w:multiLevelType w:val="hybridMultilevel"/>
    <w:tmpl w:val="918AF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D2289"/>
    <w:multiLevelType w:val="hybridMultilevel"/>
    <w:tmpl w:val="E9B6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DD8612A"/>
    <w:multiLevelType w:val="hybridMultilevel"/>
    <w:tmpl w:val="33E0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1152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94B52"/>
    <w:multiLevelType w:val="hybridMultilevel"/>
    <w:tmpl w:val="B45E1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DC5441"/>
    <w:multiLevelType w:val="hybridMultilevel"/>
    <w:tmpl w:val="67966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C7912"/>
    <w:multiLevelType w:val="hybridMultilevel"/>
    <w:tmpl w:val="05061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446758"/>
    <w:multiLevelType w:val="hybridMultilevel"/>
    <w:tmpl w:val="A5CAA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847ABF"/>
    <w:multiLevelType w:val="hybridMultilevel"/>
    <w:tmpl w:val="66D8C7B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CAF16F5"/>
    <w:multiLevelType w:val="hybridMultilevel"/>
    <w:tmpl w:val="C60A0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9D26A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0"/>
  </w:num>
  <w:num w:numId="13">
    <w:abstractNumId w:val="24"/>
  </w:num>
  <w:num w:numId="14">
    <w:abstractNumId w:val="18"/>
  </w:num>
  <w:num w:numId="15">
    <w:abstractNumId w:val="4"/>
  </w:num>
  <w:num w:numId="16">
    <w:abstractNumId w:val="20"/>
  </w:num>
  <w:num w:numId="17">
    <w:abstractNumId w:val="26"/>
  </w:num>
  <w:num w:numId="18">
    <w:abstractNumId w:val="44"/>
  </w:num>
  <w:num w:numId="19">
    <w:abstractNumId w:val="38"/>
  </w:num>
  <w:num w:numId="20">
    <w:abstractNumId w:val="29"/>
  </w:num>
  <w:num w:numId="21">
    <w:abstractNumId w:val="31"/>
  </w:num>
  <w:num w:numId="22">
    <w:abstractNumId w:val="22"/>
  </w:num>
  <w:num w:numId="23">
    <w:abstractNumId w:val="27"/>
  </w:num>
  <w:num w:numId="24">
    <w:abstractNumId w:val="25"/>
  </w:num>
  <w:num w:numId="25">
    <w:abstractNumId w:val="37"/>
  </w:num>
  <w:num w:numId="26">
    <w:abstractNumId w:val="14"/>
  </w:num>
  <w:num w:numId="27">
    <w:abstractNumId w:val="0"/>
  </w:num>
  <w:num w:numId="28">
    <w:abstractNumId w:val="17"/>
  </w:num>
  <w:num w:numId="29">
    <w:abstractNumId w:val="6"/>
  </w:num>
  <w:num w:numId="30">
    <w:abstractNumId w:val="33"/>
  </w:num>
  <w:num w:numId="31">
    <w:abstractNumId w:val="2"/>
  </w:num>
  <w:num w:numId="32">
    <w:abstractNumId w:val="41"/>
  </w:num>
  <w:num w:numId="33">
    <w:abstractNumId w:val="43"/>
  </w:num>
  <w:num w:numId="34">
    <w:abstractNumId w:val="15"/>
  </w:num>
  <w:num w:numId="35">
    <w:abstractNumId w:val="3"/>
  </w:num>
  <w:num w:numId="36">
    <w:abstractNumId w:val="5"/>
  </w:num>
  <w:num w:numId="37">
    <w:abstractNumId w:val="32"/>
  </w:num>
  <w:num w:numId="38">
    <w:abstractNumId w:val="35"/>
  </w:num>
  <w:num w:numId="39">
    <w:abstractNumId w:val="40"/>
  </w:num>
  <w:num w:numId="40">
    <w:abstractNumId w:val="9"/>
  </w:num>
  <w:num w:numId="41">
    <w:abstractNumId w:val="39"/>
  </w:num>
  <w:num w:numId="42">
    <w:abstractNumId w:val="21"/>
  </w:num>
  <w:num w:numId="43">
    <w:abstractNumId w:val="34"/>
  </w:num>
  <w:num w:numId="44">
    <w:abstractNumId w:val="28"/>
  </w:num>
  <w:num w:numId="45">
    <w:abstractNumId w:val="7"/>
  </w:num>
  <w:num w:numId="46">
    <w:abstractNumId w:val="4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21D0"/>
    <w:rsid w:val="00014168"/>
    <w:rsid w:val="00016234"/>
    <w:rsid w:val="000179F0"/>
    <w:rsid w:val="00017A16"/>
    <w:rsid w:val="00017D58"/>
    <w:rsid w:val="000222D0"/>
    <w:rsid w:val="00022C0D"/>
    <w:rsid w:val="00022E56"/>
    <w:rsid w:val="00023C41"/>
    <w:rsid w:val="00025997"/>
    <w:rsid w:val="00026E09"/>
    <w:rsid w:val="00037264"/>
    <w:rsid w:val="00037CE0"/>
    <w:rsid w:val="00043470"/>
    <w:rsid w:val="00046657"/>
    <w:rsid w:val="00050124"/>
    <w:rsid w:val="00053929"/>
    <w:rsid w:val="00056BB9"/>
    <w:rsid w:val="0006198A"/>
    <w:rsid w:val="00061C9C"/>
    <w:rsid w:val="00070C41"/>
    <w:rsid w:val="0007256F"/>
    <w:rsid w:val="00073625"/>
    <w:rsid w:val="00074DE8"/>
    <w:rsid w:val="000756B8"/>
    <w:rsid w:val="000805B0"/>
    <w:rsid w:val="00081E4B"/>
    <w:rsid w:val="00082A54"/>
    <w:rsid w:val="00082B39"/>
    <w:rsid w:val="000847F3"/>
    <w:rsid w:val="000857B3"/>
    <w:rsid w:val="00085CA5"/>
    <w:rsid w:val="0008690D"/>
    <w:rsid w:val="00086B73"/>
    <w:rsid w:val="00086BAD"/>
    <w:rsid w:val="00095C2C"/>
    <w:rsid w:val="000A3137"/>
    <w:rsid w:val="000A3E3E"/>
    <w:rsid w:val="000A7F34"/>
    <w:rsid w:val="000B11FE"/>
    <w:rsid w:val="000B3626"/>
    <w:rsid w:val="000B4EA0"/>
    <w:rsid w:val="000B76DB"/>
    <w:rsid w:val="000C1C39"/>
    <w:rsid w:val="000C2489"/>
    <w:rsid w:val="000C5C18"/>
    <w:rsid w:val="000D3AC2"/>
    <w:rsid w:val="000D5C76"/>
    <w:rsid w:val="000E2FA0"/>
    <w:rsid w:val="000E47E9"/>
    <w:rsid w:val="000E608E"/>
    <w:rsid w:val="001017DC"/>
    <w:rsid w:val="001033E1"/>
    <w:rsid w:val="00115CB9"/>
    <w:rsid w:val="0012096C"/>
    <w:rsid w:val="001233FA"/>
    <w:rsid w:val="001257FE"/>
    <w:rsid w:val="0012581E"/>
    <w:rsid w:val="001275BA"/>
    <w:rsid w:val="00127828"/>
    <w:rsid w:val="001301B9"/>
    <w:rsid w:val="00130DF2"/>
    <w:rsid w:val="00135A1E"/>
    <w:rsid w:val="0014601C"/>
    <w:rsid w:val="00146AB1"/>
    <w:rsid w:val="00152068"/>
    <w:rsid w:val="00153132"/>
    <w:rsid w:val="00154373"/>
    <w:rsid w:val="00160BCB"/>
    <w:rsid w:val="00161BDA"/>
    <w:rsid w:val="001626D0"/>
    <w:rsid w:val="00170B94"/>
    <w:rsid w:val="00171618"/>
    <w:rsid w:val="0017331A"/>
    <w:rsid w:val="001742FC"/>
    <w:rsid w:val="001819B1"/>
    <w:rsid w:val="00190CDC"/>
    <w:rsid w:val="0019323F"/>
    <w:rsid w:val="00197D3C"/>
    <w:rsid w:val="001A00ED"/>
    <w:rsid w:val="001A2D10"/>
    <w:rsid w:val="001B3F20"/>
    <w:rsid w:val="001B7860"/>
    <w:rsid w:val="001C31AE"/>
    <w:rsid w:val="001C4CF5"/>
    <w:rsid w:val="001C5E41"/>
    <w:rsid w:val="001C77BC"/>
    <w:rsid w:val="001D061B"/>
    <w:rsid w:val="001D4592"/>
    <w:rsid w:val="001D48BB"/>
    <w:rsid w:val="001E00E3"/>
    <w:rsid w:val="001E2777"/>
    <w:rsid w:val="001F05F3"/>
    <w:rsid w:val="001F2349"/>
    <w:rsid w:val="001F5035"/>
    <w:rsid w:val="001F6A49"/>
    <w:rsid w:val="00200197"/>
    <w:rsid w:val="002005D2"/>
    <w:rsid w:val="0020298B"/>
    <w:rsid w:val="00203B2A"/>
    <w:rsid w:val="002056FC"/>
    <w:rsid w:val="00206111"/>
    <w:rsid w:val="00206A06"/>
    <w:rsid w:val="002137E0"/>
    <w:rsid w:val="0021546F"/>
    <w:rsid w:val="0022042A"/>
    <w:rsid w:val="0022179C"/>
    <w:rsid w:val="0022797F"/>
    <w:rsid w:val="00230310"/>
    <w:rsid w:val="00231D73"/>
    <w:rsid w:val="00235638"/>
    <w:rsid w:val="00242F60"/>
    <w:rsid w:val="00246895"/>
    <w:rsid w:val="00247B05"/>
    <w:rsid w:val="002613BD"/>
    <w:rsid w:val="00262838"/>
    <w:rsid w:val="0026361B"/>
    <w:rsid w:val="00267DF5"/>
    <w:rsid w:val="002740DA"/>
    <w:rsid w:val="002741AC"/>
    <w:rsid w:val="00275F13"/>
    <w:rsid w:val="002819C0"/>
    <w:rsid w:val="00284575"/>
    <w:rsid w:val="00295556"/>
    <w:rsid w:val="00295AEB"/>
    <w:rsid w:val="00295BB5"/>
    <w:rsid w:val="002A02DF"/>
    <w:rsid w:val="002A5A4D"/>
    <w:rsid w:val="002B198D"/>
    <w:rsid w:val="002B4262"/>
    <w:rsid w:val="002B643F"/>
    <w:rsid w:val="002B7464"/>
    <w:rsid w:val="002C3A1E"/>
    <w:rsid w:val="002C4470"/>
    <w:rsid w:val="002C6203"/>
    <w:rsid w:val="002C67D1"/>
    <w:rsid w:val="002C7D31"/>
    <w:rsid w:val="002D5A4D"/>
    <w:rsid w:val="002E123C"/>
    <w:rsid w:val="002E22AF"/>
    <w:rsid w:val="002E7094"/>
    <w:rsid w:val="002F03C1"/>
    <w:rsid w:val="002F3147"/>
    <w:rsid w:val="002F45DC"/>
    <w:rsid w:val="00305EA1"/>
    <w:rsid w:val="00307D21"/>
    <w:rsid w:val="00310A9C"/>
    <w:rsid w:val="00313043"/>
    <w:rsid w:val="00315E1A"/>
    <w:rsid w:val="00320B4C"/>
    <w:rsid w:val="003210CC"/>
    <w:rsid w:val="0032230C"/>
    <w:rsid w:val="00322C05"/>
    <w:rsid w:val="00324398"/>
    <w:rsid w:val="0032703B"/>
    <w:rsid w:val="00330516"/>
    <w:rsid w:val="003358FF"/>
    <w:rsid w:val="00341A7F"/>
    <w:rsid w:val="00342B68"/>
    <w:rsid w:val="00343993"/>
    <w:rsid w:val="0034656F"/>
    <w:rsid w:val="00350C75"/>
    <w:rsid w:val="003547A4"/>
    <w:rsid w:val="00355EAC"/>
    <w:rsid w:val="00357218"/>
    <w:rsid w:val="00363AA1"/>
    <w:rsid w:val="003740D2"/>
    <w:rsid w:val="00380408"/>
    <w:rsid w:val="0038110E"/>
    <w:rsid w:val="00384FC3"/>
    <w:rsid w:val="00397C65"/>
    <w:rsid w:val="003A3804"/>
    <w:rsid w:val="003A4C3B"/>
    <w:rsid w:val="003A52BE"/>
    <w:rsid w:val="003A54A0"/>
    <w:rsid w:val="003A560E"/>
    <w:rsid w:val="003A5866"/>
    <w:rsid w:val="003A6E9F"/>
    <w:rsid w:val="003B5172"/>
    <w:rsid w:val="003B7816"/>
    <w:rsid w:val="003C0DA6"/>
    <w:rsid w:val="003C6DF4"/>
    <w:rsid w:val="003C7251"/>
    <w:rsid w:val="003D4CD6"/>
    <w:rsid w:val="003E2B58"/>
    <w:rsid w:val="003F0E5F"/>
    <w:rsid w:val="003F32E3"/>
    <w:rsid w:val="0041332D"/>
    <w:rsid w:val="00414B9D"/>
    <w:rsid w:val="0041770E"/>
    <w:rsid w:val="00421291"/>
    <w:rsid w:val="004228C7"/>
    <w:rsid w:val="00424028"/>
    <w:rsid w:val="004245D7"/>
    <w:rsid w:val="0042798B"/>
    <w:rsid w:val="0043045F"/>
    <w:rsid w:val="004316B7"/>
    <w:rsid w:val="00434913"/>
    <w:rsid w:val="00434E29"/>
    <w:rsid w:val="004428A5"/>
    <w:rsid w:val="00444CF6"/>
    <w:rsid w:val="004474F8"/>
    <w:rsid w:val="0046699F"/>
    <w:rsid w:val="004740F6"/>
    <w:rsid w:val="00476312"/>
    <w:rsid w:val="00477550"/>
    <w:rsid w:val="004809E2"/>
    <w:rsid w:val="004844A8"/>
    <w:rsid w:val="00492AB5"/>
    <w:rsid w:val="00495544"/>
    <w:rsid w:val="00496803"/>
    <w:rsid w:val="004A2725"/>
    <w:rsid w:val="004A72F2"/>
    <w:rsid w:val="004B1D44"/>
    <w:rsid w:val="004B3AA4"/>
    <w:rsid w:val="004B3AD8"/>
    <w:rsid w:val="004B4D26"/>
    <w:rsid w:val="004B50C5"/>
    <w:rsid w:val="004B6688"/>
    <w:rsid w:val="004C143B"/>
    <w:rsid w:val="004C1F8B"/>
    <w:rsid w:val="004C5E3B"/>
    <w:rsid w:val="004C611A"/>
    <w:rsid w:val="004D0EC2"/>
    <w:rsid w:val="004D108F"/>
    <w:rsid w:val="004D4A0A"/>
    <w:rsid w:val="004D5399"/>
    <w:rsid w:val="004D5E25"/>
    <w:rsid w:val="004D7819"/>
    <w:rsid w:val="004E13FF"/>
    <w:rsid w:val="004E4374"/>
    <w:rsid w:val="004E5FA8"/>
    <w:rsid w:val="004F3F1A"/>
    <w:rsid w:val="005050F1"/>
    <w:rsid w:val="00505AD0"/>
    <w:rsid w:val="0051601F"/>
    <w:rsid w:val="0051797C"/>
    <w:rsid w:val="00521444"/>
    <w:rsid w:val="0052408D"/>
    <w:rsid w:val="005244A4"/>
    <w:rsid w:val="00527783"/>
    <w:rsid w:val="00532598"/>
    <w:rsid w:val="00532B29"/>
    <w:rsid w:val="0053663D"/>
    <w:rsid w:val="00540905"/>
    <w:rsid w:val="00542391"/>
    <w:rsid w:val="005434FF"/>
    <w:rsid w:val="00546ADC"/>
    <w:rsid w:val="00551F9F"/>
    <w:rsid w:val="005532BA"/>
    <w:rsid w:val="00553610"/>
    <w:rsid w:val="00553973"/>
    <w:rsid w:val="00553FC9"/>
    <w:rsid w:val="00555BA9"/>
    <w:rsid w:val="00557F9C"/>
    <w:rsid w:val="0056419E"/>
    <w:rsid w:val="00566F2F"/>
    <w:rsid w:val="00570550"/>
    <w:rsid w:val="005814B5"/>
    <w:rsid w:val="00582032"/>
    <w:rsid w:val="00585521"/>
    <w:rsid w:val="00586393"/>
    <w:rsid w:val="0058678D"/>
    <w:rsid w:val="005904FE"/>
    <w:rsid w:val="00593E93"/>
    <w:rsid w:val="005968E8"/>
    <w:rsid w:val="005A1D60"/>
    <w:rsid w:val="005A286A"/>
    <w:rsid w:val="005A4B85"/>
    <w:rsid w:val="005A4DAE"/>
    <w:rsid w:val="005B5CB5"/>
    <w:rsid w:val="005B61FD"/>
    <w:rsid w:val="005C055C"/>
    <w:rsid w:val="005C445D"/>
    <w:rsid w:val="005C46C0"/>
    <w:rsid w:val="005D00C3"/>
    <w:rsid w:val="005D0365"/>
    <w:rsid w:val="005D3E9D"/>
    <w:rsid w:val="005D489D"/>
    <w:rsid w:val="005D6E28"/>
    <w:rsid w:val="005E0FFB"/>
    <w:rsid w:val="005E498A"/>
    <w:rsid w:val="005E5D0E"/>
    <w:rsid w:val="005F0EF6"/>
    <w:rsid w:val="005F3849"/>
    <w:rsid w:val="005F3E88"/>
    <w:rsid w:val="005F6C2C"/>
    <w:rsid w:val="00606269"/>
    <w:rsid w:val="00614418"/>
    <w:rsid w:val="00615DAE"/>
    <w:rsid w:val="00616192"/>
    <w:rsid w:val="0062380A"/>
    <w:rsid w:val="006256D3"/>
    <w:rsid w:val="00625A2C"/>
    <w:rsid w:val="00627BB7"/>
    <w:rsid w:val="006305C5"/>
    <w:rsid w:val="00635D5E"/>
    <w:rsid w:val="00636543"/>
    <w:rsid w:val="00640429"/>
    <w:rsid w:val="006427DA"/>
    <w:rsid w:val="0064334F"/>
    <w:rsid w:val="00644A13"/>
    <w:rsid w:val="00645D5E"/>
    <w:rsid w:val="0065136E"/>
    <w:rsid w:val="00652D40"/>
    <w:rsid w:val="00655300"/>
    <w:rsid w:val="00661326"/>
    <w:rsid w:val="0066786E"/>
    <w:rsid w:val="00670D71"/>
    <w:rsid w:val="00676106"/>
    <w:rsid w:val="00680B6D"/>
    <w:rsid w:val="00683790"/>
    <w:rsid w:val="006846BB"/>
    <w:rsid w:val="00684DE6"/>
    <w:rsid w:val="00694B11"/>
    <w:rsid w:val="00694F87"/>
    <w:rsid w:val="006A02A4"/>
    <w:rsid w:val="006A78BC"/>
    <w:rsid w:val="006B34FD"/>
    <w:rsid w:val="006B7C23"/>
    <w:rsid w:val="006C1CEA"/>
    <w:rsid w:val="006C2C45"/>
    <w:rsid w:val="006C4E58"/>
    <w:rsid w:val="006D183D"/>
    <w:rsid w:val="006D5DAF"/>
    <w:rsid w:val="006E131B"/>
    <w:rsid w:val="006E68F8"/>
    <w:rsid w:val="006E7DCE"/>
    <w:rsid w:val="007050FF"/>
    <w:rsid w:val="00712D42"/>
    <w:rsid w:val="00713EA4"/>
    <w:rsid w:val="007166C8"/>
    <w:rsid w:val="00716D08"/>
    <w:rsid w:val="00717A5F"/>
    <w:rsid w:val="00720311"/>
    <w:rsid w:val="00722266"/>
    <w:rsid w:val="007251F9"/>
    <w:rsid w:val="00732F76"/>
    <w:rsid w:val="007333D0"/>
    <w:rsid w:val="00735CD2"/>
    <w:rsid w:val="0073777D"/>
    <w:rsid w:val="00743C4C"/>
    <w:rsid w:val="007443CF"/>
    <w:rsid w:val="007463CA"/>
    <w:rsid w:val="00752764"/>
    <w:rsid w:val="00752DDB"/>
    <w:rsid w:val="007537BD"/>
    <w:rsid w:val="00753FDB"/>
    <w:rsid w:val="00754942"/>
    <w:rsid w:val="00754B07"/>
    <w:rsid w:val="00760886"/>
    <w:rsid w:val="00761B3D"/>
    <w:rsid w:val="00762121"/>
    <w:rsid w:val="00764BE5"/>
    <w:rsid w:val="00766962"/>
    <w:rsid w:val="007745D0"/>
    <w:rsid w:val="00775287"/>
    <w:rsid w:val="007772E6"/>
    <w:rsid w:val="0078026C"/>
    <w:rsid w:val="007830E8"/>
    <w:rsid w:val="00783502"/>
    <w:rsid w:val="0078638E"/>
    <w:rsid w:val="00787686"/>
    <w:rsid w:val="0079024D"/>
    <w:rsid w:val="007918CE"/>
    <w:rsid w:val="00794CF7"/>
    <w:rsid w:val="007972E0"/>
    <w:rsid w:val="00797BFF"/>
    <w:rsid w:val="007A6DA3"/>
    <w:rsid w:val="007B0010"/>
    <w:rsid w:val="007B23F9"/>
    <w:rsid w:val="007B4D2B"/>
    <w:rsid w:val="007C6EE2"/>
    <w:rsid w:val="007D33F4"/>
    <w:rsid w:val="007E6B93"/>
    <w:rsid w:val="007E7F95"/>
    <w:rsid w:val="007F0929"/>
    <w:rsid w:val="007F0940"/>
    <w:rsid w:val="007F09D5"/>
    <w:rsid w:val="007F3ABE"/>
    <w:rsid w:val="007F5E45"/>
    <w:rsid w:val="007F68AC"/>
    <w:rsid w:val="008017FF"/>
    <w:rsid w:val="00803485"/>
    <w:rsid w:val="00804188"/>
    <w:rsid w:val="008051B3"/>
    <w:rsid w:val="00813DBA"/>
    <w:rsid w:val="008205BF"/>
    <w:rsid w:val="00820624"/>
    <w:rsid w:val="008235CB"/>
    <w:rsid w:val="00824DC8"/>
    <w:rsid w:val="008328E9"/>
    <w:rsid w:val="0083453D"/>
    <w:rsid w:val="00835BCB"/>
    <w:rsid w:val="00835CDC"/>
    <w:rsid w:val="00836EA1"/>
    <w:rsid w:val="00837A92"/>
    <w:rsid w:val="00842068"/>
    <w:rsid w:val="00850B09"/>
    <w:rsid w:val="00863B9D"/>
    <w:rsid w:val="00863BE6"/>
    <w:rsid w:val="00864A66"/>
    <w:rsid w:val="00870A12"/>
    <w:rsid w:val="008775BC"/>
    <w:rsid w:val="00882F1B"/>
    <w:rsid w:val="008915E7"/>
    <w:rsid w:val="0089557D"/>
    <w:rsid w:val="008977AA"/>
    <w:rsid w:val="008A2260"/>
    <w:rsid w:val="008A70CE"/>
    <w:rsid w:val="008B6D3A"/>
    <w:rsid w:val="008C1E65"/>
    <w:rsid w:val="008C25E4"/>
    <w:rsid w:val="008C2DAE"/>
    <w:rsid w:val="008D55C6"/>
    <w:rsid w:val="008D5F82"/>
    <w:rsid w:val="008D641C"/>
    <w:rsid w:val="008E7B86"/>
    <w:rsid w:val="008F102F"/>
    <w:rsid w:val="008F1975"/>
    <w:rsid w:val="008F79F9"/>
    <w:rsid w:val="00903D13"/>
    <w:rsid w:val="009056D1"/>
    <w:rsid w:val="009059A9"/>
    <w:rsid w:val="00906CA3"/>
    <w:rsid w:val="00915044"/>
    <w:rsid w:val="0092515E"/>
    <w:rsid w:val="0092749C"/>
    <w:rsid w:val="009334E5"/>
    <w:rsid w:val="00942FBD"/>
    <w:rsid w:val="009454F0"/>
    <w:rsid w:val="009463C5"/>
    <w:rsid w:val="0094770B"/>
    <w:rsid w:val="00950A44"/>
    <w:rsid w:val="00951355"/>
    <w:rsid w:val="00954CB0"/>
    <w:rsid w:val="00955C1A"/>
    <w:rsid w:val="00955C1B"/>
    <w:rsid w:val="00961013"/>
    <w:rsid w:val="00966D68"/>
    <w:rsid w:val="00974721"/>
    <w:rsid w:val="0097495E"/>
    <w:rsid w:val="00975D7F"/>
    <w:rsid w:val="009766E4"/>
    <w:rsid w:val="0098651C"/>
    <w:rsid w:val="0098760A"/>
    <w:rsid w:val="00997574"/>
    <w:rsid w:val="009B2267"/>
    <w:rsid w:val="009B275E"/>
    <w:rsid w:val="009B2CEE"/>
    <w:rsid w:val="009B3337"/>
    <w:rsid w:val="009B4722"/>
    <w:rsid w:val="009B67EC"/>
    <w:rsid w:val="009C31C0"/>
    <w:rsid w:val="009D5BFC"/>
    <w:rsid w:val="009E0AE8"/>
    <w:rsid w:val="009E0D04"/>
    <w:rsid w:val="009E0E77"/>
    <w:rsid w:val="009E3748"/>
    <w:rsid w:val="009E5374"/>
    <w:rsid w:val="009F0A66"/>
    <w:rsid w:val="009F229C"/>
    <w:rsid w:val="009F345D"/>
    <w:rsid w:val="009F40B7"/>
    <w:rsid w:val="009F5DC6"/>
    <w:rsid w:val="00A01E6F"/>
    <w:rsid w:val="00A02861"/>
    <w:rsid w:val="00A03650"/>
    <w:rsid w:val="00A108E9"/>
    <w:rsid w:val="00A13218"/>
    <w:rsid w:val="00A227A3"/>
    <w:rsid w:val="00A24404"/>
    <w:rsid w:val="00A25597"/>
    <w:rsid w:val="00A26FCC"/>
    <w:rsid w:val="00A274D1"/>
    <w:rsid w:val="00A2906E"/>
    <w:rsid w:val="00A42339"/>
    <w:rsid w:val="00A451CF"/>
    <w:rsid w:val="00A474CB"/>
    <w:rsid w:val="00A50A38"/>
    <w:rsid w:val="00A60B73"/>
    <w:rsid w:val="00A61462"/>
    <w:rsid w:val="00A773A1"/>
    <w:rsid w:val="00A773EC"/>
    <w:rsid w:val="00A80080"/>
    <w:rsid w:val="00A8221E"/>
    <w:rsid w:val="00A976E3"/>
    <w:rsid w:val="00AA09C1"/>
    <w:rsid w:val="00AA13F3"/>
    <w:rsid w:val="00AA6F39"/>
    <w:rsid w:val="00AA7291"/>
    <w:rsid w:val="00AB4951"/>
    <w:rsid w:val="00AB51CC"/>
    <w:rsid w:val="00AB667B"/>
    <w:rsid w:val="00AC0715"/>
    <w:rsid w:val="00AC07F6"/>
    <w:rsid w:val="00AC38B1"/>
    <w:rsid w:val="00AC4EEB"/>
    <w:rsid w:val="00AC6C66"/>
    <w:rsid w:val="00AC7C43"/>
    <w:rsid w:val="00AD1EE9"/>
    <w:rsid w:val="00AD38DC"/>
    <w:rsid w:val="00AD3BFE"/>
    <w:rsid w:val="00AE2DB6"/>
    <w:rsid w:val="00AE3634"/>
    <w:rsid w:val="00AE54C8"/>
    <w:rsid w:val="00AE7389"/>
    <w:rsid w:val="00AF1FB1"/>
    <w:rsid w:val="00B007F4"/>
    <w:rsid w:val="00B04998"/>
    <w:rsid w:val="00B05D5E"/>
    <w:rsid w:val="00B13C8F"/>
    <w:rsid w:val="00B147E5"/>
    <w:rsid w:val="00B167C8"/>
    <w:rsid w:val="00B16E93"/>
    <w:rsid w:val="00B17BD0"/>
    <w:rsid w:val="00B26337"/>
    <w:rsid w:val="00B26490"/>
    <w:rsid w:val="00B27F09"/>
    <w:rsid w:val="00B30B06"/>
    <w:rsid w:val="00B315A0"/>
    <w:rsid w:val="00B34A18"/>
    <w:rsid w:val="00B35D1A"/>
    <w:rsid w:val="00B41529"/>
    <w:rsid w:val="00B420C5"/>
    <w:rsid w:val="00B468CE"/>
    <w:rsid w:val="00B504CA"/>
    <w:rsid w:val="00B54D17"/>
    <w:rsid w:val="00B579CB"/>
    <w:rsid w:val="00B60C3F"/>
    <w:rsid w:val="00B61DD1"/>
    <w:rsid w:val="00B626CD"/>
    <w:rsid w:val="00B654A4"/>
    <w:rsid w:val="00B656D0"/>
    <w:rsid w:val="00B70083"/>
    <w:rsid w:val="00B72846"/>
    <w:rsid w:val="00B72932"/>
    <w:rsid w:val="00B80C90"/>
    <w:rsid w:val="00B83F45"/>
    <w:rsid w:val="00B9377B"/>
    <w:rsid w:val="00B94144"/>
    <w:rsid w:val="00B95012"/>
    <w:rsid w:val="00B9537B"/>
    <w:rsid w:val="00B9546C"/>
    <w:rsid w:val="00BA033C"/>
    <w:rsid w:val="00BA6BC1"/>
    <w:rsid w:val="00BB06B2"/>
    <w:rsid w:val="00BB28F6"/>
    <w:rsid w:val="00BB2D40"/>
    <w:rsid w:val="00BB6EAC"/>
    <w:rsid w:val="00BC02B7"/>
    <w:rsid w:val="00BC2609"/>
    <w:rsid w:val="00BD02B7"/>
    <w:rsid w:val="00BE0B8E"/>
    <w:rsid w:val="00BE109B"/>
    <w:rsid w:val="00BE3A3F"/>
    <w:rsid w:val="00BE5E92"/>
    <w:rsid w:val="00BE75A4"/>
    <w:rsid w:val="00BF6436"/>
    <w:rsid w:val="00C03F48"/>
    <w:rsid w:val="00C13145"/>
    <w:rsid w:val="00C17E09"/>
    <w:rsid w:val="00C208F7"/>
    <w:rsid w:val="00C212FF"/>
    <w:rsid w:val="00C2411D"/>
    <w:rsid w:val="00C2456E"/>
    <w:rsid w:val="00C26902"/>
    <w:rsid w:val="00C26EC3"/>
    <w:rsid w:val="00C30AF5"/>
    <w:rsid w:val="00C35FF5"/>
    <w:rsid w:val="00C40E0E"/>
    <w:rsid w:val="00C47732"/>
    <w:rsid w:val="00C53A82"/>
    <w:rsid w:val="00C54E82"/>
    <w:rsid w:val="00C63CAB"/>
    <w:rsid w:val="00C65EB0"/>
    <w:rsid w:val="00C732BC"/>
    <w:rsid w:val="00C7522B"/>
    <w:rsid w:val="00C80AEB"/>
    <w:rsid w:val="00C9549C"/>
    <w:rsid w:val="00C96275"/>
    <w:rsid w:val="00CA412D"/>
    <w:rsid w:val="00CA439F"/>
    <w:rsid w:val="00CB50F3"/>
    <w:rsid w:val="00CB59D1"/>
    <w:rsid w:val="00CC06A3"/>
    <w:rsid w:val="00CC197E"/>
    <w:rsid w:val="00CC63F8"/>
    <w:rsid w:val="00CC7738"/>
    <w:rsid w:val="00CD5A42"/>
    <w:rsid w:val="00CE0038"/>
    <w:rsid w:val="00CE1C48"/>
    <w:rsid w:val="00CE41CF"/>
    <w:rsid w:val="00CE4B81"/>
    <w:rsid w:val="00CE750F"/>
    <w:rsid w:val="00CE7C37"/>
    <w:rsid w:val="00CF0973"/>
    <w:rsid w:val="00CF5B44"/>
    <w:rsid w:val="00CF7A36"/>
    <w:rsid w:val="00D160CB"/>
    <w:rsid w:val="00D17B32"/>
    <w:rsid w:val="00D2023C"/>
    <w:rsid w:val="00D21C5C"/>
    <w:rsid w:val="00D245A1"/>
    <w:rsid w:val="00D260EE"/>
    <w:rsid w:val="00D278A7"/>
    <w:rsid w:val="00D35BCB"/>
    <w:rsid w:val="00D405DB"/>
    <w:rsid w:val="00D415E2"/>
    <w:rsid w:val="00D42055"/>
    <w:rsid w:val="00D5480A"/>
    <w:rsid w:val="00D563B4"/>
    <w:rsid w:val="00D60B2A"/>
    <w:rsid w:val="00D630A8"/>
    <w:rsid w:val="00D647C3"/>
    <w:rsid w:val="00D650C2"/>
    <w:rsid w:val="00D706EF"/>
    <w:rsid w:val="00D7646A"/>
    <w:rsid w:val="00D7768F"/>
    <w:rsid w:val="00D8229A"/>
    <w:rsid w:val="00D82A28"/>
    <w:rsid w:val="00D91624"/>
    <w:rsid w:val="00D92A1E"/>
    <w:rsid w:val="00D95555"/>
    <w:rsid w:val="00D9633A"/>
    <w:rsid w:val="00DA32BF"/>
    <w:rsid w:val="00DB77F7"/>
    <w:rsid w:val="00DB7948"/>
    <w:rsid w:val="00DD1AB4"/>
    <w:rsid w:val="00DD5B60"/>
    <w:rsid w:val="00DD6844"/>
    <w:rsid w:val="00DD696F"/>
    <w:rsid w:val="00DD71D6"/>
    <w:rsid w:val="00DD7DAF"/>
    <w:rsid w:val="00DE189D"/>
    <w:rsid w:val="00DF2386"/>
    <w:rsid w:val="00DF4C94"/>
    <w:rsid w:val="00DF6E11"/>
    <w:rsid w:val="00DF6E76"/>
    <w:rsid w:val="00DF7FE7"/>
    <w:rsid w:val="00E03E71"/>
    <w:rsid w:val="00E06E21"/>
    <w:rsid w:val="00E13995"/>
    <w:rsid w:val="00E16295"/>
    <w:rsid w:val="00E20712"/>
    <w:rsid w:val="00E22FF0"/>
    <w:rsid w:val="00E318A4"/>
    <w:rsid w:val="00E337C9"/>
    <w:rsid w:val="00E36E2C"/>
    <w:rsid w:val="00E3797F"/>
    <w:rsid w:val="00E40890"/>
    <w:rsid w:val="00E46367"/>
    <w:rsid w:val="00E46897"/>
    <w:rsid w:val="00E5063A"/>
    <w:rsid w:val="00E54353"/>
    <w:rsid w:val="00E62742"/>
    <w:rsid w:val="00E63842"/>
    <w:rsid w:val="00E63F0B"/>
    <w:rsid w:val="00E66205"/>
    <w:rsid w:val="00E76D2C"/>
    <w:rsid w:val="00E80A06"/>
    <w:rsid w:val="00E90EFC"/>
    <w:rsid w:val="00E93F24"/>
    <w:rsid w:val="00E95815"/>
    <w:rsid w:val="00E96B1B"/>
    <w:rsid w:val="00EA1FEA"/>
    <w:rsid w:val="00EA3A7F"/>
    <w:rsid w:val="00EA3CBA"/>
    <w:rsid w:val="00EA54CD"/>
    <w:rsid w:val="00EA653F"/>
    <w:rsid w:val="00EB68CB"/>
    <w:rsid w:val="00EC096B"/>
    <w:rsid w:val="00EC4519"/>
    <w:rsid w:val="00ED09D6"/>
    <w:rsid w:val="00ED0E3C"/>
    <w:rsid w:val="00EF4C46"/>
    <w:rsid w:val="00EF5C84"/>
    <w:rsid w:val="00EF6365"/>
    <w:rsid w:val="00EF72AB"/>
    <w:rsid w:val="00F00593"/>
    <w:rsid w:val="00F029DC"/>
    <w:rsid w:val="00F03341"/>
    <w:rsid w:val="00F04120"/>
    <w:rsid w:val="00F078F1"/>
    <w:rsid w:val="00F10468"/>
    <w:rsid w:val="00F1199E"/>
    <w:rsid w:val="00F12D1E"/>
    <w:rsid w:val="00F13691"/>
    <w:rsid w:val="00F15323"/>
    <w:rsid w:val="00F15F5A"/>
    <w:rsid w:val="00F26784"/>
    <w:rsid w:val="00F32D03"/>
    <w:rsid w:val="00F3331F"/>
    <w:rsid w:val="00F33B96"/>
    <w:rsid w:val="00F344DE"/>
    <w:rsid w:val="00F35A34"/>
    <w:rsid w:val="00F35B51"/>
    <w:rsid w:val="00F37FA4"/>
    <w:rsid w:val="00F411B5"/>
    <w:rsid w:val="00F41860"/>
    <w:rsid w:val="00F468BE"/>
    <w:rsid w:val="00F52ABC"/>
    <w:rsid w:val="00F53177"/>
    <w:rsid w:val="00F535CE"/>
    <w:rsid w:val="00F57542"/>
    <w:rsid w:val="00F57F55"/>
    <w:rsid w:val="00F61FE3"/>
    <w:rsid w:val="00F623B3"/>
    <w:rsid w:val="00F627A0"/>
    <w:rsid w:val="00F655F6"/>
    <w:rsid w:val="00F65F11"/>
    <w:rsid w:val="00F673F7"/>
    <w:rsid w:val="00F73BA1"/>
    <w:rsid w:val="00F73E71"/>
    <w:rsid w:val="00F81B6D"/>
    <w:rsid w:val="00F87126"/>
    <w:rsid w:val="00F90DBE"/>
    <w:rsid w:val="00F93A33"/>
    <w:rsid w:val="00FA2506"/>
    <w:rsid w:val="00FA2E1C"/>
    <w:rsid w:val="00FA49EA"/>
    <w:rsid w:val="00FA76D5"/>
    <w:rsid w:val="00FB4204"/>
    <w:rsid w:val="00FB4C0B"/>
    <w:rsid w:val="00FC2EEF"/>
    <w:rsid w:val="00FC6FDA"/>
    <w:rsid w:val="00FD30C3"/>
    <w:rsid w:val="00FD611B"/>
    <w:rsid w:val="00FE24B0"/>
    <w:rsid w:val="00FF0B86"/>
    <w:rsid w:val="00FF170C"/>
    <w:rsid w:val="00FF5E1D"/>
    <w:rsid w:val="00FF7846"/>
    <w:rsid w:val="074955AE"/>
    <w:rsid w:val="0775E00A"/>
    <w:rsid w:val="0CC00D48"/>
    <w:rsid w:val="0F268C2F"/>
    <w:rsid w:val="10582C45"/>
    <w:rsid w:val="11133C19"/>
    <w:rsid w:val="13E7FEB2"/>
    <w:rsid w:val="16D4FB99"/>
    <w:rsid w:val="18D4C483"/>
    <w:rsid w:val="1CA1DDE8"/>
    <w:rsid w:val="20A924F8"/>
    <w:rsid w:val="20B4159D"/>
    <w:rsid w:val="2244F559"/>
    <w:rsid w:val="23E0C5BA"/>
    <w:rsid w:val="24D9BE47"/>
    <w:rsid w:val="24FFA82E"/>
    <w:rsid w:val="256F4F2C"/>
    <w:rsid w:val="257C961B"/>
    <w:rsid w:val="2663E06F"/>
    <w:rsid w:val="2718667C"/>
    <w:rsid w:val="28387FA0"/>
    <w:rsid w:val="29FA3B0F"/>
    <w:rsid w:val="2B59FD36"/>
    <w:rsid w:val="34907CCF"/>
    <w:rsid w:val="36C7E7F2"/>
    <w:rsid w:val="36DAF3CC"/>
    <w:rsid w:val="39951C27"/>
    <w:rsid w:val="3B1E81F5"/>
    <w:rsid w:val="3B30EC88"/>
    <w:rsid w:val="3BD4D9B1"/>
    <w:rsid w:val="3BFC4485"/>
    <w:rsid w:val="3EAFAF48"/>
    <w:rsid w:val="3F289EC0"/>
    <w:rsid w:val="426C3063"/>
    <w:rsid w:val="49AFEA9B"/>
    <w:rsid w:val="4B83F2E5"/>
    <w:rsid w:val="4F594EAE"/>
    <w:rsid w:val="50907C90"/>
    <w:rsid w:val="532F1128"/>
    <w:rsid w:val="55D330FD"/>
    <w:rsid w:val="56044167"/>
    <w:rsid w:val="563C09AA"/>
    <w:rsid w:val="5757E526"/>
    <w:rsid w:val="5834D317"/>
    <w:rsid w:val="5A11C856"/>
    <w:rsid w:val="5AB60B84"/>
    <w:rsid w:val="5B45E4CA"/>
    <w:rsid w:val="5CE70B38"/>
    <w:rsid w:val="5F0C3C9F"/>
    <w:rsid w:val="6087FC94"/>
    <w:rsid w:val="609FA553"/>
    <w:rsid w:val="67C6BF68"/>
    <w:rsid w:val="67DCD925"/>
    <w:rsid w:val="695E3E8F"/>
    <w:rsid w:val="6CD6DA24"/>
    <w:rsid w:val="70100E02"/>
    <w:rsid w:val="7068859A"/>
    <w:rsid w:val="74147DAF"/>
    <w:rsid w:val="75BB9F32"/>
    <w:rsid w:val="76E07E4F"/>
    <w:rsid w:val="775CF360"/>
    <w:rsid w:val="78284743"/>
    <w:rsid w:val="799E9C83"/>
    <w:rsid w:val="7CC56758"/>
    <w:rsid w:val="7E4F121E"/>
    <w:rsid w:val="7E8A1C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D200A"/>
  <w15:docId w15:val="{F445D6A4-8D96-485D-8842-06EAEFE9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43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2037325">
      <w:bodyDiv w:val="1"/>
      <w:marLeft w:val="0"/>
      <w:marRight w:val="0"/>
      <w:marTop w:val="0"/>
      <w:marBottom w:val="0"/>
      <w:divBdr>
        <w:top w:val="none" w:sz="0" w:space="0" w:color="auto"/>
        <w:left w:val="none" w:sz="0" w:space="0" w:color="auto"/>
        <w:bottom w:val="none" w:sz="0" w:space="0" w:color="auto"/>
        <w:right w:val="none" w:sz="0" w:space="0" w:color="auto"/>
      </w:divBdr>
    </w:div>
    <w:div w:id="9645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sc57-doc19-plan-de-travail-de-la-convention-de-ramsar-pour-la-mobilisation-des-res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4" ma:contentTypeDescription="Create a new document." ma:contentTypeScope="" ma:versionID="a8134e40f42453dbe842de2c471c1410">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85e3404e872e2e61a58673f4ac3cc0c"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29F8-2D3A-4AF6-8422-48CB707B6414}">
  <ds:schemaRefs>
    <ds:schemaRef ds:uri="http://purl.org/dc/terms/"/>
    <ds:schemaRef ds:uri="http://purl.org/dc/dcmitype/"/>
    <ds:schemaRef ds:uri="2091f3a7-85e0-4369-82dd-069689515281"/>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61a8272d-96cf-4049-bae8-824c01106527"/>
    <ds:schemaRef ds:uri="http://www.w3.org/XML/1998/namespace"/>
  </ds:schemaRefs>
</ds:datastoreItem>
</file>

<file path=customXml/itemProps2.xml><?xml version="1.0" encoding="utf-8"?>
<ds:datastoreItem xmlns:ds="http://schemas.openxmlformats.org/officeDocument/2006/customXml" ds:itemID="{68BFCD39-44AD-453B-AF58-6B18611A0DD6}">
  <ds:schemaRefs>
    <ds:schemaRef ds:uri="http://schemas.microsoft.com/sharepoint/v3/contenttype/forms"/>
  </ds:schemaRefs>
</ds:datastoreItem>
</file>

<file path=customXml/itemProps3.xml><?xml version="1.0" encoding="utf-8"?>
<ds:datastoreItem xmlns:ds="http://schemas.openxmlformats.org/officeDocument/2006/customXml" ds:itemID="{07E76396-E152-459A-BBBB-2652F0612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62549-A838-408F-9D64-F4CFABE7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Ed Jennings</cp:lastModifiedBy>
  <cp:revision>3</cp:revision>
  <cp:lastPrinted>2023-05-15T07:14:00Z</cp:lastPrinted>
  <dcterms:created xsi:type="dcterms:W3CDTF">2023-05-24T14:35:00Z</dcterms:created>
  <dcterms:modified xsi:type="dcterms:W3CDTF">2023-06-01T12:55:00Z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