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375A" w14:textId="77777777" w:rsidR="00920E7F" w:rsidRPr="00B54758" w:rsidRDefault="00920E7F" w:rsidP="00914A1A">
      <w:pPr>
        <w:jc w:val="center"/>
        <w:rPr>
          <w:rFonts w:asciiTheme="majorHAnsi" w:eastAsiaTheme="minorHAnsi" w:hAnsiTheme="majorHAnsi" w:cstheme="minorBidi"/>
          <w:b/>
          <w:sz w:val="28"/>
          <w:szCs w:val="28"/>
          <w:lang w:val="fr-FR"/>
        </w:rPr>
      </w:pPr>
      <w:bookmarkStart w:id="0" w:name="OLE_LINK1"/>
      <w:bookmarkStart w:id="1" w:name="OLE_LINK2"/>
    </w:p>
    <w:p w14:paraId="05474D65" w14:textId="77777777" w:rsidR="000965E4" w:rsidRDefault="00E01336" w:rsidP="00E24ED0">
      <w:pPr>
        <w:jc w:val="center"/>
        <w:rPr>
          <w:rFonts w:asciiTheme="majorHAnsi" w:eastAsiaTheme="minorHAnsi" w:hAnsiTheme="majorHAnsi" w:cstheme="minorBidi"/>
          <w:b/>
          <w:sz w:val="28"/>
          <w:szCs w:val="28"/>
          <w:lang w:val="fr-FR"/>
        </w:rPr>
      </w:pPr>
      <w:r w:rsidRPr="00B54758">
        <w:rPr>
          <w:rFonts w:asciiTheme="majorHAnsi" w:eastAsiaTheme="minorHAnsi" w:hAnsiTheme="majorHAnsi" w:cstheme="minorBidi"/>
          <w:b/>
          <w:sz w:val="28"/>
          <w:szCs w:val="28"/>
          <w:lang w:val="fr-FR"/>
        </w:rPr>
        <w:t xml:space="preserve"> </w:t>
      </w:r>
    </w:p>
    <w:p w14:paraId="50BD2252" w14:textId="77777777" w:rsidR="000965E4" w:rsidRDefault="000965E4" w:rsidP="00E24ED0">
      <w:pPr>
        <w:jc w:val="center"/>
        <w:rPr>
          <w:rFonts w:asciiTheme="majorHAnsi" w:eastAsiaTheme="minorHAnsi" w:hAnsiTheme="majorHAnsi" w:cstheme="minorBidi"/>
          <w:b/>
          <w:sz w:val="28"/>
          <w:szCs w:val="28"/>
          <w:lang w:val="fr-FR"/>
        </w:rPr>
      </w:pPr>
    </w:p>
    <w:p w14:paraId="02DA7CCF" w14:textId="77777777" w:rsidR="000965E4" w:rsidRDefault="000965E4" w:rsidP="00E24ED0">
      <w:pPr>
        <w:jc w:val="center"/>
        <w:rPr>
          <w:rFonts w:asciiTheme="majorHAnsi" w:eastAsiaTheme="minorHAnsi" w:hAnsiTheme="majorHAnsi" w:cstheme="minorBidi"/>
          <w:b/>
          <w:sz w:val="28"/>
          <w:szCs w:val="28"/>
          <w:lang w:val="fr-FR"/>
        </w:rPr>
      </w:pPr>
    </w:p>
    <w:p w14:paraId="12F2BC96" w14:textId="77777777" w:rsidR="000965E4" w:rsidRDefault="000965E4" w:rsidP="00E24ED0">
      <w:pPr>
        <w:jc w:val="center"/>
        <w:rPr>
          <w:rFonts w:asciiTheme="majorHAnsi" w:eastAsiaTheme="minorHAnsi" w:hAnsiTheme="majorHAnsi" w:cstheme="minorBidi"/>
          <w:b/>
          <w:sz w:val="28"/>
          <w:szCs w:val="28"/>
          <w:lang w:val="fr-FR"/>
        </w:rPr>
      </w:pPr>
    </w:p>
    <w:p w14:paraId="0539807E" w14:textId="77777777" w:rsidR="000965E4" w:rsidRDefault="000965E4" w:rsidP="00E24ED0">
      <w:pPr>
        <w:jc w:val="center"/>
        <w:rPr>
          <w:rFonts w:asciiTheme="majorHAnsi" w:eastAsiaTheme="minorHAnsi" w:hAnsiTheme="majorHAnsi" w:cstheme="minorBidi"/>
          <w:b/>
          <w:sz w:val="28"/>
          <w:szCs w:val="28"/>
          <w:lang w:val="fr-FR"/>
        </w:rPr>
      </w:pPr>
    </w:p>
    <w:p w14:paraId="0A031C85" w14:textId="1D877BAF" w:rsidR="000965E4" w:rsidRDefault="000965E4" w:rsidP="00E24ED0">
      <w:pPr>
        <w:jc w:val="center"/>
        <w:rPr>
          <w:rFonts w:asciiTheme="majorHAnsi" w:eastAsiaTheme="minorHAnsi" w:hAnsiTheme="majorHAnsi" w:cstheme="minorBidi"/>
          <w:b/>
          <w:sz w:val="28"/>
          <w:szCs w:val="28"/>
          <w:lang w:val="fr-FR"/>
        </w:rPr>
      </w:pPr>
      <w:r>
        <w:rPr>
          <w:rFonts w:asciiTheme="majorHAnsi" w:hAnsiTheme="majorHAnsi"/>
          <w:b/>
          <w:noProof/>
          <w:sz w:val="22"/>
          <w:szCs w:val="22"/>
          <w:lang w:val="en-GB" w:eastAsia="en-GB"/>
        </w:rPr>
        <w:drawing>
          <wp:inline distT="0" distB="0" distL="0" distR="0" wp14:anchorId="71A0B55F" wp14:editId="3D5B04AF">
            <wp:extent cx="2103120" cy="16353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_Standard_jpeg.jpg"/>
                    <pic:cNvPicPr/>
                  </pic:nvPicPr>
                  <pic:blipFill>
                    <a:blip r:embed="rId9">
                      <a:extLst>
                        <a:ext uri="{28A0092B-C50C-407E-A947-70E740481C1C}">
                          <a14:useLocalDpi xmlns:a14="http://schemas.microsoft.com/office/drawing/2010/main" val="0"/>
                        </a:ext>
                      </a:extLst>
                    </a:blip>
                    <a:stretch>
                      <a:fillRect/>
                    </a:stretch>
                  </pic:blipFill>
                  <pic:spPr>
                    <a:xfrm>
                      <a:off x="0" y="0"/>
                      <a:ext cx="2102706" cy="1635012"/>
                    </a:xfrm>
                    <a:prstGeom prst="rect">
                      <a:avLst/>
                    </a:prstGeom>
                  </pic:spPr>
                </pic:pic>
              </a:graphicData>
            </a:graphic>
          </wp:inline>
        </w:drawing>
      </w:r>
    </w:p>
    <w:p w14:paraId="3469DD61" w14:textId="77777777" w:rsidR="000965E4" w:rsidRDefault="000965E4" w:rsidP="00E24ED0">
      <w:pPr>
        <w:jc w:val="center"/>
        <w:rPr>
          <w:rFonts w:asciiTheme="majorHAnsi" w:eastAsiaTheme="minorHAnsi" w:hAnsiTheme="majorHAnsi" w:cstheme="minorBidi"/>
          <w:b/>
          <w:sz w:val="28"/>
          <w:szCs w:val="28"/>
          <w:lang w:val="fr-FR"/>
        </w:rPr>
      </w:pPr>
    </w:p>
    <w:p w14:paraId="16462F0B" w14:textId="77777777" w:rsidR="000965E4" w:rsidRDefault="000965E4" w:rsidP="000965E4">
      <w:pPr>
        <w:rPr>
          <w:rFonts w:asciiTheme="majorHAnsi" w:eastAsiaTheme="minorHAnsi" w:hAnsiTheme="majorHAnsi" w:cstheme="minorBidi"/>
          <w:b/>
          <w:sz w:val="28"/>
          <w:szCs w:val="28"/>
          <w:lang w:val="fr-FR"/>
        </w:rPr>
      </w:pPr>
    </w:p>
    <w:p w14:paraId="22423C30" w14:textId="586552F1" w:rsidR="00E24ED0" w:rsidRPr="001A00DB" w:rsidRDefault="00E24ED0" w:rsidP="00E24ED0">
      <w:pPr>
        <w:jc w:val="center"/>
        <w:rPr>
          <w:rFonts w:asciiTheme="majorHAnsi" w:hAnsiTheme="majorHAnsi" w:cs="Arial"/>
          <w:b/>
          <w:lang w:val="fr-FR"/>
        </w:rPr>
      </w:pPr>
      <w:r w:rsidRPr="001A00DB">
        <w:rPr>
          <w:rFonts w:asciiTheme="majorHAnsi" w:eastAsiaTheme="minorHAnsi" w:hAnsiTheme="majorHAnsi" w:cstheme="minorBidi"/>
          <w:b/>
          <w:lang w:val="fr-FR"/>
        </w:rPr>
        <w:t>P</w:t>
      </w:r>
      <w:r w:rsidR="00A921D3" w:rsidRPr="001A00DB">
        <w:rPr>
          <w:rFonts w:asciiTheme="majorHAnsi" w:eastAsiaTheme="minorHAnsi" w:hAnsiTheme="majorHAnsi" w:cstheme="minorBidi"/>
          <w:b/>
          <w:lang w:val="fr-FR"/>
        </w:rPr>
        <w:t xml:space="preserve">lan de travail </w:t>
      </w:r>
      <w:r w:rsidR="005C234E" w:rsidRPr="001A00DB">
        <w:rPr>
          <w:rFonts w:asciiTheme="majorHAnsi" w:eastAsiaTheme="minorHAnsi" w:hAnsiTheme="majorHAnsi" w:cstheme="minorBidi"/>
          <w:b/>
          <w:lang w:val="fr-FR"/>
        </w:rPr>
        <w:t xml:space="preserve">du </w:t>
      </w:r>
      <w:r w:rsidRPr="001A00DB">
        <w:rPr>
          <w:rFonts w:asciiTheme="majorHAnsi" w:eastAsiaTheme="minorHAnsi" w:hAnsiTheme="majorHAnsi" w:cstheme="minorBidi"/>
          <w:b/>
          <w:lang w:val="fr-FR"/>
        </w:rPr>
        <w:t>Groupe d’évaluation scientifique et technique (</w:t>
      </w:r>
      <w:r w:rsidR="005C234E" w:rsidRPr="001A00DB">
        <w:rPr>
          <w:rFonts w:asciiTheme="majorHAnsi" w:eastAsiaTheme="minorHAnsi" w:hAnsiTheme="majorHAnsi" w:cstheme="minorBidi"/>
          <w:b/>
          <w:lang w:val="fr-FR"/>
        </w:rPr>
        <w:t>GEST</w:t>
      </w:r>
      <w:r w:rsidRPr="001A00DB">
        <w:rPr>
          <w:rFonts w:asciiTheme="majorHAnsi" w:eastAsiaTheme="minorHAnsi" w:hAnsiTheme="majorHAnsi" w:cstheme="minorBidi"/>
          <w:b/>
          <w:lang w:val="fr-FR"/>
        </w:rPr>
        <w:t>)</w:t>
      </w:r>
      <w:r w:rsidR="005C234E" w:rsidRPr="001A00DB">
        <w:rPr>
          <w:rFonts w:asciiTheme="majorHAnsi" w:eastAsiaTheme="minorHAnsi" w:hAnsiTheme="majorHAnsi" w:cstheme="minorBidi"/>
          <w:b/>
          <w:lang w:val="fr-FR"/>
        </w:rPr>
        <w:t xml:space="preserve"> </w:t>
      </w:r>
      <w:r w:rsidR="00A921D3" w:rsidRPr="001A00DB">
        <w:rPr>
          <w:rFonts w:asciiTheme="majorHAnsi" w:eastAsiaTheme="minorHAnsi" w:hAnsiTheme="majorHAnsi" w:cstheme="minorBidi"/>
          <w:b/>
          <w:lang w:val="fr-FR"/>
        </w:rPr>
        <w:t>pour 2016-2018</w:t>
      </w:r>
      <w:r w:rsidRPr="001A00DB">
        <w:rPr>
          <w:rFonts w:asciiTheme="majorHAnsi" w:hAnsiTheme="majorHAnsi" w:cs="Arial"/>
          <w:b/>
          <w:lang w:val="fr-FR"/>
        </w:rPr>
        <w:t xml:space="preserve"> approuvé à la 52</w:t>
      </w:r>
      <w:r w:rsidRPr="001A00DB">
        <w:rPr>
          <w:rFonts w:asciiTheme="majorHAnsi" w:hAnsiTheme="majorHAnsi" w:cs="Arial"/>
          <w:b/>
          <w:vertAlign w:val="superscript"/>
          <w:lang w:val="fr-FR"/>
        </w:rPr>
        <w:t>e</w:t>
      </w:r>
      <w:r w:rsidRPr="001A00DB">
        <w:rPr>
          <w:rFonts w:asciiTheme="majorHAnsi" w:hAnsiTheme="majorHAnsi" w:cs="Arial"/>
          <w:b/>
          <w:lang w:val="fr-FR"/>
        </w:rPr>
        <w:t xml:space="preserve"> Réunion du Comité permanent (13 au 17 juin 2016)</w:t>
      </w:r>
    </w:p>
    <w:p w14:paraId="697379D6" w14:textId="619F1F4E" w:rsidR="00372E0C" w:rsidRDefault="00E24ED0" w:rsidP="00E24ED0">
      <w:pPr>
        <w:jc w:val="center"/>
        <w:rPr>
          <w:rFonts w:asciiTheme="majorHAnsi" w:hAnsiTheme="majorHAnsi" w:cs="Arial"/>
          <w:b/>
          <w:lang w:val="fr-FR"/>
        </w:rPr>
      </w:pPr>
      <w:r w:rsidRPr="001A00DB">
        <w:rPr>
          <w:rFonts w:asciiTheme="majorHAnsi" w:hAnsiTheme="majorHAnsi" w:cs="Arial"/>
          <w:b/>
          <w:lang w:val="fr-FR"/>
        </w:rPr>
        <w:t xml:space="preserve"> de la  Convention de Ramsar sur les zones humides</w:t>
      </w:r>
    </w:p>
    <w:p w14:paraId="291DC806" w14:textId="77777777" w:rsidR="00641559" w:rsidRDefault="00641559" w:rsidP="00E24ED0">
      <w:pPr>
        <w:jc w:val="center"/>
        <w:rPr>
          <w:rFonts w:asciiTheme="majorHAnsi" w:hAnsiTheme="majorHAnsi" w:cs="Arial"/>
          <w:b/>
          <w:lang w:val="fr-FR"/>
        </w:rPr>
      </w:pPr>
    </w:p>
    <w:p w14:paraId="6B4CF8EE" w14:textId="77777777" w:rsidR="00641559" w:rsidRDefault="00641559" w:rsidP="00E24ED0">
      <w:pPr>
        <w:jc w:val="center"/>
        <w:rPr>
          <w:rFonts w:asciiTheme="majorHAnsi" w:hAnsiTheme="majorHAnsi" w:cs="Arial"/>
          <w:b/>
          <w:lang w:val="fr-FR"/>
        </w:rPr>
      </w:pPr>
    </w:p>
    <w:p w14:paraId="02F6BF25" w14:textId="77777777" w:rsidR="00641559" w:rsidRDefault="00641559" w:rsidP="00E24ED0">
      <w:pPr>
        <w:jc w:val="center"/>
        <w:rPr>
          <w:rFonts w:asciiTheme="majorHAnsi" w:hAnsiTheme="majorHAnsi" w:cs="Arial"/>
          <w:b/>
          <w:lang w:val="fr-FR"/>
        </w:rPr>
      </w:pPr>
    </w:p>
    <w:p w14:paraId="4F0FAB82" w14:textId="77777777" w:rsidR="00641559" w:rsidRDefault="00641559" w:rsidP="00E24ED0">
      <w:pPr>
        <w:jc w:val="center"/>
        <w:rPr>
          <w:rFonts w:asciiTheme="majorHAnsi" w:hAnsiTheme="majorHAnsi" w:cs="Arial"/>
          <w:b/>
          <w:lang w:val="fr-FR"/>
        </w:rPr>
      </w:pPr>
    </w:p>
    <w:p w14:paraId="2733757E" w14:textId="77777777" w:rsidR="00641559" w:rsidRPr="001A00DB" w:rsidRDefault="00641559" w:rsidP="00E24ED0">
      <w:pPr>
        <w:jc w:val="center"/>
        <w:rPr>
          <w:rFonts w:asciiTheme="majorHAnsi" w:eastAsiaTheme="minorHAnsi" w:hAnsiTheme="majorHAnsi" w:cstheme="minorBidi"/>
          <w:b/>
          <w:sz w:val="28"/>
          <w:szCs w:val="28"/>
          <w:lang w:val="fr-FR"/>
        </w:rPr>
      </w:pPr>
    </w:p>
    <w:bookmarkEnd w:id="0"/>
    <w:bookmarkEnd w:id="1"/>
    <w:p w14:paraId="3C4CE9C4" w14:textId="183D5DE1" w:rsidR="00641559" w:rsidRPr="001A00DB" w:rsidRDefault="00641559" w:rsidP="00641559">
      <w:pPr>
        <w:jc w:val="center"/>
        <w:rPr>
          <w:rFonts w:asciiTheme="majorHAnsi" w:hAnsiTheme="majorHAnsi"/>
          <w:b/>
          <w:sz w:val="22"/>
          <w:szCs w:val="22"/>
          <w:lang w:val="fr-FR"/>
        </w:rPr>
      </w:pPr>
    </w:p>
    <w:p w14:paraId="379E8140" w14:textId="77777777" w:rsidR="00914A1A" w:rsidRDefault="00914A1A" w:rsidP="00914A1A">
      <w:pPr>
        <w:rPr>
          <w:rFonts w:asciiTheme="majorHAnsi" w:eastAsia="MS Mincho" w:hAnsiTheme="majorHAnsi"/>
          <w:sz w:val="22"/>
          <w:szCs w:val="22"/>
          <w:lang w:val="fr-FR" w:eastAsia="ja-JP"/>
        </w:rPr>
      </w:pPr>
    </w:p>
    <w:p w14:paraId="06CE1524" w14:textId="77777777" w:rsidR="00641559" w:rsidRDefault="00641559" w:rsidP="00914A1A">
      <w:pPr>
        <w:rPr>
          <w:rFonts w:asciiTheme="majorHAnsi" w:eastAsia="MS Mincho" w:hAnsiTheme="majorHAnsi"/>
          <w:sz w:val="22"/>
          <w:szCs w:val="22"/>
          <w:lang w:val="fr-FR" w:eastAsia="ja-JP"/>
        </w:rPr>
      </w:pPr>
    </w:p>
    <w:p w14:paraId="467226D4" w14:textId="77777777" w:rsidR="00641559" w:rsidRDefault="00641559" w:rsidP="00914A1A">
      <w:pPr>
        <w:rPr>
          <w:rFonts w:asciiTheme="majorHAnsi" w:eastAsia="MS Mincho" w:hAnsiTheme="majorHAnsi"/>
          <w:sz w:val="22"/>
          <w:szCs w:val="22"/>
          <w:lang w:val="fr-FR" w:eastAsia="ja-JP"/>
        </w:rPr>
      </w:pPr>
    </w:p>
    <w:p w14:paraId="24487C24" w14:textId="77777777" w:rsidR="00641559" w:rsidRDefault="00641559" w:rsidP="00914A1A">
      <w:pPr>
        <w:rPr>
          <w:rFonts w:asciiTheme="majorHAnsi" w:eastAsia="MS Mincho" w:hAnsiTheme="majorHAnsi"/>
          <w:sz w:val="22"/>
          <w:szCs w:val="22"/>
          <w:lang w:val="fr-FR" w:eastAsia="ja-JP"/>
        </w:rPr>
      </w:pPr>
    </w:p>
    <w:p w14:paraId="0BCF44DA" w14:textId="77777777" w:rsidR="00641559" w:rsidRDefault="00641559" w:rsidP="00914A1A">
      <w:pPr>
        <w:rPr>
          <w:rFonts w:asciiTheme="majorHAnsi" w:eastAsia="MS Mincho" w:hAnsiTheme="majorHAnsi"/>
          <w:sz w:val="22"/>
          <w:szCs w:val="22"/>
          <w:lang w:val="fr-FR" w:eastAsia="ja-JP"/>
        </w:rPr>
      </w:pPr>
    </w:p>
    <w:p w14:paraId="29911585" w14:textId="77777777" w:rsidR="00641559" w:rsidRDefault="00641559" w:rsidP="00914A1A">
      <w:pPr>
        <w:rPr>
          <w:rFonts w:asciiTheme="majorHAnsi" w:eastAsia="MS Mincho" w:hAnsiTheme="majorHAnsi"/>
          <w:sz w:val="22"/>
          <w:szCs w:val="22"/>
          <w:lang w:val="fr-FR" w:eastAsia="ja-JP"/>
        </w:rPr>
      </w:pPr>
    </w:p>
    <w:p w14:paraId="3DF35D3E" w14:textId="77777777" w:rsidR="00641559" w:rsidRPr="001A00DB" w:rsidRDefault="00641559" w:rsidP="00914A1A">
      <w:pPr>
        <w:rPr>
          <w:rFonts w:asciiTheme="majorHAnsi" w:eastAsia="MS Mincho" w:hAnsiTheme="majorHAnsi"/>
          <w:sz w:val="22"/>
          <w:szCs w:val="22"/>
          <w:lang w:val="fr-FR" w:eastAsia="ja-JP"/>
        </w:rPr>
        <w:sectPr w:rsidR="00641559" w:rsidRPr="001A00DB" w:rsidSect="00A9446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pPr>
    </w:p>
    <w:p w14:paraId="233199F6" w14:textId="46DD0D2A" w:rsidR="00914A1A" w:rsidRPr="001A00DB" w:rsidRDefault="00E24ED0" w:rsidP="00E24ED0">
      <w:pPr>
        <w:rPr>
          <w:rFonts w:asciiTheme="majorHAnsi" w:hAnsiTheme="majorHAnsi" w:cs="Arial"/>
          <w:b/>
          <w:sz w:val="22"/>
          <w:szCs w:val="22"/>
          <w:lang w:val="fr-FR"/>
        </w:rPr>
      </w:pPr>
      <w:r w:rsidRPr="001A00DB">
        <w:rPr>
          <w:rFonts w:asciiTheme="majorHAnsi" w:hAnsiTheme="majorHAnsi" w:cs="Arial"/>
          <w:b/>
          <w:sz w:val="22"/>
          <w:szCs w:val="22"/>
          <w:lang w:val="fr-FR"/>
        </w:rPr>
        <w:lastRenderedPageBreak/>
        <w:t>Note :</w:t>
      </w:r>
    </w:p>
    <w:p w14:paraId="40EC2638" w14:textId="77777777" w:rsidR="00914A1A" w:rsidRPr="001A00DB" w:rsidRDefault="00914A1A" w:rsidP="00914A1A">
      <w:pPr>
        <w:rPr>
          <w:rFonts w:asciiTheme="majorHAnsi" w:hAnsiTheme="majorHAnsi" w:cs="Arial"/>
          <w:sz w:val="22"/>
          <w:szCs w:val="22"/>
          <w:lang w:val="fr-FR"/>
        </w:rPr>
      </w:pPr>
    </w:p>
    <w:p w14:paraId="745CD1F5" w14:textId="4AB85FD6" w:rsidR="00E24ED0" w:rsidRPr="001A00DB" w:rsidRDefault="00F80EF2" w:rsidP="00E24ED0">
      <w:pPr>
        <w:rPr>
          <w:rFonts w:asciiTheme="majorHAnsi" w:eastAsia="Calibri" w:hAnsiTheme="majorHAnsi" w:cs="Calibri"/>
          <w:color w:val="000000"/>
          <w:sz w:val="22"/>
          <w:szCs w:val="22"/>
          <w:lang w:val="fr-FR"/>
        </w:rPr>
      </w:pPr>
      <w:r w:rsidRPr="001A00DB">
        <w:rPr>
          <w:rFonts w:asciiTheme="majorHAnsi" w:eastAsia="Calibri" w:hAnsiTheme="majorHAnsi" w:cs="Calibri"/>
          <w:color w:val="000000"/>
          <w:sz w:val="22"/>
          <w:szCs w:val="22"/>
          <w:lang w:val="fr-FR"/>
        </w:rPr>
        <w:t xml:space="preserve">Le GEST a préparé </w:t>
      </w:r>
      <w:r w:rsidR="00EC5C59" w:rsidRPr="001A00DB">
        <w:rPr>
          <w:rFonts w:asciiTheme="majorHAnsi" w:eastAsia="Calibri" w:hAnsiTheme="majorHAnsi" w:cs="Calibri"/>
          <w:color w:val="000000"/>
          <w:sz w:val="22"/>
          <w:szCs w:val="22"/>
          <w:lang w:val="fr-FR"/>
        </w:rPr>
        <w:t>son</w:t>
      </w:r>
      <w:r w:rsidRPr="001A00DB">
        <w:rPr>
          <w:rFonts w:asciiTheme="majorHAnsi" w:eastAsia="Calibri" w:hAnsiTheme="majorHAnsi" w:cs="Calibri"/>
          <w:color w:val="000000"/>
          <w:sz w:val="22"/>
          <w:szCs w:val="22"/>
          <w:lang w:val="fr-FR"/>
        </w:rPr>
        <w:t xml:space="preserve"> plan de travail pour la période triennale </w:t>
      </w:r>
      <w:r w:rsidR="00914A1A" w:rsidRPr="001A00DB">
        <w:rPr>
          <w:rFonts w:asciiTheme="majorHAnsi" w:eastAsia="Calibri" w:hAnsiTheme="majorHAnsi" w:cs="Calibri"/>
          <w:color w:val="000000"/>
          <w:sz w:val="22"/>
          <w:szCs w:val="22"/>
          <w:lang w:val="fr-FR"/>
        </w:rPr>
        <w:t>2016-2018</w:t>
      </w:r>
      <w:r w:rsidR="00E01336" w:rsidRPr="001A00DB">
        <w:rPr>
          <w:rFonts w:asciiTheme="majorHAnsi" w:eastAsia="Calibri" w:hAnsiTheme="majorHAnsi" w:cs="Calibri"/>
          <w:color w:val="000000"/>
          <w:sz w:val="22"/>
          <w:szCs w:val="22"/>
          <w:lang w:val="fr-FR"/>
        </w:rPr>
        <w:t xml:space="preserve"> </w:t>
      </w:r>
      <w:r w:rsidRPr="001A00DB">
        <w:rPr>
          <w:rFonts w:asciiTheme="majorHAnsi" w:eastAsia="Calibri" w:hAnsiTheme="majorHAnsi" w:cs="Calibri"/>
          <w:color w:val="000000"/>
          <w:sz w:val="22"/>
          <w:szCs w:val="22"/>
          <w:lang w:val="fr-FR"/>
        </w:rPr>
        <w:t>à sa 19</w:t>
      </w:r>
      <w:r w:rsidRPr="001A00DB">
        <w:rPr>
          <w:rFonts w:asciiTheme="majorHAnsi" w:eastAsia="Calibri" w:hAnsiTheme="majorHAnsi" w:cs="Calibri"/>
          <w:color w:val="000000"/>
          <w:sz w:val="22"/>
          <w:szCs w:val="22"/>
          <w:vertAlign w:val="superscript"/>
          <w:lang w:val="fr-FR"/>
        </w:rPr>
        <w:t>e</w:t>
      </w:r>
      <w:r w:rsidRPr="001A00DB">
        <w:rPr>
          <w:rFonts w:asciiTheme="majorHAnsi" w:eastAsia="Calibri" w:hAnsiTheme="majorHAnsi" w:cs="Calibri"/>
          <w:color w:val="000000"/>
          <w:sz w:val="22"/>
          <w:szCs w:val="22"/>
          <w:lang w:val="fr-FR"/>
        </w:rPr>
        <w:t> Réunion (2 au 6 novembre 2015) pour approbation par le Comité permanent à sa 51</w:t>
      </w:r>
      <w:r w:rsidRPr="001A00DB">
        <w:rPr>
          <w:rFonts w:asciiTheme="majorHAnsi" w:eastAsia="Calibri" w:hAnsiTheme="majorHAnsi" w:cs="Calibri"/>
          <w:color w:val="000000"/>
          <w:sz w:val="22"/>
          <w:szCs w:val="22"/>
          <w:vertAlign w:val="superscript"/>
          <w:lang w:val="fr-FR"/>
        </w:rPr>
        <w:t>e</w:t>
      </w:r>
      <w:r w:rsidRPr="001A00DB">
        <w:rPr>
          <w:rFonts w:asciiTheme="majorHAnsi" w:eastAsia="Calibri" w:hAnsiTheme="majorHAnsi" w:cs="Calibri"/>
          <w:color w:val="000000"/>
          <w:sz w:val="22"/>
          <w:szCs w:val="22"/>
          <w:lang w:val="fr-FR"/>
        </w:rPr>
        <w:t> Réunion, conformément à la Résolution</w:t>
      </w:r>
      <w:r w:rsidR="007A5CFB" w:rsidRPr="001A00DB">
        <w:rPr>
          <w:rFonts w:asciiTheme="majorHAnsi" w:eastAsia="Calibri" w:hAnsiTheme="majorHAnsi" w:cs="Calibri"/>
          <w:color w:val="000000"/>
          <w:sz w:val="22"/>
          <w:szCs w:val="22"/>
          <w:lang w:val="fr-FR"/>
        </w:rPr>
        <w:t xml:space="preserve"> </w:t>
      </w:r>
      <w:r w:rsidR="00914A1A" w:rsidRPr="001A00DB">
        <w:rPr>
          <w:rFonts w:asciiTheme="majorHAnsi" w:eastAsia="Calibri" w:hAnsiTheme="majorHAnsi" w:cs="Calibri"/>
          <w:color w:val="000000"/>
          <w:sz w:val="22"/>
          <w:szCs w:val="22"/>
          <w:lang w:val="fr-FR"/>
        </w:rPr>
        <w:t>XII.</w:t>
      </w:r>
      <w:r w:rsidR="00E01336" w:rsidRPr="001A00DB">
        <w:rPr>
          <w:rFonts w:asciiTheme="majorHAnsi" w:eastAsia="Calibri" w:hAnsiTheme="majorHAnsi" w:cs="Calibri"/>
          <w:color w:val="000000"/>
          <w:sz w:val="22"/>
          <w:szCs w:val="22"/>
          <w:lang w:val="fr-FR"/>
        </w:rPr>
        <w:t xml:space="preserve"> </w:t>
      </w:r>
      <w:r w:rsidR="00914A1A" w:rsidRPr="001A00DB">
        <w:rPr>
          <w:rFonts w:asciiTheme="majorHAnsi" w:eastAsia="Calibri" w:hAnsiTheme="majorHAnsi" w:cs="Calibri"/>
          <w:color w:val="000000"/>
          <w:sz w:val="22"/>
          <w:szCs w:val="22"/>
          <w:lang w:val="fr-FR"/>
        </w:rPr>
        <w:t>5</w:t>
      </w:r>
      <w:r w:rsidR="00E01336" w:rsidRPr="001A00DB">
        <w:rPr>
          <w:rFonts w:asciiTheme="majorHAnsi" w:eastAsia="Calibri" w:hAnsiTheme="majorHAnsi" w:cs="Calibri"/>
          <w:color w:val="000000"/>
          <w:sz w:val="22"/>
          <w:szCs w:val="22"/>
          <w:lang w:val="fr-FR"/>
        </w:rPr>
        <w:t xml:space="preserve"> </w:t>
      </w:r>
      <w:r w:rsidR="00914A1A" w:rsidRPr="001A00DB">
        <w:rPr>
          <w:rFonts w:asciiTheme="majorHAnsi" w:eastAsia="Calibri" w:hAnsiTheme="majorHAnsi" w:cs="Calibri"/>
          <w:color w:val="000000"/>
          <w:sz w:val="22"/>
          <w:szCs w:val="22"/>
          <w:lang w:val="fr-FR"/>
        </w:rPr>
        <w:t>(</w:t>
      </w:r>
      <w:r w:rsidR="004B32FB" w:rsidRPr="001A00DB">
        <w:rPr>
          <w:rFonts w:asciiTheme="majorHAnsi" w:eastAsia="Calibri" w:hAnsiTheme="majorHAnsi" w:cs="Calibri"/>
          <w:color w:val="000000"/>
          <w:sz w:val="22"/>
          <w:szCs w:val="22"/>
          <w:lang w:val="fr-FR"/>
        </w:rPr>
        <w:t>a</w:t>
      </w:r>
      <w:r w:rsidR="00914A1A" w:rsidRPr="001A00DB">
        <w:rPr>
          <w:rFonts w:asciiTheme="majorHAnsi" w:eastAsia="Calibri" w:hAnsiTheme="majorHAnsi" w:cs="Calibri"/>
          <w:color w:val="000000"/>
          <w:sz w:val="22"/>
          <w:szCs w:val="22"/>
          <w:lang w:val="fr-FR"/>
        </w:rPr>
        <w:t>nnex</w:t>
      </w:r>
      <w:r w:rsidRPr="001A00DB">
        <w:rPr>
          <w:rFonts w:asciiTheme="majorHAnsi" w:eastAsia="Calibri" w:hAnsiTheme="majorHAnsi" w:cs="Calibri"/>
          <w:color w:val="000000"/>
          <w:sz w:val="22"/>
          <w:szCs w:val="22"/>
          <w:lang w:val="fr-FR"/>
        </w:rPr>
        <w:t>e</w:t>
      </w:r>
      <w:r w:rsidR="00E01336" w:rsidRPr="001A00DB">
        <w:rPr>
          <w:rFonts w:asciiTheme="majorHAnsi" w:eastAsia="Calibri" w:hAnsiTheme="majorHAnsi" w:cs="Calibri"/>
          <w:color w:val="000000"/>
          <w:sz w:val="22"/>
          <w:szCs w:val="22"/>
          <w:lang w:val="fr-FR"/>
        </w:rPr>
        <w:t xml:space="preserve"> </w:t>
      </w:r>
      <w:r w:rsidR="002F7DF2" w:rsidRPr="001A00DB">
        <w:rPr>
          <w:rFonts w:asciiTheme="majorHAnsi" w:eastAsia="Calibri" w:hAnsiTheme="majorHAnsi" w:cs="Calibri"/>
          <w:color w:val="000000"/>
          <w:sz w:val="22"/>
          <w:szCs w:val="22"/>
          <w:lang w:val="fr-FR"/>
        </w:rPr>
        <w:t>1</w:t>
      </w:r>
      <w:r w:rsidR="00914A1A" w:rsidRPr="001A00DB">
        <w:rPr>
          <w:rFonts w:asciiTheme="majorHAnsi" w:eastAsia="Calibri" w:hAnsiTheme="majorHAnsi" w:cs="Calibri"/>
          <w:color w:val="000000"/>
          <w:sz w:val="22"/>
          <w:szCs w:val="22"/>
          <w:lang w:val="fr-FR"/>
        </w:rPr>
        <w:t>,</w:t>
      </w:r>
      <w:r w:rsidR="00E01336" w:rsidRPr="001A00DB">
        <w:rPr>
          <w:rFonts w:asciiTheme="majorHAnsi" w:eastAsia="Calibri" w:hAnsiTheme="majorHAnsi" w:cs="Calibri"/>
          <w:color w:val="000000"/>
          <w:sz w:val="22"/>
          <w:szCs w:val="22"/>
          <w:lang w:val="fr-FR"/>
        </w:rPr>
        <w:t xml:space="preserve"> </w:t>
      </w:r>
      <w:r w:rsidR="00914A1A" w:rsidRPr="001A00DB">
        <w:rPr>
          <w:rFonts w:asciiTheme="majorHAnsi" w:eastAsia="Calibri" w:hAnsiTheme="majorHAnsi" w:cs="Calibri"/>
          <w:color w:val="000000"/>
          <w:sz w:val="22"/>
          <w:szCs w:val="22"/>
          <w:lang w:val="fr-FR"/>
        </w:rPr>
        <w:t>paragraph</w:t>
      </w:r>
      <w:r w:rsidRPr="001A00DB">
        <w:rPr>
          <w:rFonts w:asciiTheme="majorHAnsi" w:eastAsia="Calibri" w:hAnsiTheme="majorHAnsi" w:cs="Calibri"/>
          <w:color w:val="000000"/>
          <w:sz w:val="22"/>
          <w:szCs w:val="22"/>
          <w:lang w:val="fr-FR"/>
        </w:rPr>
        <w:t>e</w:t>
      </w:r>
      <w:r w:rsidR="00E01336" w:rsidRPr="001A00DB">
        <w:rPr>
          <w:rFonts w:asciiTheme="majorHAnsi" w:eastAsia="Calibri" w:hAnsiTheme="majorHAnsi" w:cs="Calibri"/>
          <w:color w:val="000000"/>
          <w:sz w:val="22"/>
          <w:szCs w:val="22"/>
          <w:lang w:val="fr-FR"/>
        </w:rPr>
        <w:t xml:space="preserve"> </w:t>
      </w:r>
      <w:r w:rsidR="00914A1A" w:rsidRPr="001A00DB">
        <w:rPr>
          <w:rFonts w:asciiTheme="majorHAnsi" w:eastAsia="Calibri" w:hAnsiTheme="majorHAnsi" w:cs="Calibri"/>
          <w:color w:val="000000"/>
          <w:sz w:val="22"/>
          <w:szCs w:val="22"/>
          <w:lang w:val="fr-FR"/>
        </w:rPr>
        <w:t>49),</w:t>
      </w:r>
      <w:r w:rsidR="00E01336" w:rsidRPr="001A00DB">
        <w:rPr>
          <w:rFonts w:asciiTheme="majorHAnsi" w:eastAsia="Calibri" w:hAnsiTheme="majorHAnsi" w:cs="Calibri"/>
          <w:color w:val="000000"/>
          <w:sz w:val="22"/>
          <w:szCs w:val="22"/>
          <w:lang w:val="fr-FR"/>
        </w:rPr>
        <w:t xml:space="preserve"> </w:t>
      </w:r>
      <w:r w:rsidRPr="001A00DB">
        <w:rPr>
          <w:rFonts w:asciiTheme="majorHAnsi" w:eastAsia="Calibri" w:hAnsiTheme="majorHAnsi" w:cs="Calibri"/>
          <w:color w:val="000000"/>
          <w:sz w:val="22"/>
          <w:szCs w:val="22"/>
          <w:lang w:val="fr-FR"/>
        </w:rPr>
        <w:t xml:space="preserve">en tenant compte des cinq domaines de travail thématiques prioritaires approuvés par les Parties contractantes à la </w:t>
      </w:r>
      <w:r w:rsidR="00914A1A" w:rsidRPr="001A00DB">
        <w:rPr>
          <w:rFonts w:asciiTheme="majorHAnsi" w:eastAsia="Calibri" w:hAnsiTheme="majorHAnsi" w:cs="Calibri"/>
          <w:color w:val="000000"/>
          <w:sz w:val="22"/>
          <w:szCs w:val="22"/>
          <w:lang w:val="fr-FR"/>
        </w:rPr>
        <w:t>COP12</w:t>
      </w:r>
      <w:r w:rsidR="00E01336" w:rsidRPr="001A00DB">
        <w:rPr>
          <w:rFonts w:asciiTheme="majorHAnsi" w:eastAsia="Calibri" w:hAnsiTheme="majorHAnsi" w:cs="Calibri"/>
          <w:color w:val="000000"/>
          <w:sz w:val="22"/>
          <w:szCs w:val="22"/>
          <w:lang w:val="fr-FR"/>
        </w:rPr>
        <w:t xml:space="preserve"> </w:t>
      </w:r>
      <w:r w:rsidR="00914A1A" w:rsidRPr="001A00DB">
        <w:rPr>
          <w:rFonts w:asciiTheme="majorHAnsi" w:eastAsia="Calibri" w:hAnsiTheme="majorHAnsi" w:cs="Calibri"/>
          <w:color w:val="000000"/>
          <w:sz w:val="22"/>
          <w:szCs w:val="22"/>
          <w:lang w:val="fr-FR"/>
        </w:rPr>
        <w:t>(</w:t>
      </w:r>
      <w:r w:rsidR="004B32FB" w:rsidRPr="001A00DB">
        <w:rPr>
          <w:rFonts w:asciiTheme="majorHAnsi" w:eastAsia="Calibri" w:hAnsiTheme="majorHAnsi" w:cs="Calibri"/>
          <w:color w:val="000000"/>
          <w:sz w:val="22"/>
          <w:szCs w:val="22"/>
          <w:lang w:val="fr-FR"/>
        </w:rPr>
        <w:t>a</w:t>
      </w:r>
      <w:r w:rsidR="00914A1A" w:rsidRPr="001A00DB">
        <w:rPr>
          <w:rFonts w:asciiTheme="majorHAnsi" w:eastAsia="Calibri" w:hAnsiTheme="majorHAnsi" w:cs="Calibri"/>
          <w:color w:val="000000"/>
          <w:sz w:val="22"/>
          <w:szCs w:val="22"/>
          <w:lang w:val="fr-FR"/>
        </w:rPr>
        <w:t>nnex</w:t>
      </w:r>
      <w:r w:rsidRPr="001A00DB">
        <w:rPr>
          <w:rFonts w:asciiTheme="majorHAnsi" w:eastAsia="Calibri" w:hAnsiTheme="majorHAnsi" w:cs="Calibri"/>
          <w:color w:val="000000"/>
          <w:sz w:val="22"/>
          <w:szCs w:val="22"/>
          <w:lang w:val="fr-FR"/>
        </w:rPr>
        <w:t>e</w:t>
      </w:r>
      <w:r w:rsidR="00E01336" w:rsidRPr="001A00DB">
        <w:rPr>
          <w:rFonts w:asciiTheme="majorHAnsi" w:eastAsia="Calibri" w:hAnsiTheme="majorHAnsi" w:cs="Calibri"/>
          <w:color w:val="000000"/>
          <w:sz w:val="22"/>
          <w:szCs w:val="22"/>
          <w:lang w:val="fr-FR"/>
        </w:rPr>
        <w:t xml:space="preserve"> </w:t>
      </w:r>
      <w:r w:rsidR="002F7DF2" w:rsidRPr="001A00DB">
        <w:rPr>
          <w:rFonts w:asciiTheme="majorHAnsi" w:eastAsia="Calibri" w:hAnsiTheme="majorHAnsi" w:cs="Calibri"/>
          <w:color w:val="000000"/>
          <w:sz w:val="22"/>
          <w:szCs w:val="22"/>
          <w:lang w:val="fr-FR"/>
        </w:rPr>
        <w:t>3</w:t>
      </w:r>
      <w:r w:rsidR="00914A1A" w:rsidRPr="001A00DB">
        <w:rPr>
          <w:rFonts w:asciiTheme="majorHAnsi" w:eastAsia="Calibri" w:hAnsiTheme="majorHAnsi" w:cs="Calibri"/>
          <w:color w:val="000000"/>
          <w:sz w:val="22"/>
          <w:szCs w:val="22"/>
          <w:lang w:val="fr-FR"/>
        </w:rPr>
        <w:t>),</w:t>
      </w:r>
      <w:r w:rsidR="00E01336" w:rsidRPr="001A00DB">
        <w:rPr>
          <w:rFonts w:asciiTheme="majorHAnsi" w:eastAsia="Calibri" w:hAnsiTheme="majorHAnsi" w:cs="Calibri"/>
          <w:color w:val="000000"/>
          <w:sz w:val="22"/>
          <w:szCs w:val="22"/>
          <w:lang w:val="fr-FR"/>
        </w:rPr>
        <w:t xml:space="preserve"> </w:t>
      </w:r>
      <w:r w:rsidR="005C7E58" w:rsidRPr="001A00DB">
        <w:rPr>
          <w:rFonts w:asciiTheme="majorHAnsi" w:eastAsia="Calibri" w:hAnsiTheme="majorHAnsi" w:cs="Calibri"/>
          <w:color w:val="000000"/>
          <w:sz w:val="22"/>
          <w:szCs w:val="22"/>
          <w:lang w:val="fr-FR"/>
        </w:rPr>
        <w:t>du</w:t>
      </w:r>
      <w:r w:rsidRPr="001A00DB">
        <w:rPr>
          <w:rFonts w:asciiTheme="majorHAnsi" w:eastAsia="Calibri" w:hAnsiTheme="majorHAnsi" w:cs="Calibri"/>
          <w:color w:val="000000"/>
          <w:sz w:val="22"/>
          <w:szCs w:val="22"/>
          <w:lang w:val="fr-FR"/>
        </w:rPr>
        <w:t xml:space="preserve"> 4</w:t>
      </w:r>
      <w:r w:rsidRPr="001A00DB">
        <w:rPr>
          <w:rFonts w:asciiTheme="majorHAnsi" w:eastAsia="Calibri" w:hAnsiTheme="majorHAnsi" w:cs="Calibri"/>
          <w:color w:val="000000"/>
          <w:sz w:val="22"/>
          <w:szCs w:val="22"/>
          <w:vertAlign w:val="superscript"/>
          <w:lang w:val="fr-FR"/>
        </w:rPr>
        <w:t>e</w:t>
      </w:r>
      <w:r w:rsidRPr="001A00DB">
        <w:rPr>
          <w:rFonts w:asciiTheme="majorHAnsi" w:eastAsia="Calibri" w:hAnsiTheme="majorHAnsi" w:cs="Calibri"/>
          <w:color w:val="000000"/>
          <w:sz w:val="22"/>
          <w:szCs w:val="22"/>
          <w:lang w:val="fr-FR"/>
        </w:rPr>
        <w:t> Plan stratégique Ramsar 2016</w:t>
      </w:r>
      <w:r w:rsidRPr="001A00DB">
        <w:rPr>
          <w:rFonts w:asciiTheme="majorHAnsi" w:eastAsia="Calibri" w:hAnsiTheme="majorHAnsi" w:cs="Calibri"/>
          <w:color w:val="000000"/>
          <w:sz w:val="22"/>
          <w:szCs w:val="22"/>
          <w:lang w:val="fr-FR"/>
        </w:rPr>
        <w:noBreakHyphen/>
      </w:r>
      <w:r w:rsidR="00914A1A" w:rsidRPr="001A00DB">
        <w:rPr>
          <w:rFonts w:asciiTheme="majorHAnsi" w:eastAsia="Calibri" w:hAnsiTheme="majorHAnsi" w:cs="Calibri"/>
          <w:color w:val="000000"/>
          <w:sz w:val="22"/>
          <w:szCs w:val="22"/>
          <w:lang w:val="fr-FR"/>
        </w:rPr>
        <w:t>2024</w:t>
      </w:r>
      <w:r w:rsidR="00E01336" w:rsidRPr="001A00DB">
        <w:rPr>
          <w:rFonts w:asciiTheme="majorHAnsi" w:eastAsia="Calibri" w:hAnsiTheme="majorHAnsi" w:cs="Calibri"/>
          <w:color w:val="000000"/>
          <w:sz w:val="22"/>
          <w:szCs w:val="22"/>
          <w:lang w:val="fr-FR"/>
        </w:rPr>
        <w:t xml:space="preserve"> </w:t>
      </w:r>
      <w:r w:rsidR="00914A1A" w:rsidRPr="001A00DB">
        <w:rPr>
          <w:rFonts w:asciiTheme="majorHAnsi" w:eastAsia="Calibri" w:hAnsiTheme="majorHAnsi" w:cs="Calibri"/>
          <w:color w:val="000000"/>
          <w:sz w:val="22"/>
          <w:szCs w:val="22"/>
          <w:lang w:val="fr-FR"/>
        </w:rPr>
        <w:t>(</w:t>
      </w:r>
      <w:r w:rsidRPr="001A00DB">
        <w:rPr>
          <w:rFonts w:asciiTheme="majorHAnsi" w:eastAsia="Calibri" w:hAnsiTheme="majorHAnsi" w:cs="Calibri"/>
          <w:color w:val="000000"/>
          <w:sz w:val="22"/>
          <w:szCs w:val="22"/>
          <w:lang w:val="fr-FR"/>
        </w:rPr>
        <w:t>Résolution </w:t>
      </w:r>
      <w:r w:rsidR="00914A1A" w:rsidRPr="001A00DB">
        <w:rPr>
          <w:rFonts w:asciiTheme="majorHAnsi" w:eastAsia="Calibri" w:hAnsiTheme="majorHAnsi" w:cs="Calibri"/>
          <w:color w:val="000000"/>
          <w:sz w:val="22"/>
          <w:szCs w:val="22"/>
          <w:lang w:val="fr-FR"/>
        </w:rPr>
        <w:t>XII.2)</w:t>
      </w:r>
      <w:r w:rsidRPr="001A00DB">
        <w:rPr>
          <w:rFonts w:asciiTheme="majorHAnsi" w:eastAsia="Calibri" w:hAnsiTheme="majorHAnsi" w:cs="Calibri"/>
          <w:color w:val="000000"/>
          <w:sz w:val="22"/>
          <w:szCs w:val="22"/>
          <w:lang w:val="fr-FR"/>
        </w:rPr>
        <w:t xml:space="preserve"> et des demandes formulées par les Parties contractantes dans les Résolutions de la </w:t>
      </w:r>
      <w:r w:rsidR="00914A1A" w:rsidRPr="001A00DB">
        <w:rPr>
          <w:rFonts w:asciiTheme="majorHAnsi" w:eastAsia="Calibri" w:hAnsiTheme="majorHAnsi" w:cs="Calibri"/>
          <w:color w:val="000000"/>
          <w:sz w:val="22"/>
          <w:szCs w:val="22"/>
          <w:lang w:val="fr-FR"/>
        </w:rPr>
        <w:t>COP12.</w:t>
      </w:r>
      <w:r w:rsidR="0049265A" w:rsidRPr="001A00DB">
        <w:rPr>
          <w:rFonts w:asciiTheme="majorHAnsi" w:eastAsia="Calibri" w:hAnsiTheme="majorHAnsi" w:cs="Calibri"/>
          <w:color w:val="000000"/>
          <w:sz w:val="22"/>
          <w:szCs w:val="22"/>
          <w:lang w:val="fr-FR"/>
        </w:rPr>
        <w:t xml:space="preserve"> </w:t>
      </w:r>
      <w:r w:rsidR="00A53EFE" w:rsidRPr="001A00DB">
        <w:rPr>
          <w:rFonts w:asciiTheme="majorHAnsi" w:eastAsia="Calibri" w:hAnsiTheme="majorHAnsi" w:cs="Calibri"/>
          <w:color w:val="000000"/>
          <w:sz w:val="22"/>
          <w:szCs w:val="22"/>
          <w:lang w:val="fr-FR"/>
        </w:rPr>
        <w:t xml:space="preserve">Conformément à la </w:t>
      </w:r>
      <w:r w:rsidR="00C9443F" w:rsidRPr="001A00DB">
        <w:rPr>
          <w:rFonts w:asciiTheme="majorHAnsi" w:hAnsiTheme="majorHAnsi"/>
          <w:bCs/>
          <w:sz w:val="22"/>
          <w:szCs w:val="22"/>
          <w:lang w:val="fr-FR"/>
        </w:rPr>
        <w:t>D</w:t>
      </w:r>
      <w:r w:rsidR="00A53EFE" w:rsidRPr="001A00DB">
        <w:rPr>
          <w:rFonts w:asciiTheme="majorHAnsi" w:hAnsiTheme="majorHAnsi"/>
          <w:bCs/>
          <w:sz w:val="22"/>
          <w:szCs w:val="22"/>
          <w:lang w:val="fr-FR"/>
        </w:rPr>
        <w:t>é</w:t>
      </w:r>
      <w:r w:rsidR="00C9443F" w:rsidRPr="001A00DB">
        <w:rPr>
          <w:rFonts w:asciiTheme="majorHAnsi" w:hAnsiTheme="majorHAnsi"/>
          <w:bCs/>
          <w:sz w:val="22"/>
          <w:szCs w:val="22"/>
          <w:lang w:val="fr-FR"/>
        </w:rPr>
        <w:t xml:space="preserve">cision SC51-07, </w:t>
      </w:r>
      <w:r w:rsidR="00A53EFE" w:rsidRPr="001A00DB">
        <w:rPr>
          <w:rFonts w:asciiTheme="majorHAnsi" w:hAnsiTheme="majorHAnsi"/>
          <w:bCs/>
          <w:sz w:val="22"/>
          <w:szCs w:val="22"/>
          <w:lang w:val="fr-FR"/>
        </w:rPr>
        <w:t xml:space="preserve">le projet de plan de travail a été révisé après un vaste processus de consultation avec les Correspondants nationaux et les Correspondants nationaux GEST. </w:t>
      </w:r>
      <w:r w:rsidR="00CB521B" w:rsidRPr="001A00DB">
        <w:rPr>
          <w:rFonts w:asciiTheme="majorHAnsi" w:hAnsiTheme="majorHAnsi"/>
          <w:bCs/>
          <w:sz w:val="22"/>
          <w:szCs w:val="22"/>
          <w:lang w:val="fr-FR"/>
        </w:rPr>
        <w:t>Le plan de travail du GEST a été adopté à la 52</w:t>
      </w:r>
      <w:r w:rsidR="00CB521B" w:rsidRPr="001A00DB">
        <w:rPr>
          <w:rFonts w:asciiTheme="majorHAnsi" w:hAnsiTheme="majorHAnsi"/>
          <w:bCs/>
          <w:sz w:val="22"/>
          <w:szCs w:val="22"/>
          <w:vertAlign w:val="superscript"/>
          <w:lang w:val="fr-FR"/>
        </w:rPr>
        <w:t>e</w:t>
      </w:r>
      <w:r w:rsidR="00CB521B" w:rsidRPr="001A00DB">
        <w:rPr>
          <w:rFonts w:asciiTheme="majorHAnsi" w:hAnsiTheme="majorHAnsi"/>
          <w:bCs/>
          <w:sz w:val="22"/>
          <w:szCs w:val="22"/>
          <w:lang w:val="fr-FR"/>
        </w:rPr>
        <w:t xml:space="preserve"> Réunion du Comité permanent, dans la Décision</w:t>
      </w:r>
      <w:r w:rsidR="00E24ED0" w:rsidRPr="001A00DB">
        <w:rPr>
          <w:rFonts w:asciiTheme="majorHAnsi" w:eastAsia="Calibri" w:hAnsiTheme="majorHAnsi" w:cs="Calibri"/>
          <w:color w:val="000000"/>
          <w:sz w:val="22"/>
          <w:szCs w:val="22"/>
          <w:lang w:val="fr-FR"/>
        </w:rPr>
        <w:t xml:space="preserve"> SC52-07.</w:t>
      </w:r>
    </w:p>
    <w:p w14:paraId="2CF1B43B" w14:textId="77777777" w:rsidR="00E24ED0" w:rsidRPr="001A00DB" w:rsidRDefault="00E24ED0" w:rsidP="00E24ED0">
      <w:pPr>
        <w:rPr>
          <w:rFonts w:asciiTheme="majorHAnsi" w:eastAsia="Calibri" w:hAnsiTheme="majorHAnsi" w:cs="Calibri"/>
          <w:color w:val="000000"/>
          <w:sz w:val="22"/>
          <w:szCs w:val="22"/>
          <w:lang w:val="fr-FR"/>
        </w:rPr>
      </w:pPr>
    </w:p>
    <w:p w14:paraId="27EF9346" w14:textId="54957536" w:rsidR="00E24ED0" w:rsidRPr="001A00DB" w:rsidRDefault="00CB521B" w:rsidP="00E24ED0">
      <w:pPr>
        <w:rPr>
          <w:rFonts w:asciiTheme="majorHAnsi" w:eastAsia="Calibri" w:hAnsiTheme="majorHAnsi" w:cs="Calibri"/>
          <w:color w:val="000000"/>
          <w:sz w:val="22"/>
          <w:szCs w:val="22"/>
          <w:lang w:val="fr-CH"/>
        </w:rPr>
      </w:pPr>
      <w:r w:rsidRPr="001A00DB">
        <w:rPr>
          <w:rFonts w:asciiTheme="majorHAnsi" w:eastAsia="Calibri" w:hAnsiTheme="majorHAnsi" w:cs="Calibri"/>
          <w:color w:val="000000"/>
          <w:sz w:val="22"/>
          <w:szCs w:val="22"/>
          <w:lang w:val="fr-CH"/>
        </w:rPr>
        <w:t>Durant la période triennale 2016-2018, les travaux du GEST porteront avant tout sur l’exécution de huit tâches hautement prioritaires</w:t>
      </w:r>
      <w:r w:rsidR="00E24ED0" w:rsidRPr="001A00DB">
        <w:rPr>
          <w:rFonts w:asciiTheme="majorHAnsi" w:eastAsia="Calibri" w:hAnsiTheme="majorHAnsi" w:cs="Calibri"/>
          <w:color w:val="000000"/>
          <w:sz w:val="22"/>
          <w:szCs w:val="22"/>
          <w:lang w:val="fr-CH"/>
        </w:rPr>
        <w:t xml:space="preserve">, </w:t>
      </w:r>
      <w:r w:rsidRPr="001A00DB">
        <w:rPr>
          <w:rFonts w:asciiTheme="majorHAnsi" w:eastAsia="Calibri" w:hAnsiTheme="majorHAnsi" w:cs="Calibri"/>
          <w:color w:val="000000"/>
          <w:sz w:val="22"/>
          <w:szCs w:val="22"/>
          <w:lang w:val="fr-CH"/>
        </w:rPr>
        <w:t>ainsi que sur l’État mondial des zones humides et de leurs services à l’humanité</w:t>
      </w:r>
      <w:r w:rsidR="00E24ED0" w:rsidRPr="001A00DB">
        <w:rPr>
          <w:rFonts w:asciiTheme="majorHAnsi" w:eastAsia="Calibri" w:hAnsiTheme="majorHAnsi" w:cs="Calibri"/>
          <w:color w:val="000000"/>
          <w:sz w:val="22"/>
          <w:szCs w:val="22"/>
          <w:lang w:val="fr-CH"/>
        </w:rPr>
        <w:t xml:space="preserve"> (SoWWS), </w:t>
      </w:r>
      <w:r w:rsidRPr="001A00DB">
        <w:rPr>
          <w:rFonts w:asciiTheme="majorHAnsi" w:eastAsia="Calibri" w:hAnsiTheme="majorHAnsi" w:cs="Calibri"/>
          <w:color w:val="000000"/>
          <w:sz w:val="22"/>
          <w:szCs w:val="22"/>
          <w:lang w:val="fr-CH"/>
        </w:rPr>
        <w:t>comme en a décidé le Comité permanent à sa 52</w:t>
      </w:r>
      <w:r w:rsidRPr="001A00DB">
        <w:rPr>
          <w:rFonts w:asciiTheme="majorHAnsi" w:eastAsia="Calibri" w:hAnsiTheme="majorHAnsi" w:cs="Calibri"/>
          <w:color w:val="000000"/>
          <w:sz w:val="22"/>
          <w:szCs w:val="22"/>
          <w:vertAlign w:val="superscript"/>
          <w:lang w:val="fr-CH"/>
        </w:rPr>
        <w:t>e</w:t>
      </w:r>
      <w:r w:rsidRPr="001A00DB">
        <w:rPr>
          <w:rFonts w:asciiTheme="majorHAnsi" w:eastAsia="Calibri" w:hAnsiTheme="majorHAnsi" w:cs="Calibri"/>
          <w:color w:val="000000"/>
          <w:sz w:val="22"/>
          <w:szCs w:val="22"/>
          <w:lang w:val="fr-CH"/>
        </w:rPr>
        <w:t xml:space="preserve"> Réunion.</w:t>
      </w:r>
      <w:r w:rsidR="00E24ED0" w:rsidRPr="001A00DB">
        <w:rPr>
          <w:rFonts w:asciiTheme="majorHAnsi" w:eastAsia="Calibri" w:hAnsiTheme="majorHAnsi" w:cs="Calibri"/>
          <w:color w:val="000000"/>
          <w:sz w:val="22"/>
          <w:szCs w:val="22"/>
          <w:lang w:val="fr-CH"/>
        </w:rPr>
        <w:t xml:space="preserve"> </w:t>
      </w:r>
      <w:r w:rsidRPr="001A00DB">
        <w:rPr>
          <w:rFonts w:asciiTheme="majorHAnsi" w:eastAsia="Calibri" w:hAnsiTheme="majorHAnsi" w:cs="Calibri"/>
          <w:color w:val="000000"/>
          <w:sz w:val="22"/>
          <w:szCs w:val="22"/>
          <w:lang w:val="fr-CH"/>
        </w:rPr>
        <w:t>Pour les autres tâches</w:t>
      </w:r>
      <w:r w:rsidR="00E24ED0" w:rsidRPr="001A00DB">
        <w:rPr>
          <w:rFonts w:asciiTheme="majorHAnsi" w:eastAsia="Calibri" w:hAnsiTheme="majorHAnsi" w:cs="Calibri"/>
          <w:color w:val="000000"/>
          <w:sz w:val="22"/>
          <w:szCs w:val="22"/>
          <w:lang w:val="fr-CH"/>
        </w:rPr>
        <w:t xml:space="preserve"> (</w:t>
      </w:r>
      <w:r w:rsidRPr="001A00DB">
        <w:rPr>
          <w:rFonts w:asciiTheme="majorHAnsi" w:eastAsia="Calibri" w:hAnsiTheme="majorHAnsi" w:cs="Calibri"/>
          <w:color w:val="000000"/>
          <w:sz w:val="22"/>
          <w:szCs w:val="22"/>
          <w:lang w:val="fr-CH"/>
        </w:rPr>
        <w:t>qui ne sont pas hautement prioritaires</w:t>
      </w:r>
      <w:r w:rsidR="00E24ED0" w:rsidRPr="001A00DB">
        <w:rPr>
          <w:rFonts w:asciiTheme="majorHAnsi" w:eastAsia="Calibri" w:hAnsiTheme="majorHAnsi" w:cs="Calibri"/>
          <w:color w:val="000000"/>
          <w:sz w:val="22"/>
          <w:szCs w:val="22"/>
          <w:lang w:val="fr-CH"/>
        </w:rPr>
        <w:t xml:space="preserve">), </w:t>
      </w:r>
      <w:r w:rsidRPr="001A00DB">
        <w:rPr>
          <w:rFonts w:asciiTheme="majorHAnsi" w:eastAsia="Calibri" w:hAnsiTheme="majorHAnsi" w:cs="Calibri"/>
          <w:color w:val="000000"/>
          <w:sz w:val="22"/>
          <w:szCs w:val="22"/>
          <w:lang w:val="fr-CH"/>
        </w:rPr>
        <w:t xml:space="preserve">les travaux seront entrepris au cours de la période triennale, si le temps et les ressources le permettent mais uniquement après que les </w:t>
      </w:r>
      <w:r w:rsidR="00E24ED0" w:rsidRPr="001A00DB">
        <w:rPr>
          <w:rFonts w:asciiTheme="majorHAnsi" w:eastAsia="Calibri" w:hAnsiTheme="majorHAnsi" w:cs="Calibri"/>
          <w:color w:val="000000"/>
          <w:sz w:val="22"/>
          <w:szCs w:val="22"/>
          <w:lang w:val="fr-CH"/>
        </w:rPr>
        <w:t xml:space="preserve"> </w:t>
      </w:r>
      <w:r w:rsidRPr="001A00DB">
        <w:rPr>
          <w:rFonts w:asciiTheme="majorHAnsi" w:eastAsia="Calibri" w:hAnsiTheme="majorHAnsi" w:cs="Calibri"/>
          <w:color w:val="000000"/>
          <w:sz w:val="22"/>
          <w:szCs w:val="22"/>
          <w:lang w:val="fr-CH"/>
        </w:rPr>
        <w:t>tâches hautement prioritaires aient suffisamment progressé</w:t>
      </w:r>
      <w:r w:rsidR="00E24ED0" w:rsidRPr="001A00DB">
        <w:rPr>
          <w:rFonts w:asciiTheme="majorHAnsi" w:eastAsia="Calibri" w:hAnsiTheme="majorHAnsi" w:cs="Calibri"/>
          <w:color w:val="000000"/>
          <w:sz w:val="22"/>
          <w:szCs w:val="22"/>
          <w:lang w:val="fr-CH"/>
        </w:rPr>
        <w:t xml:space="preserve">. </w:t>
      </w:r>
      <w:r w:rsidR="00D84612" w:rsidRPr="001A00DB">
        <w:rPr>
          <w:rFonts w:asciiTheme="majorHAnsi" w:eastAsia="Calibri" w:hAnsiTheme="majorHAnsi" w:cs="Calibri"/>
          <w:color w:val="000000"/>
          <w:sz w:val="22"/>
          <w:szCs w:val="22"/>
          <w:lang w:val="fr-CH"/>
        </w:rPr>
        <w:t>Aucune ressource financière du GEST ne servira à réaliser ces autres tâches sans l’approbation préalable du Groupe de travail sur la gestion.</w:t>
      </w:r>
    </w:p>
    <w:p w14:paraId="165B3316" w14:textId="77777777" w:rsidR="0085476E" w:rsidRPr="001A00DB" w:rsidRDefault="0085476E" w:rsidP="00914A1A">
      <w:pPr>
        <w:rPr>
          <w:rFonts w:asciiTheme="majorHAnsi" w:eastAsia="Calibri" w:hAnsiTheme="majorHAnsi" w:cs="Calibri"/>
          <w:color w:val="000000"/>
          <w:sz w:val="22"/>
          <w:szCs w:val="22"/>
          <w:lang w:val="fr-CH"/>
        </w:rPr>
      </w:pPr>
    </w:p>
    <w:p w14:paraId="6650FC90" w14:textId="77777777" w:rsidR="005E30D4" w:rsidRPr="001A00DB" w:rsidRDefault="0085476E" w:rsidP="00914A1A">
      <w:pPr>
        <w:rPr>
          <w:rFonts w:asciiTheme="majorHAnsi" w:eastAsia="Calibri" w:hAnsiTheme="majorHAnsi" w:cs="Calibri"/>
          <w:color w:val="000000"/>
          <w:sz w:val="22"/>
          <w:szCs w:val="22"/>
          <w:lang w:val="fr-FR"/>
        </w:rPr>
      </w:pPr>
      <w:r w:rsidRPr="001A00DB">
        <w:rPr>
          <w:rFonts w:asciiTheme="majorHAnsi" w:eastAsia="Calibri" w:hAnsiTheme="majorHAnsi" w:cs="Calibri"/>
          <w:color w:val="000000"/>
          <w:sz w:val="22"/>
          <w:szCs w:val="22"/>
          <w:lang w:val="fr-FR"/>
        </w:rPr>
        <w:t xml:space="preserve">Outre les tâches </w:t>
      </w:r>
      <w:r w:rsidR="00AD7D43" w:rsidRPr="001A00DB">
        <w:rPr>
          <w:rFonts w:asciiTheme="majorHAnsi" w:eastAsia="Calibri" w:hAnsiTheme="majorHAnsi" w:cs="Calibri"/>
          <w:color w:val="000000"/>
          <w:sz w:val="22"/>
          <w:szCs w:val="22"/>
          <w:lang w:val="fr-FR"/>
        </w:rPr>
        <w:t xml:space="preserve">et les Domaines </w:t>
      </w:r>
      <w:r w:rsidR="00FA09BF" w:rsidRPr="001A00DB">
        <w:rPr>
          <w:rFonts w:asciiTheme="majorHAnsi" w:eastAsia="Calibri" w:hAnsiTheme="majorHAnsi" w:cs="Calibri"/>
          <w:color w:val="000000"/>
          <w:sz w:val="22"/>
          <w:szCs w:val="22"/>
          <w:lang w:val="fr-FR"/>
        </w:rPr>
        <w:t xml:space="preserve">de travail thématiques </w:t>
      </w:r>
      <w:r w:rsidRPr="001A00DB">
        <w:rPr>
          <w:rFonts w:asciiTheme="majorHAnsi" w:eastAsia="Calibri" w:hAnsiTheme="majorHAnsi" w:cs="Calibri"/>
          <w:color w:val="000000"/>
          <w:sz w:val="22"/>
          <w:szCs w:val="22"/>
          <w:lang w:val="fr-FR"/>
        </w:rPr>
        <w:t xml:space="preserve">décrits </w:t>
      </w:r>
      <w:r w:rsidR="00166876" w:rsidRPr="001A00DB">
        <w:rPr>
          <w:rFonts w:asciiTheme="majorHAnsi" w:eastAsia="Calibri" w:hAnsiTheme="majorHAnsi" w:cs="Calibri"/>
          <w:color w:val="000000"/>
          <w:sz w:val="22"/>
          <w:szCs w:val="22"/>
          <w:lang w:val="fr-FR"/>
        </w:rPr>
        <w:t>ci-après</w:t>
      </w:r>
      <w:r w:rsidRPr="001A00DB">
        <w:rPr>
          <w:rFonts w:asciiTheme="majorHAnsi" w:eastAsia="Calibri" w:hAnsiTheme="majorHAnsi" w:cs="Calibri"/>
          <w:color w:val="000000"/>
          <w:sz w:val="22"/>
          <w:szCs w:val="22"/>
          <w:lang w:val="fr-FR"/>
        </w:rPr>
        <w:t>, il importe de rappel</w:t>
      </w:r>
      <w:r w:rsidR="00E00AFA" w:rsidRPr="001A00DB">
        <w:rPr>
          <w:rFonts w:asciiTheme="majorHAnsi" w:eastAsia="Calibri" w:hAnsiTheme="majorHAnsi" w:cs="Calibri"/>
          <w:color w:val="000000"/>
          <w:sz w:val="22"/>
          <w:szCs w:val="22"/>
          <w:lang w:val="fr-FR"/>
        </w:rPr>
        <w:t xml:space="preserve">er que </w:t>
      </w:r>
      <w:r w:rsidRPr="001A00DB">
        <w:rPr>
          <w:rFonts w:asciiTheme="majorHAnsi" w:eastAsia="Calibri" w:hAnsiTheme="majorHAnsi" w:cs="Calibri"/>
          <w:color w:val="000000"/>
          <w:sz w:val="22"/>
          <w:szCs w:val="22"/>
          <w:lang w:val="fr-FR"/>
        </w:rPr>
        <w:t>différentes fonctions consultatives fondamentales du GEST sont mentionnées</w:t>
      </w:r>
      <w:r w:rsidR="00865CE0" w:rsidRPr="001A00DB">
        <w:rPr>
          <w:rFonts w:asciiTheme="majorHAnsi" w:eastAsia="Calibri" w:hAnsiTheme="majorHAnsi" w:cs="Calibri"/>
          <w:color w:val="000000"/>
          <w:sz w:val="22"/>
          <w:szCs w:val="22"/>
          <w:lang w:val="fr-FR"/>
        </w:rPr>
        <w:t xml:space="preserve"> dans la Résolution XII.5</w:t>
      </w:r>
      <w:r w:rsidR="000202EE" w:rsidRPr="001A00DB">
        <w:rPr>
          <w:rFonts w:asciiTheme="majorHAnsi" w:eastAsia="Calibri" w:hAnsiTheme="majorHAnsi" w:cs="Calibri"/>
          <w:color w:val="000000"/>
          <w:sz w:val="22"/>
          <w:szCs w:val="22"/>
          <w:lang w:val="fr-FR"/>
        </w:rPr>
        <w:t xml:space="preserve"> (voir ci-dessous)</w:t>
      </w:r>
      <w:r w:rsidRPr="001A00DB">
        <w:rPr>
          <w:rFonts w:asciiTheme="majorHAnsi" w:eastAsia="Calibri" w:hAnsiTheme="majorHAnsi" w:cs="Calibri"/>
          <w:color w:val="000000"/>
          <w:sz w:val="22"/>
          <w:szCs w:val="22"/>
          <w:lang w:val="fr-FR"/>
        </w:rPr>
        <w:t>.</w:t>
      </w:r>
    </w:p>
    <w:p w14:paraId="2A366C4E" w14:textId="77777777" w:rsidR="00840BB1" w:rsidRPr="001A00DB" w:rsidRDefault="00840BB1" w:rsidP="00914A1A">
      <w:pPr>
        <w:rPr>
          <w:rFonts w:asciiTheme="majorHAnsi" w:eastAsia="Calibri" w:hAnsiTheme="majorHAnsi" w:cs="Calibri"/>
          <w:color w:val="000000"/>
          <w:sz w:val="22"/>
          <w:szCs w:val="22"/>
          <w:lang w:val="fr-FR"/>
        </w:rPr>
      </w:pPr>
    </w:p>
    <w:p w14:paraId="234414C7" w14:textId="76647EFC" w:rsidR="003B6083" w:rsidRPr="001A00DB" w:rsidRDefault="00A53EFE" w:rsidP="003B6083">
      <w:pPr>
        <w:rPr>
          <w:rFonts w:asciiTheme="majorHAnsi" w:eastAsia="Calibri" w:hAnsiTheme="majorHAnsi" w:cs="Calibri"/>
          <w:color w:val="000000"/>
          <w:sz w:val="22"/>
          <w:szCs w:val="22"/>
          <w:lang w:val="fr-FR"/>
        </w:rPr>
      </w:pPr>
      <w:r w:rsidRPr="001A00DB">
        <w:rPr>
          <w:rFonts w:asciiTheme="majorHAnsi" w:eastAsia="Calibri" w:hAnsiTheme="majorHAnsi" w:cs="Calibri"/>
          <w:color w:val="000000"/>
          <w:sz w:val="22"/>
          <w:szCs w:val="22"/>
          <w:lang w:val="fr-FR"/>
        </w:rPr>
        <w:t>Les résultats proposés dans ce projet de plan de travail sont adressés à deux publics cibles, conformément à la Résolution</w:t>
      </w:r>
      <w:r w:rsidR="003B6083" w:rsidRPr="001A00DB">
        <w:rPr>
          <w:rFonts w:asciiTheme="majorHAnsi" w:eastAsia="Calibri" w:hAnsiTheme="majorHAnsi" w:cs="Calibri"/>
          <w:color w:val="000000"/>
          <w:sz w:val="22"/>
          <w:szCs w:val="22"/>
          <w:lang w:val="fr-FR"/>
        </w:rPr>
        <w:t xml:space="preserve"> XII. 5, </w:t>
      </w:r>
      <w:r w:rsidRPr="001A00DB">
        <w:rPr>
          <w:rFonts w:asciiTheme="majorHAnsi" w:eastAsia="Calibri" w:hAnsiTheme="majorHAnsi" w:cs="Calibri"/>
          <w:color w:val="000000"/>
          <w:sz w:val="22"/>
          <w:szCs w:val="22"/>
          <w:lang w:val="fr-FR"/>
        </w:rPr>
        <w:t>a</w:t>
      </w:r>
      <w:r w:rsidR="003B6083" w:rsidRPr="001A00DB">
        <w:rPr>
          <w:rFonts w:asciiTheme="majorHAnsi" w:eastAsia="Calibri" w:hAnsiTheme="majorHAnsi" w:cs="Calibri"/>
          <w:color w:val="000000"/>
          <w:sz w:val="22"/>
          <w:szCs w:val="22"/>
          <w:lang w:val="fr-FR"/>
        </w:rPr>
        <w:t>nnex</w:t>
      </w:r>
      <w:r w:rsidRPr="001A00DB">
        <w:rPr>
          <w:rFonts w:asciiTheme="majorHAnsi" w:eastAsia="Calibri" w:hAnsiTheme="majorHAnsi" w:cs="Calibri"/>
          <w:color w:val="000000"/>
          <w:sz w:val="22"/>
          <w:szCs w:val="22"/>
          <w:lang w:val="fr-FR"/>
        </w:rPr>
        <w:t>e </w:t>
      </w:r>
      <w:r w:rsidR="003B6083" w:rsidRPr="001A00DB">
        <w:rPr>
          <w:rFonts w:asciiTheme="majorHAnsi" w:eastAsia="Calibri" w:hAnsiTheme="majorHAnsi" w:cs="Calibri"/>
          <w:color w:val="000000"/>
          <w:sz w:val="22"/>
          <w:szCs w:val="22"/>
          <w:lang w:val="fr-FR"/>
        </w:rPr>
        <w:t>1, paragraph</w:t>
      </w:r>
      <w:r w:rsidRPr="001A00DB">
        <w:rPr>
          <w:rFonts w:asciiTheme="majorHAnsi" w:eastAsia="Calibri" w:hAnsiTheme="majorHAnsi" w:cs="Calibri"/>
          <w:color w:val="000000"/>
          <w:sz w:val="22"/>
          <w:szCs w:val="22"/>
          <w:lang w:val="fr-FR"/>
        </w:rPr>
        <w:t>e </w:t>
      </w:r>
      <w:r w:rsidR="003B6083" w:rsidRPr="001A00DB">
        <w:rPr>
          <w:rFonts w:asciiTheme="majorHAnsi" w:eastAsia="Calibri" w:hAnsiTheme="majorHAnsi" w:cs="Calibri"/>
          <w:color w:val="000000"/>
          <w:sz w:val="22"/>
          <w:szCs w:val="22"/>
          <w:lang w:val="fr-FR"/>
        </w:rPr>
        <w:t xml:space="preserve">54, </w:t>
      </w:r>
      <w:r w:rsidRPr="001A00DB">
        <w:rPr>
          <w:rFonts w:asciiTheme="majorHAnsi" w:eastAsia="Calibri" w:hAnsiTheme="majorHAnsi" w:cs="Calibri"/>
          <w:color w:val="000000"/>
          <w:sz w:val="22"/>
          <w:szCs w:val="22"/>
          <w:lang w:val="fr-FR"/>
        </w:rPr>
        <w:t>comme suit :</w:t>
      </w:r>
    </w:p>
    <w:p w14:paraId="05DDE678" w14:textId="16E8F65B" w:rsidR="003B6083" w:rsidRPr="001A00DB" w:rsidRDefault="00A53EFE" w:rsidP="003B6083">
      <w:pPr>
        <w:pStyle w:val="ListParagraph"/>
        <w:numPr>
          <w:ilvl w:val="0"/>
          <w:numId w:val="34"/>
        </w:numPr>
        <w:rPr>
          <w:rFonts w:asciiTheme="majorHAnsi" w:eastAsia="Calibri" w:hAnsiTheme="majorHAnsi" w:cs="Calibri"/>
          <w:color w:val="000000"/>
          <w:szCs w:val="22"/>
          <w:lang w:val="fr-FR"/>
        </w:rPr>
      </w:pPr>
      <w:r w:rsidRPr="001A00DB">
        <w:rPr>
          <w:rFonts w:asciiTheme="majorHAnsi" w:eastAsia="Calibri" w:hAnsiTheme="majorHAnsi" w:cs="Calibri"/>
          <w:color w:val="000000"/>
          <w:szCs w:val="22"/>
          <w:lang w:val="fr-FR"/>
        </w:rPr>
        <w:t>les décideurs, y compris ceux des secteurs de l’environnement et de l’eau et d’autres secteurs connexes tels que l’énergie, la santé et l’assainissement, l’</w:t>
      </w:r>
      <w:r w:rsidR="003B6083" w:rsidRPr="001A00DB">
        <w:rPr>
          <w:rFonts w:asciiTheme="majorHAnsi" w:eastAsia="Calibri" w:hAnsiTheme="majorHAnsi" w:cs="Calibri"/>
          <w:color w:val="000000"/>
          <w:szCs w:val="22"/>
          <w:lang w:val="fr-FR"/>
        </w:rPr>
        <w:t xml:space="preserve">agriculture, </w:t>
      </w:r>
      <w:r w:rsidRPr="001A00DB">
        <w:rPr>
          <w:rFonts w:asciiTheme="majorHAnsi" w:eastAsia="Calibri" w:hAnsiTheme="majorHAnsi" w:cs="Calibri"/>
          <w:color w:val="000000"/>
          <w:szCs w:val="22"/>
          <w:lang w:val="fr-FR"/>
        </w:rPr>
        <w:t>l’</w:t>
      </w:r>
      <w:r w:rsidR="003B6083" w:rsidRPr="001A00DB">
        <w:rPr>
          <w:rFonts w:asciiTheme="majorHAnsi" w:eastAsia="Calibri" w:hAnsiTheme="majorHAnsi" w:cs="Calibri"/>
          <w:color w:val="000000"/>
          <w:szCs w:val="22"/>
          <w:lang w:val="fr-FR"/>
        </w:rPr>
        <w:t xml:space="preserve">infrastructure; </w:t>
      </w:r>
      <w:r w:rsidRPr="001A00DB">
        <w:rPr>
          <w:rFonts w:asciiTheme="majorHAnsi" w:eastAsia="Calibri" w:hAnsiTheme="majorHAnsi" w:cs="Calibri"/>
          <w:color w:val="000000"/>
          <w:szCs w:val="22"/>
          <w:lang w:val="fr-FR"/>
        </w:rPr>
        <w:t>et</w:t>
      </w:r>
    </w:p>
    <w:p w14:paraId="2CDF4AB5" w14:textId="655129C1" w:rsidR="003B6083" w:rsidRPr="001A00DB" w:rsidRDefault="00A53EFE" w:rsidP="003B6083">
      <w:pPr>
        <w:pStyle w:val="ListParagraph"/>
        <w:numPr>
          <w:ilvl w:val="0"/>
          <w:numId w:val="34"/>
        </w:numPr>
        <w:rPr>
          <w:rFonts w:asciiTheme="majorHAnsi" w:eastAsia="Calibri" w:hAnsiTheme="majorHAnsi" w:cs="Calibri"/>
          <w:color w:val="000000"/>
          <w:szCs w:val="22"/>
          <w:lang w:val="fr-FR"/>
        </w:rPr>
      </w:pPr>
      <w:r w:rsidRPr="001A00DB">
        <w:rPr>
          <w:rFonts w:asciiTheme="majorHAnsi" w:eastAsia="Calibri" w:hAnsiTheme="majorHAnsi" w:cs="Calibri"/>
          <w:color w:val="000000"/>
          <w:szCs w:val="22"/>
          <w:lang w:val="fr-FR"/>
        </w:rPr>
        <w:t>les praticiens</w:t>
      </w:r>
      <w:r w:rsidR="00E24ED0" w:rsidRPr="001A00DB">
        <w:rPr>
          <w:rFonts w:asciiTheme="majorHAnsi" w:eastAsia="Calibri" w:hAnsiTheme="majorHAnsi" w:cs="Calibri"/>
          <w:color w:val="000000"/>
          <w:szCs w:val="22"/>
          <w:lang w:val="fr-FR"/>
        </w:rPr>
        <w:t>,</w:t>
      </w:r>
      <w:r w:rsidRPr="001A00DB">
        <w:rPr>
          <w:rFonts w:asciiTheme="majorHAnsi" w:eastAsia="Calibri" w:hAnsiTheme="majorHAnsi" w:cs="Calibri"/>
          <w:color w:val="000000"/>
          <w:szCs w:val="22"/>
          <w:lang w:val="fr-FR"/>
        </w:rPr>
        <w:t xml:space="preserve"> en particulier les administrateurs de zones humides et les acteurs mais aussi d’autres personnes d’autres domaines connexes telles que les administrateurs d’aires protégées et le personnel des centres d’éducation aux zones humides.</w:t>
      </w:r>
      <w:r w:rsidR="003B6083" w:rsidRPr="001A00DB">
        <w:rPr>
          <w:rFonts w:asciiTheme="majorHAnsi" w:eastAsia="Calibri" w:hAnsiTheme="majorHAnsi" w:cs="Calibri"/>
          <w:color w:val="000000"/>
          <w:szCs w:val="22"/>
          <w:lang w:val="fr-FR"/>
        </w:rPr>
        <w:t xml:space="preserve"> </w:t>
      </w:r>
    </w:p>
    <w:p w14:paraId="0D41D5AD" w14:textId="77777777" w:rsidR="003B6083" w:rsidRPr="001A00DB" w:rsidRDefault="003B6083" w:rsidP="003B6083">
      <w:pPr>
        <w:pStyle w:val="ListParagraph"/>
        <w:rPr>
          <w:rFonts w:asciiTheme="majorHAnsi" w:eastAsia="Calibri" w:hAnsiTheme="majorHAnsi" w:cs="Calibri"/>
          <w:color w:val="000000"/>
          <w:szCs w:val="22"/>
          <w:lang w:val="fr-FR"/>
        </w:rPr>
      </w:pPr>
    </w:p>
    <w:p w14:paraId="31AF121C" w14:textId="237B9A9B" w:rsidR="003B6083" w:rsidRPr="001A00DB" w:rsidRDefault="00CD206C" w:rsidP="003B6083">
      <w:pPr>
        <w:rPr>
          <w:rFonts w:asciiTheme="majorHAnsi" w:eastAsia="Calibri" w:hAnsiTheme="majorHAnsi" w:cs="Calibri"/>
          <w:color w:val="000000"/>
          <w:sz w:val="22"/>
          <w:szCs w:val="22"/>
          <w:lang w:val="fr-FR"/>
        </w:rPr>
      </w:pPr>
      <w:r w:rsidRPr="001A00DB">
        <w:rPr>
          <w:rFonts w:asciiTheme="majorHAnsi" w:eastAsia="Calibri" w:hAnsiTheme="majorHAnsi" w:cs="Calibri"/>
          <w:color w:val="000000"/>
          <w:sz w:val="22"/>
          <w:szCs w:val="22"/>
          <w:lang w:val="fr-FR"/>
        </w:rPr>
        <w:t>P</w:t>
      </w:r>
      <w:r w:rsidR="00CD7998" w:rsidRPr="001A00DB">
        <w:rPr>
          <w:rFonts w:asciiTheme="majorHAnsi" w:eastAsia="Calibri" w:hAnsiTheme="majorHAnsi" w:cs="Calibri"/>
          <w:color w:val="000000"/>
          <w:sz w:val="22"/>
          <w:szCs w:val="22"/>
          <w:lang w:val="fr-FR"/>
        </w:rPr>
        <w:t>ar souci de clarté</w:t>
      </w:r>
      <w:r w:rsidRPr="001A00DB">
        <w:rPr>
          <w:rFonts w:asciiTheme="majorHAnsi" w:eastAsia="Calibri" w:hAnsiTheme="majorHAnsi" w:cs="Calibri"/>
          <w:color w:val="000000"/>
          <w:sz w:val="22"/>
          <w:szCs w:val="22"/>
          <w:lang w:val="fr-FR"/>
        </w:rPr>
        <w:t>,</w:t>
      </w:r>
      <w:r w:rsidR="00CD7998" w:rsidRPr="001A00DB">
        <w:rPr>
          <w:rFonts w:asciiTheme="majorHAnsi" w:eastAsia="Calibri" w:hAnsiTheme="majorHAnsi" w:cs="Calibri"/>
          <w:color w:val="000000"/>
          <w:sz w:val="22"/>
          <w:szCs w:val="22"/>
          <w:lang w:val="fr-FR"/>
        </w:rPr>
        <w:t xml:space="preserve"> pour les résultats qui visent les administrateurs de Sites Ramsar, le public cible est spécifié dans les termes suivants : « praticiens (administrateurs de Sites Ramsar) ». Toutefois, pour les résultats qui s’adressent aux</w:t>
      </w:r>
      <w:r w:rsidR="00855403" w:rsidRPr="001A00DB">
        <w:rPr>
          <w:rFonts w:asciiTheme="majorHAnsi" w:eastAsia="Calibri" w:hAnsiTheme="majorHAnsi" w:cs="Calibri"/>
          <w:color w:val="000000"/>
          <w:sz w:val="22"/>
          <w:szCs w:val="22"/>
          <w:lang w:val="fr-FR"/>
        </w:rPr>
        <w:t xml:space="preserve"> </w:t>
      </w:r>
      <w:r w:rsidR="00CD7998" w:rsidRPr="001A00DB">
        <w:rPr>
          <w:rFonts w:asciiTheme="majorHAnsi" w:eastAsia="Calibri" w:hAnsiTheme="majorHAnsi" w:cs="Calibri"/>
          <w:color w:val="000000"/>
          <w:sz w:val="22"/>
          <w:szCs w:val="22"/>
          <w:lang w:val="fr-FR"/>
        </w:rPr>
        <w:t>administrateurs de zones humides en général, le public cible e</w:t>
      </w:r>
      <w:r w:rsidR="007A5E09" w:rsidRPr="001A00DB">
        <w:rPr>
          <w:rFonts w:asciiTheme="majorHAnsi" w:eastAsia="Calibri" w:hAnsiTheme="majorHAnsi" w:cs="Calibri"/>
          <w:color w:val="000000"/>
          <w:sz w:val="22"/>
          <w:szCs w:val="22"/>
          <w:lang w:val="fr-FR"/>
        </w:rPr>
        <w:t>s</w:t>
      </w:r>
      <w:r w:rsidR="00CD7998" w:rsidRPr="001A00DB">
        <w:rPr>
          <w:rFonts w:asciiTheme="majorHAnsi" w:eastAsia="Calibri" w:hAnsiTheme="majorHAnsi" w:cs="Calibri"/>
          <w:color w:val="000000"/>
          <w:sz w:val="22"/>
          <w:szCs w:val="22"/>
          <w:lang w:val="fr-FR"/>
        </w:rPr>
        <w:t xml:space="preserve">t précisé </w:t>
      </w:r>
      <w:r w:rsidR="004B32FB" w:rsidRPr="001A00DB">
        <w:rPr>
          <w:rFonts w:asciiTheme="majorHAnsi" w:eastAsia="Calibri" w:hAnsiTheme="majorHAnsi" w:cs="Calibri"/>
          <w:color w:val="000000"/>
          <w:sz w:val="22"/>
          <w:szCs w:val="22"/>
          <w:lang w:val="fr-FR"/>
        </w:rPr>
        <w:t xml:space="preserve">dans </w:t>
      </w:r>
      <w:r w:rsidR="00CD7998" w:rsidRPr="001A00DB">
        <w:rPr>
          <w:rFonts w:asciiTheme="majorHAnsi" w:eastAsia="Calibri" w:hAnsiTheme="majorHAnsi" w:cs="Calibri"/>
          <w:color w:val="000000"/>
          <w:sz w:val="22"/>
          <w:szCs w:val="22"/>
          <w:lang w:val="fr-FR"/>
        </w:rPr>
        <w:t>les termes</w:t>
      </w:r>
      <w:r w:rsidR="004B32FB" w:rsidRPr="001A00DB">
        <w:rPr>
          <w:rFonts w:asciiTheme="majorHAnsi" w:eastAsia="Calibri" w:hAnsiTheme="majorHAnsi" w:cs="Calibri"/>
          <w:color w:val="000000"/>
          <w:sz w:val="22"/>
          <w:szCs w:val="22"/>
          <w:lang w:val="fr-FR"/>
        </w:rPr>
        <w:t xml:space="preserve"> suivants</w:t>
      </w:r>
      <w:r w:rsidR="00CD7998" w:rsidRPr="001A00DB">
        <w:rPr>
          <w:rFonts w:asciiTheme="majorHAnsi" w:eastAsia="Calibri" w:hAnsiTheme="majorHAnsi" w:cs="Calibri"/>
          <w:color w:val="000000"/>
          <w:sz w:val="22"/>
          <w:szCs w:val="22"/>
          <w:lang w:val="fr-FR"/>
        </w:rPr>
        <w:t xml:space="preserve"> : « praticiens (administrateurs de zones humides). » </w:t>
      </w:r>
    </w:p>
    <w:p w14:paraId="4B28E31E" w14:textId="77777777" w:rsidR="003B6083" w:rsidRPr="001A00DB" w:rsidRDefault="003B6083" w:rsidP="00914A1A">
      <w:pPr>
        <w:rPr>
          <w:rFonts w:asciiTheme="majorHAnsi" w:eastAsia="Calibri" w:hAnsiTheme="majorHAnsi" w:cs="Calibri"/>
          <w:color w:val="000000"/>
          <w:sz w:val="22"/>
          <w:szCs w:val="22"/>
          <w:lang w:val="fr-FR"/>
        </w:rPr>
      </w:pPr>
    </w:p>
    <w:p w14:paraId="02593B1E" w14:textId="4FCC89F0" w:rsidR="003B6083" w:rsidRPr="001A00DB" w:rsidRDefault="003B6083" w:rsidP="00914A1A">
      <w:pPr>
        <w:rPr>
          <w:rFonts w:asciiTheme="majorHAnsi" w:hAnsiTheme="majorHAnsi" w:cs="Arial"/>
          <w:sz w:val="22"/>
          <w:szCs w:val="22"/>
          <w:lang w:val="fr-FR"/>
        </w:rPr>
      </w:pPr>
      <w:r w:rsidRPr="001A00DB">
        <w:rPr>
          <w:rFonts w:asciiTheme="majorHAnsi" w:hAnsiTheme="majorHAnsi" w:cs="Tahoma"/>
          <w:color w:val="000000"/>
          <w:sz w:val="22"/>
          <w:szCs w:val="22"/>
          <w:shd w:val="clear" w:color="auto" w:fill="FFFFFF"/>
          <w:lang w:val="fr-FR"/>
        </w:rPr>
        <w:t xml:space="preserve">Le budget indicatif pour l’exécution des tâches présume généralement que les coûts de mise en pages, conception, révision, traduction et publication s’élèvent à </w:t>
      </w:r>
      <w:r w:rsidRPr="001A00DB">
        <w:rPr>
          <w:rFonts w:asciiTheme="majorHAnsi" w:hAnsiTheme="majorHAnsi" w:cs="Arial"/>
          <w:sz w:val="22"/>
          <w:szCs w:val="22"/>
          <w:lang w:val="fr-FR"/>
        </w:rPr>
        <w:t>6000 CHF pour une fiche technique, 9000 CHF pour un document d’orientation, 13 000 CHF pour une note d’inf</w:t>
      </w:r>
      <w:r w:rsidR="00955B5D" w:rsidRPr="001A00DB">
        <w:rPr>
          <w:rFonts w:asciiTheme="majorHAnsi" w:hAnsiTheme="majorHAnsi" w:cs="Arial"/>
          <w:sz w:val="22"/>
          <w:szCs w:val="22"/>
          <w:lang w:val="fr-FR"/>
        </w:rPr>
        <w:t>ormation et 3</w:t>
      </w:r>
      <w:r w:rsidR="00CD206C" w:rsidRPr="001A00DB">
        <w:rPr>
          <w:rFonts w:asciiTheme="majorHAnsi" w:hAnsiTheme="majorHAnsi" w:cs="Arial"/>
          <w:sz w:val="22"/>
          <w:szCs w:val="22"/>
          <w:lang w:val="fr-FR"/>
        </w:rPr>
        <w:t>3</w:t>
      </w:r>
      <w:r w:rsidR="00955B5D" w:rsidRPr="001A00DB">
        <w:rPr>
          <w:rFonts w:asciiTheme="majorHAnsi" w:hAnsiTheme="majorHAnsi" w:cs="Arial"/>
          <w:sz w:val="22"/>
          <w:szCs w:val="22"/>
          <w:lang w:val="fr-FR"/>
        </w:rPr>
        <w:t> 500 CHF pour un R</w:t>
      </w:r>
      <w:r w:rsidRPr="001A00DB">
        <w:rPr>
          <w:rFonts w:asciiTheme="majorHAnsi" w:hAnsiTheme="majorHAnsi" w:cs="Arial"/>
          <w:sz w:val="22"/>
          <w:szCs w:val="22"/>
          <w:lang w:val="fr-FR"/>
        </w:rPr>
        <w:t>apport technique Ramsar. Ces estimations sont basées sur les directives de publication du Secrétariat et les coûts de traduction par page.</w:t>
      </w:r>
    </w:p>
    <w:p w14:paraId="74D4ADC7" w14:textId="1E1B9339" w:rsidR="00761320" w:rsidRPr="001A00DB" w:rsidRDefault="00761320">
      <w:pPr>
        <w:rPr>
          <w:rFonts w:asciiTheme="majorHAnsi" w:hAnsiTheme="majorHAnsi" w:cs="Arial"/>
          <w:sz w:val="22"/>
          <w:szCs w:val="22"/>
          <w:lang w:val="fr-FR"/>
        </w:rPr>
      </w:pPr>
      <w:r w:rsidRPr="001A00DB">
        <w:rPr>
          <w:rFonts w:asciiTheme="majorHAnsi" w:hAnsiTheme="majorHAnsi" w:cs="Arial"/>
          <w:sz w:val="22"/>
          <w:szCs w:val="22"/>
          <w:lang w:val="fr-FR"/>
        </w:rPr>
        <w:br w:type="page"/>
      </w:r>
    </w:p>
    <w:p w14:paraId="44D0D1E2" w14:textId="77777777" w:rsidR="00761320" w:rsidRPr="001A00DB" w:rsidRDefault="00761320" w:rsidP="00914A1A">
      <w:pPr>
        <w:rPr>
          <w:rFonts w:asciiTheme="majorHAnsi" w:eastAsia="Calibri" w:hAnsiTheme="majorHAnsi" w:cs="Calibri"/>
          <w:color w:val="000000"/>
          <w:sz w:val="22"/>
          <w:szCs w:val="22"/>
          <w:lang w:val="fr-FR"/>
        </w:rPr>
      </w:pPr>
    </w:p>
    <w:sdt>
      <w:sdtPr>
        <w:rPr>
          <w:rFonts w:ascii="Calibri" w:eastAsiaTheme="minorHAnsi" w:hAnsi="Calibri" w:cstheme="minorBidi"/>
          <w:b w:val="0"/>
          <w:caps w:val="0"/>
          <w:sz w:val="24"/>
          <w:szCs w:val="24"/>
          <w:lang w:val="fr-FR" w:eastAsia="en-US"/>
        </w:rPr>
        <w:id w:val="-480081513"/>
        <w:docPartObj>
          <w:docPartGallery w:val="Table of Contents"/>
          <w:docPartUnique/>
        </w:docPartObj>
      </w:sdtPr>
      <w:sdtEndPr>
        <w:rPr>
          <w:rFonts w:ascii="Times New Roman" w:eastAsia="Times New Roman" w:hAnsi="Times New Roman" w:cs="Times New Roman"/>
          <w:bCs/>
          <w:noProof/>
        </w:rPr>
      </w:sdtEndPr>
      <w:sdtContent>
        <w:p w14:paraId="2BCD822F" w14:textId="66BB5E4F" w:rsidR="00761320" w:rsidRPr="004A4F3C" w:rsidRDefault="00761320" w:rsidP="00761320">
          <w:pPr>
            <w:pStyle w:val="TOCHeading"/>
            <w:rPr>
              <w:rFonts w:ascii="Calibri" w:hAnsi="Calibri"/>
              <w:lang w:val="fr-FR"/>
            </w:rPr>
          </w:pPr>
          <w:r w:rsidRPr="004A4F3C">
            <w:rPr>
              <w:rFonts w:ascii="Calibri" w:hAnsi="Calibri"/>
              <w:lang w:val="fr-FR"/>
            </w:rPr>
            <w:t>Table DES MATIÈRES</w:t>
          </w:r>
        </w:p>
        <w:p w14:paraId="06080C7C" w14:textId="77777777" w:rsidR="00761320" w:rsidRPr="001A00DB" w:rsidRDefault="00761320" w:rsidP="00761320">
          <w:pPr>
            <w:pStyle w:val="TOC1"/>
            <w:rPr>
              <w:rFonts w:asciiTheme="minorHAnsi" w:hAnsiTheme="minorHAnsi"/>
              <w:b w:val="0"/>
              <w:lang w:val="fr-FR"/>
            </w:rPr>
          </w:pPr>
        </w:p>
        <w:p w14:paraId="013947FE" w14:textId="04099DDB" w:rsidR="006F1B0C" w:rsidRPr="00F75FAD" w:rsidRDefault="00761320">
          <w:pPr>
            <w:pStyle w:val="TOC1"/>
            <w:rPr>
              <w:rFonts w:asciiTheme="majorHAnsi" w:eastAsiaTheme="minorEastAsia" w:hAnsiTheme="majorHAnsi" w:cstheme="minorBidi"/>
              <w:b w:val="0"/>
              <w:caps w:val="0"/>
              <w:noProof/>
              <w:lang w:eastAsia="en-GB"/>
            </w:rPr>
          </w:pPr>
          <w:r w:rsidRPr="001A00DB">
            <w:rPr>
              <w:rFonts w:asciiTheme="minorHAnsi" w:hAnsiTheme="minorHAnsi"/>
              <w:b w:val="0"/>
              <w:lang w:val="fr-FR"/>
            </w:rPr>
            <w:fldChar w:fldCharType="begin"/>
          </w:r>
          <w:r w:rsidRPr="001A00DB">
            <w:rPr>
              <w:rFonts w:asciiTheme="minorHAnsi" w:hAnsiTheme="minorHAnsi"/>
              <w:b w:val="0"/>
              <w:lang w:val="fr-FR"/>
            </w:rPr>
            <w:instrText xml:space="preserve"> TOC \o "1-3" \h \z \u </w:instrText>
          </w:r>
          <w:r w:rsidRPr="001A00DB">
            <w:rPr>
              <w:rFonts w:asciiTheme="minorHAnsi" w:hAnsiTheme="minorHAnsi"/>
              <w:b w:val="0"/>
              <w:lang w:val="fr-FR"/>
            </w:rPr>
            <w:fldChar w:fldCharType="separate"/>
          </w:r>
          <w:hyperlink w:anchor="_Toc455995957" w:history="1">
            <w:r w:rsidR="006F1B0C" w:rsidRPr="00F75FAD">
              <w:rPr>
                <w:rStyle w:val="Hyperlink"/>
                <w:rFonts w:asciiTheme="majorHAnsi" w:hAnsiTheme="majorHAnsi"/>
                <w:b w:val="0"/>
                <w:noProof/>
                <w:lang w:val="fr-CH"/>
              </w:rPr>
              <w:t>Fonctions consultatives spéciales et collaboration avec d’autres organes et processus internationaux</w:t>
            </w:r>
            <w:r w:rsidR="006F1B0C" w:rsidRPr="00F75FAD">
              <w:rPr>
                <w:rFonts w:asciiTheme="majorHAnsi" w:hAnsiTheme="majorHAnsi"/>
                <w:b w:val="0"/>
                <w:noProof/>
                <w:webHidden/>
              </w:rPr>
              <w:t>…......</w:t>
            </w:r>
            <w:r w:rsidR="004A4F3C">
              <w:rPr>
                <w:rFonts w:asciiTheme="majorHAnsi" w:hAnsiTheme="majorHAnsi"/>
                <w:b w:val="0"/>
                <w:noProof/>
                <w:webHidden/>
              </w:rPr>
              <w:tab/>
            </w:r>
            <w:r w:rsidR="006F1B0C" w:rsidRPr="00F75FAD">
              <w:rPr>
                <w:rFonts w:asciiTheme="majorHAnsi" w:hAnsiTheme="majorHAnsi"/>
                <w:b w:val="0"/>
                <w:noProof/>
                <w:webHidden/>
              </w:rPr>
              <w:fldChar w:fldCharType="begin"/>
            </w:r>
            <w:r w:rsidR="006F1B0C" w:rsidRPr="00F75FAD">
              <w:rPr>
                <w:rFonts w:asciiTheme="majorHAnsi" w:hAnsiTheme="majorHAnsi"/>
                <w:b w:val="0"/>
                <w:noProof/>
                <w:webHidden/>
              </w:rPr>
              <w:instrText xml:space="preserve"> PAGEREF _Toc455995957 \h </w:instrText>
            </w:r>
            <w:r w:rsidR="006F1B0C" w:rsidRPr="00F75FAD">
              <w:rPr>
                <w:rFonts w:asciiTheme="majorHAnsi" w:hAnsiTheme="majorHAnsi"/>
                <w:b w:val="0"/>
                <w:noProof/>
                <w:webHidden/>
              </w:rPr>
            </w:r>
            <w:r w:rsidR="006F1B0C" w:rsidRPr="00F75FAD">
              <w:rPr>
                <w:rFonts w:asciiTheme="majorHAnsi" w:hAnsiTheme="majorHAnsi"/>
                <w:b w:val="0"/>
                <w:noProof/>
                <w:webHidden/>
              </w:rPr>
              <w:fldChar w:fldCharType="separate"/>
            </w:r>
            <w:r w:rsidR="00E41165">
              <w:rPr>
                <w:rFonts w:asciiTheme="majorHAnsi" w:hAnsiTheme="majorHAnsi"/>
                <w:b w:val="0"/>
                <w:noProof/>
                <w:webHidden/>
              </w:rPr>
              <w:t>4</w:t>
            </w:r>
            <w:r w:rsidR="006F1B0C" w:rsidRPr="00F75FAD">
              <w:rPr>
                <w:rFonts w:asciiTheme="majorHAnsi" w:hAnsiTheme="majorHAnsi"/>
                <w:b w:val="0"/>
                <w:noProof/>
                <w:webHidden/>
              </w:rPr>
              <w:fldChar w:fldCharType="end"/>
            </w:r>
          </w:hyperlink>
        </w:p>
        <w:p w14:paraId="0D8B7F18" w14:textId="54E6B191" w:rsidR="006F1B0C" w:rsidRPr="00F75FAD" w:rsidRDefault="003B14B1">
          <w:pPr>
            <w:pStyle w:val="TOC1"/>
            <w:rPr>
              <w:rFonts w:asciiTheme="majorHAnsi" w:eastAsiaTheme="minorEastAsia" w:hAnsiTheme="majorHAnsi" w:cstheme="minorBidi"/>
              <w:b w:val="0"/>
              <w:caps w:val="0"/>
              <w:noProof/>
              <w:lang w:eastAsia="en-GB"/>
            </w:rPr>
          </w:pPr>
          <w:hyperlink w:anchor="_Toc455995958" w:history="1">
            <w:r w:rsidR="006F1B0C" w:rsidRPr="00F75FAD">
              <w:rPr>
                <w:rStyle w:val="Hyperlink"/>
                <w:rFonts w:asciiTheme="majorHAnsi" w:hAnsiTheme="majorHAnsi"/>
                <w:b w:val="0"/>
                <w:noProof/>
                <w:lang w:val="fr-CH"/>
              </w:rPr>
              <w:t>Domaine de travail thématique n</w:t>
            </w:r>
            <w:r w:rsidR="006F1B0C" w:rsidRPr="00F75FAD">
              <w:rPr>
                <w:rStyle w:val="Hyperlink"/>
                <w:rFonts w:asciiTheme="majorHAnsi" w:hAnsiTheme="majorHAnsi" w:cs="Arial"/>
                <w:b w:val="0"/>
                <w:noProof/>
                <w:vertAlign w:val="superscript"/>
                <w:lang w:val="fr-FR" w:eastAsia="en-US"/>
              </w:rPr>
              <w:t>o</w:t>
            </w:r>
            <w:r w:rsidR="006F1B0C" w:rsidRPr="00F75FAD">
              <w:rPr>
                <w:rStyle w:val="Hyperlink"/>
                <w:rFonts w:asciiTheme="majorHAnsi" w:hAnsiTheme="majorHAnsi"/>
                <w:b w:val="0"/>
                <w:noProof/>
                <w:lang w:val="fr-CH"/>
              </w:rPr>
              <w:t> 1 : Méthodes et outils sur les meilleures pratiques pour le suivi des Sites Ramsar, y compris études, cartographies et inventaires reconnaissant les pratiques traditionnelles des peuples autochtones et des communautés locales</w:t>
            </w:r>
            <w:r w:rsidR="006F1B0C" w:rsidRPr="00F75FAD">
              <w:rPr>
                <w:rFonts w:asciiTheme="majorHAnsi" w:hAnsiTheme="majorHAnsi"/>
                <w:b w:val="0"/>
                <w:noProof/>
                <w:webHidden/>
              </w:rPr>
              <w:tab/>
            </w:r>
            <w:r w:rsidR="006F1B0C" w:rsidRPr="00F75FAD">
              <w:rPr>
                <w:rFonts w:asciiTheme="majorHAnsi" w:hAnsiTheme="majorHAnsi"/>
                <w:b w:val="0"/>
                <w:noProof/>
                <w:webHidden/>
              </w:rPr>
              <w:fldChar w:fldCharType="begin"/>
            </w:r>
            <w:r w:rsidR="006F1B0C" w:rsidRPr="00F75FAD">
              <w:rPr>
                <w:rFonts w:asciiTheme="majorHAnsi" w:hAnsiTheme="majorHAnsi"/>
                <w:b w:val="0"/>
                <w:noProof/>
                <w:webHidden/>
              </w:rPr>
              <w:instrText xml:space="preserve"> PAGEREF _Toc455995958 \h </w:instrText>
            </w:r>
            <w:r w:rsidR="006F1B0C" w:rsidRPr="00F75FAD">
              <w:rPr>
                <w:rFonts w:asciiTheme="majorHAnsi" w:hAnsiTheme="majorHAnsi"/>
                <w:b w:val="0"/>
                <w:noProof/>
                <w:webHidden/>
              </w:rPr>
            </w:r>
            <w:r w:rsidR="006F1B0C" w:rsidRPr="00F75FAD">
              <w:rPr>
                <w:rFonts w:asciiTheme="majorHAnsi" w:hAnsiTheme="majorHAnsi"/>
                <w:b w:val="0"/>
                <w:noProof/>
                <w:webHidden/>
              </w:rPr>
              <w:fldChar w:fldCharType="separate"/>
            </w:r>
            <w:r w:rsidR="00E41165">
              <w:rPr>
                <w:rFonts w:asciiTheme="majorHAnsi" w:hAnsiTheme="majorHAnsi"/>
                <w:b w:val="0"/>
                <w:noProof/>
                <w:webHidden/>
              </w:rPr>
              <w:t>6</w:t>
            </w:r>
            <w:r w:rsidR="006F1B0C" w:rsidRPr="00F75FAD">
              <w:rPr>
                <w:rFonts w:asciiTheme="majorHAnsi" w:hAnsiTheme="majorHAnsi"/>
                <w:b w:val="0"/>
                <w:noProof/>
                <w:webHidden/>
              </w:rPr>
              <w:fldChar w:fldCharType="end"/>
            </w:r>
          </w:hyperlink>
        </w:p>
        <w:p w14:paraId="3B976874" w14:textId="3136EB8E" w:rsidR="006F1B0C" w:rsidRPr="00F75FAD" w:rsidRDefault="003B14B1">
          <w:pPr>
            <w:pStyle w:val="TOC1"/>
            <w:rPr>
              <w:rFonts w:asciiTheme="majorHAnsi" w:eastAsiaTheme="minorEastAsia" w:hAnsiTheme="majorHAnsi" w:cstheme="minorBidi"/>
              <w:b w:val="0"/>
              <w:caps w:val="0"/>
              <w:noProof/>
              <w:lang w:eastAsia="en-GB"/>
            </w:rPr>
          </w:pPr>
          <w:hyperlink w:anchor="_Toc455995959" w:history="1">
            <w:r w:rsidR="006F1B0C" w:rsidRPr="00F75FAD">
              <w:rPr>
                <w:rStyle w:val="Hyperlink"/>
                <w:rFonts w:asciiTheme="majorHAnsi" w:hAnsiTheme="majorHAnsi"/>
                <w:b w:val="0"/>
                <w:noProof/>
              </w:rPr>
              <w:t>Domaine de travail thématique n</w:t>
            </w:r>
            <w:r w:rsidR="006F1B0C" w:rsidRPr="00F75FAD">
              <w:rPr>
                <w:rStyle w:val="Hyperlink"/>
                <w:rFonts w:asciiTheme="majorHAnsi" w:hAnsiTheme="majorHAnsi"/>
                <w:b w:val="0"/>
                <w:noProof/>
                <w:vertAlign w:val="superscript"/>
              </w:rPr>
              <w:t>o</w:t>
            </w:r>
            <w:r w:rsidR="006F1B0C" w:rsidRPr="00F75FAD">
              <w:rPr>
                <w:rStyle w:val="Hyperlink"/>
                <w:rFonts w:asciiTheme="majorHAnsi" w:hAnsiTheme="majorHAnsi"/>
                <w:b w:val="0"/>
                <w:noProof/>
              </w:rPr>
              <w:t> 2 : Bonnes pratiques pour élaborer et appliquer les plans de gestion, les plans d’action et autres outils pour les Sites Ramsar et autres zones humides</w:t>
            </w:r>
            <w:r w:rsidR="006F1B0C" w:rsidRPr="00F75FAD">
              <w:rPr>
                <w:rFonts w:asciiTheme="majorHAnsi" w:hAnsiTheme="majorHAnsi"/>
                <w:b w:val="0"/>
                <w:noProof/>
                <w:webHidden/>
              </w:rPr>
              <w:tab/>
            </w:r>
            <w:r w:rsidR="006F1B0C" w:rsidRPr="00F75FAD">
              <w:rPr>
                <w:rFonts w:asciiTheme="majorHAnsi" w:hAnsiTheme="majorHAnsi"/>
                <w:b w:val="0"/>
                <w:noProof/>
                <w:webHidden/>
              </w:rPr>
              <w:fldChar w:fldCharType="begin"/>
            </w:r>
            <w:r w:rsidR="006F1B0C" w:rsidRPr="00F75FAD">
              <w:rPr>
                <w:rFonts w:asciiTheme="majorHAnsi" w:hAnsiTheme="majorHAnsi"/>
                <w:b w:val="0"/>
                <w:noProof/>
                <w:webHidden/>
              </w:rPr>
              <w:instrText xml:space="preserve"> PAGEREF _Toc455995959 \h </w:instrText>
            </w:r>
            <w:r w:rsidR="006F1B0C" w:rsidRPr="00F75FAD">
              <w:rPr>
                <w:rFonts w:asciiTheme="majorHAnsi" w:hAnsiTheme="majorHAnsi"/>
                <w:b w:val="0"/>
                <w:noProof/>
                <w:webHidden/>
              </w:rPr>
            </w:r>
            <w:r w:rsidR="006F1B0C" w:rsidRPr="00F75FAD">
              <w:rPr>
                <w:rFonts w:asciiTheme="majorHAnsi" w:hAnsiTheme="majorHAnsi"/>
                <w:b w:val="0"/>
                <w:noProof/>
                <w:webHidden/>
              </w:rPr>
              <w:fldChar w:fldCharType="separate"/>
            </w:r>
            <w:r w:rsidR="00E41165">
              <w:rPr>
                <w:rFonts w:asciiTheme="majorHAnsi" w:hAnsiTheme="majorHAnsi"/>
                <w:b w:val="0"/>
                <w:noProof/>
                <w:webHidden/>
              </w:rPr>
              <w:t>8</w:t>
            </w:r>
            <w:r w:rsidR="006F1B0C" w:rsidRPr="00F75FAD">
              <w:rPr>
                <w:rFonts w:asciiTheme="majorHAnsi" w:hAnsiTheme="majorHAnsi"/>
                <w:b w:val="0"/>
                <w:noProof/>
                <w:webHidden/>
              </w:rPr>
              <w:fldChar w:fldCharType="end"/>
            </w:r>
          </w:hyperlink>
        </w:p>
        <w:p w14:paraId="3A8EF9FA" w14:textId="22F7854C" w:rsidR="006F1B0C" w:rsidRPr="00F75FAD" w:rsidRDefault="003B14B1">
          <w:pPr>
            <w:pStyle w:val="TOC1"/>
            <w:rPr>
              <w:rFonts w:asciiTheme="majorHAnsi" w:eastAsiaTheme="minorEastAsia" w:hAnsiTheme="majorHAnsi" w:cstheme="minorBidi"/>
              <w:b w:val="0"/>
              <w:caps w:val="0"/>
              <w:noProof/>
              <w:lang w:eastAsia="en-GB"/>
            </w:rPr>
          </w:pPr>
          <w:hyperlink w:anchor="_Toc455995960" w:history="1">
            <w:r w:rsidR="006F1B0C" w:rsidRPr="00F75FAD">
              <w:rPr>
                <w:rStyle w:val="Hyperlink"/>
                <w:rFonts w:asciiTheme="majorHAnsi" w:hAnsiTheme="majorHAnsi"/>
                <w:b w:val="0"/>
                <w:noProof/>
                <w:lang w:val="fr-CH"/>
              </w:rPr>
              <w:t>Domaine de travail thématique n</w:t>
            </w:r>
            <w:r w:rsidR="006F1B0C" w:rsidRPr="00F75FAD">
              <w:rPr>
                <w:rStyle w:val="Hyperlink"/>
                <w:rFonts w:asciiTheme="majorHAnsi" w:hAnsiTheme="majorHAnsi"/>
                <w:b w:val="0"/>
                <w:noProof/>
                <w:vertAlign w:val="superscript"/>
                <w:lang w:val="fr-CH"/>
              </w:rPr>
              <w:t>o</w:t>
            </w:r>
            <w:r w:rsidR="006F1B0C" w:rsidRPr="00F75FAD">
              <w:rPr>
                <w:rStyle w:val="Hyperlink"/>
                <w:rFonts w:asciiTheme="majorHAnsi" w:hAnsiTheme="majorHAnsi"/>
                <w:b w:val="0"/>
                <w:noProof/>
                <w:lang w:val="fr-CH"/>
              </w:rPr>
              <w:t xml:space="preserve"> 3 : Méthodologies de valorisation économique et non économique des biens et services fournis par les zones humides</w:t>
            </w:r>
            <w:r w:rsidR="006F1B0C" w:rsidRPr="00F75FAD">
              <w:rPr>
                <w:rFonts w:asciiTheme="majorHAnsi" w:hAnsiTheme="majorHAnsi"/>
                <w:b w:val="0"/>
                <w:noProof/>
                <w:webHidden/>
              </w:rPr>
              <w:tab/>
            </w:r>
            <w:r w:rsidR="006F1B0C" w:rsidRPr="00F75FAD">
              <w:rPr>
                <w:rFonts w:asciiTheme="majorHAnsi" w:hAnsiTheme="majorHAnsi"/>
                <w:b w:val="0"/>
                <w:noProof/>
                <w:webHidden/>
              </w:rPr>
              <w:fldChar w:fldCharType="begin"/>
            </w:r>
            <w:r w:rsidR="006F1B0C" w:rsidRPr="00F75FAD">
              <w:rPr>
                <w:rFonts w:asciiTheme="majorHAnsi" w:hAnsiTheme="majorHAnsi"/>
                <w:b w:val="0"/>
                <w:noProof/>
                <w:webHidden/>
              </w:rPr>
              <w:instrText xml:space="preserve"> PAGEREF _Toc455995960 \h </w:instrText>
            </w:r>
            <w:r w:rsidR="006F1B0C" w:rsidRPr="00F75FAD">
              <w:rPr>
                <w:rFonts w:asciiTheme="majorHAnsi" w:hAnsiTheme="majorHAnsi"/>
                <w:b w:val="0"/>
                <w:noProof/>
                <w:webHidden/>
              </w:rPr>
            </w:r>
            <w:r w:rsidR="006F1B0C" w:rsidRPr="00F75FAD">
              <w:rPr>
                <w:rFonts w:asciiTheme="majorHAnsi" w:hAnsiTheme="majorHAnsi"/>
                <w:b w:val="0"/>
                <w:noProof/>
                <w:webHidden/>
              </w:rPr>
              <w:fldChar w:fldCharType="separate"/>
            </w:r>
            <w:r w:rsidR="00E41165">
              <w:rPr>
                <w:rFonts w:asciiTheme="majorHAnsi" w:hAnsiTheme="majorHAnsi"/>
                <w:b w:val="0"/>
                <w:noProof/>
                <w:webHidden/>
              </w:rPr>
              <w:t>11</w:t>
            </w:r>
            <w:r w:rsidR="006F1B0C" w:rsidRPr="00F75FAD">
              <w:rPr>
                <w:rFonts w:asciiTheme="majorHAnsi" w:hAnsiTheme="majorHAnsi"/>
                <w:b w:val="0"/>
                <w:noProof/>
                <w:webHidden/>
              </w:rPr>
              <w:fldChar w:fldCharType="end"/>
            </w:r>
          </w:hyperlink>
        </w:p>
        <w:p w14:paraId="1A18C716" w14:textId="0CC17EDE" w:rsidR="006F1B0C" w:rsidRPr="00F75FAD" w:rsidRDefault="003B14B1">
          <w:pPr>
            <w:pStyle w:val="TOC1"/>
            <w:rPr>
              <w:rFonts w:asciiTheme="majorHAnsi" w:eastAsiaTheme="minorEastAsia" w:hAnsiTheme="majorHAnsi" w:cstheme="minorBidi"/>
              <w:b w:val="0"/>
              <w:caps w:val="0"/>
              <w:noProof/>
              <w:lang w:eastAsia="en-GB"/>
            </w:rPr>
          </w:pPr>
          <w:hyperlink w:anchor="_Toc455995961" w:history="1">
            <w:r w:rsidR="006F1B0C" w:rsidRPr="00F75FAD">
              <w:rPr>
                <w:rStyle w:val="Hyperlink"/>
                <w:rFonts w:asciiTheme="majorHAnsi" w:hAnsiTheme="majorHAnsi"/>
                <w:b w:val="0"/>
                <w:noProof/>
              </w:rPr>
              <w:t>Domaine de travail thématique n</w:t>
            </w:r>
            <w:r w:rsidR="006F1B0C" w:rsidRPr="00F75FAD">
              <w:rPr>
                <w:rStyle w:val="Hyperlink"/>
                <w:rFonts w:asciiTheme="majorHAnsi" w:hAnsiTheme="majorHAnsi"/>
                <w:b w:val="0"/>
                <w:noProof/>
                <w:vertAlign w:val="superscript"/>
              </w:rPr>
              <w:t>o</w:t>
            </w:r>
            <w:r w:rsidR="006F1B0C" w:rsidRPr="00F75FAD">
              <w:rPr>
                <w:rStyle w:val="Hyperlink"/>
                <w:rFonts w:asciiTheme="majorHAnsi" w:hAnsiTheme="majorHAnsi"/>
                <w:b w:val="0"/>
                <w:noProof/>
              </w:rPr>
              <w:t xml:space="preserve"> 4 : Concilier conservation des zones humides et développement, à savoir : infrastructure, urbanisation, foresterie, industries extractives et agriculture</w:t>
            </w:r>
            <w:r w:rsidR="006F1B0C" w:rsidRPr="00F75FAD">
              <w:rPr>
                <w:rFonts w:asciiTheme="majorHAnsi" w:hAnsiTheme="majorHAnsi"/>
                <w:b w:val="0"/>
                <w:noProof/>
                <w:webHidden/>
              </w:rPr>
              <w:tab/>
            </w:r>
            <w:r w:rsidR="006F1B0C" w:rsidRPr="00F75FAD">
              <w:rPr>
                <w:rFonts w:asciiTheme="majorHAnsi" w:hAnsiTheme="majorHAnsi"/>
                <w:b w:val="0"/>
                <w:noProof/>
                <w:webHidden/>
              </w:rPr>
              <w:fldChar w:fldCharType="begin"/>
            </w:r>
            <w:r w:rsidR="006F1B0C" w:rsidRPr="00F75FAD">
              <w:rPr>
                <w:rFonts w:asciiTheme="majorHAnsi" w:hAnsiTheme="majorHAnsi"/>
                <w:b w:val="0"/>
                <w:noProof/>
                <w:webHidden/>
              </w:rPr>
              <w:instrText xml:space="preserve"> PAGEREF _Toc455995961 \h </w:instrText>
            </w:r>
            <w:r w:rsidR="006F1B0C" w:rsidRPr="00F75FAD">
              <w:rPr>
                <w:rFonts w:asciiTheme="majorHAnsi" w:hAnsiTheme="majorHAnsi"/>
                <w:b w:val="0"/>
                <w:noProof/>
                <w:webHidden/>
              </w:rPr>
            </w:r>
            <w:r w:rsidR="006F1B0C" w:rsidRPr="00F75FAD">
              <w:rPr>
                <w:rFonts w:asciiTheme="majorHAnsi" w:hAnsiTheme="majorHAnsi"/>
                <w:b w:val="0"/>
                <w:noProof/>
                <w:webHidden/>
              </w:rPr>
              <w:fldChar w:fldCharType="separate"/>
            </w:r>
            <w:r w:rsidR="00E41165">
              <w:rPr>
                <w:rFonts w:asciiTheme="majorHAnsi" w:hAnsiTheme="majorHAnsi"/>
                <w:b w:val="0"/>
                <w:noProof/>
                <w:webHidden/>
              </w:rPr>
              <w:t>13</w:t>
            </w:r>
            <w:r w:rsidR="006F1B0C" w:rsidRPr="00F75FAD">
              <w:rPr>
                <w:rFonts w:asciiTheme="majorHAnsi" w:hAnsiTheme="majorHAnsi"/>
                <w:b w:val="0"/>
                <w:noProof/>
                <w:webHidden/>
              </w:rPr>
              <w:fldChar w:fldCharType="end"/>
            </w:r>
          </w:hyperlink>
        </w:p>
        <w:p w14:paraId="439A539C" w14:textId="762CBE59" w:rsidR="006F1B0C" w:rsidRPr="00F75FAD" w:rsidRDefault="003B14B1">
          <w:pPr>
            <w:pStyle w:val="TOC1"/>
            <w:rPr>
              <w:rFonts w:asciiTheme="majorHAnsi" w:eastAsiaTheme="minorEastAsia" w:hAnsiTheme="majorHAnsi" w:cstheme="minorBidi"/>
              <w:b w:val="0"/>
              <w:caps w:val="0"/>
              <w:noProof/>
              <w:lang w:eastAsia="en-GB"/>
            </w:rPr>
          </w:pPr>
          <w:hyperlink w:anchor="_Toc455995962" w:history="1">
            <w:r w:rsidR="006F1B0C" w:rsidRPr="00F75FAD">
              <w:rPr>
                <w:rStyle w:val="Hyperlink"/>
                <w:rFonts w:asciiTheme="majorHAnsi" w:hAnsiTheme="majorHAnsi"/>
                <w:b w:val="0"/>
                <w:noProof/>
              </w:rPr>
              <w:t>Domaine de travail thématique n</w:t>
            </w:r>
            <w:r w:rsidR="006F1B0C" w:rsidRPr="00F75FAD">
              <w:rPr>
                <w:rStyle w:val="Hyperlink"/>
                <w:rFonts w:asciiTheme="majorHAnsi" w:hAnsiTheme="majorHAnsi"/>
                <w:b w:val="0"/>
                <w:noProof/>
                <w:vertAlign w:val="superscript"/>
              </w:rPr>
              <w:t>o</w:t>
            </w:r>
            <w:r w:rsidR="006F1B0C" w:rsidRPr="00F75FAD">
              <w:rPr>
                <w:rStyle w:val="Hyperlink"/>
                <w:rFonts w:asciiTheme="majorHAnsi" w:hAnsiTheme="majorHAnsi"/>
                <w:b w:val="0"/>
                <w:noProof/>
              </w:rPr>
              <w:t xml:space="preserve"> 5 : Changement climatique et zones humides : Méthodologies novatrices pour la restauration des zones humides</w:t>
            </w:r>
            <w:r w:rsidR="006F1B0C" w:rsidRPr="00F75FAD">
              <w:rPr>
                <w:rFonts w:asciiTheme="majorHAnsi" w:hAnsiTheme="majorHAnsi"/>
                <w:b w:val="0"/>
                <w:noProof/>
                <w:webHidden/>
              </w:rPr>
              <w:tab/>
            </w:r>
            <w:r w:rsidR="006F1B0C" w:rsidRPr="00F75FAD">
              <w:rPr>
                <w:rFonts w:asciiTheme="majorHAnsi" w:hAnsiTheme="majorHAnsi"/>
                <w:b w:val="0"/>
                <w:noProof/>
                <w:webHidden/>
              </w:rPr>
              <w:fldChar w:fldCharType="begin"/>
            </w:r>
            <w:r w:rsidR="006F1B0C" w:rsidRPr="00F75FAD">
              <w:rPr>
                <w:rFonts w:asciiTheme="majorHAnsi" w:hAnsiTheme="majorHAnsi"/>
                <w:b w:val="0"/>
                <w:noProof/>
                <w:webHidden/>
              </w:rPr>
              <w:instrText xml:space="preserve"> PAGEREF _Toc455995962 \h </w:instrText>
            </w:r>
            <w:r w:rsidR="006F1B0C" w:rsidRPr="00F75FAD">
              <w:rPr>
                <w:rFonts w:asciiTheme="majorHAnsi" w:hAnsiTheme="majorHAnsi"/>
                <w:b w:val="0"/>
                <w:noProof/>
                <w:webHidden/>
              </w:rPr>
            </w:r>
            <w:r w:rsidR="006F1B0C" w:rsidRPr="00F75FAD">
              <w:rPr>
                <w:rFonts w:asciiTheme="majorHAnsi" w:hAnsiTheme="majorHAnsi"/>
                <w:b w:val="0"/>
                <w:noProof/>
                <w:webHidden/>
              </w:rPr>
              <w:fldChar w:fldCharType="separate"/>
            </w:r>
            <w:r w:rsidR="00E41165">
              <w:rPr>
                <w:rFonts w:asciiTheme="majorHAnsi" w:hAnsiTheme="majorHAnsi"/>
                <w:b w:val="0"/>
                <w:noProof/>
                <w:webHidden/>
              </w:rPr>
              <w:t>16</w:t>
            </w:r>
            <w:r w:rsidR="006F1B0C" w:rsidRPr="00F75FAD">
              <w:rPr>
                <w:rFonts w:asciiTheme="majorHAnsi" w:hAnsiTheme="majorHAnsi"/>
                <w:b w:val="0"/>
                <w:noProof/>
                <w:webHidden/>
              </w:rPr>
              <w:fldChar w:fldCharType="end"/>
            </w:r>
          </w:hyperlink>
        </w:p>
        <w:p w14:paraId="2EB598E3" w14:textId="77777777" w:rsidR="00761320" w:rsidRPr="001A00DB" w:rsidRDefault="00761320" w:rsidP="00761320">
          <w:pPr>
            <w:rPr>
              <w:lang w:val="fr-FR"/>
            </w:rPr>
          </w:pPr>
          <w:r w:rsidRPr="001A00DB">
            <w:rPr>
              <w:bCs/>
              <w:noProof/>
              <w:lang w:val="fr-FR"/>
            </w:rPr>
            <w:fldChar w:fldCharType="end"/>
          </w:r>
        </w:p>
      </w:sdtContent>
    </w:sdt>
    <w:p w14:paraId="07B7163C" w14:textId="77777777" w:rsidR="00761320" w:rsidRPr="001A00DB" w:rsidRDefault="00761320" w:rsidP="00761320">
      <w:pPr>
        <w:rPr>
          <w:rFonts w:cs="Arial"/>
          <w:b/>
          <w:lang w:val="fr-FR"/>
        </w:rPr>
      </w:pPr>
    </w:p>
    <w:p w14:paraId="59B35892" w14:textId="39B82DFE" w:rsidR="007215C6" w:rsidRPr="001A00DB" w:rsidRDefault="007215C6" w:rsidP="007215C6">
      <w:pPr>
        <w:rPr>
          <w:rFonts w:asciiTheme="majorHAnsi" w:eastAsia="Calibri" w:hAnsiTheme="majorHAnsi" w:cs="Calibri"/>
          <w:color w:val="000000"/>
          <w:sz w:val="22"/>
          <w:szCs w:val="22"/>
          <w:lang w:val="fr-FR"/>
        </w:rPr>
      </w:pPr>
    </w:p>
    <w:p w14:paraId="203EA53C" w14:textId="1E55A8DE" w:rsidR="00F75FAD" w:rsidRDefault="00F75FAD">
      <w:pPr>
        <w:rPr>
          <w:rFonts w:asciiTheme="majorHAnsi" w:eastAsia="Calibri" w:hAnsiTheme="majorHAnsi" w:cs="Calibri"/>
          <w:color w:val="000000"/>
          <w:sz w:val="22"/>
          <w:szCs w:val="22"/>
          <w:lang w:val="fr-FR"/>
        </w:rPr>
        <w:sectPr w:rsidR="00F75FAD" w:rsidSect="00E41165">
          <w:headerReference w:type="default" r:id="rId13"/>
          <w:footerReference w:type="default" r:id="rId14"/>
          <w:headerReference w:type="first" r:id="rId15"/>
          <w:footerReference w:type="first" r:id="rId16"/>
          <w:pgSz w:w="11906" w:h="16838"/>
          <w:pgMar w:top="1440" w:right="1440" w:bottom="1440" w:left="1440" w:header="709" w:footer="709" w:gutter="0"/>
          <w:pgNumType w:start="2"/>
          <w:cols w:space="708"/>
          <w:titlePg/>
          <w:docGrid w:linePitch="360"/>
        </w:sectPr>
      </w:pPr>
      <w:r>
        <w:rPr>
          <w:rFonts w:asciiTheme="majorHAnsi" w:eastAsia="Calibri" w:hAnsiTheme="majorHAnsi" w:cs="Calibri"/>
          <w:color w:val="000000"/>
          <w:sz w:val="22"/>
          <w:szCs w:val="22"/>
          <w:lang w:val="fr-FR"/>
        </w:rPr>
        <w:br w:type="page"/>
      </w:r>
      <w:bookmarkStart w:id="2" w:name="_GoBack"/>
      <w:bookmarkEnd w:id="2"/>
    </w:p>
    <w:p w14:paraId="787BBB00" w14:textId="436F9261" w:rsidR="003B6083" w:rsidRPr="00F8475A" w:rsidRDefault="000B0E5D" w:rsidP="00F8475A">
      <w:pPr>
        <w:pStyle w:val="Heading1"/>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color w:val="FFFFFF" w:themeColor="background1"/>
          <w:sz w:val="20"/>
          <w:szCs w:val="20"/>
          <w:lang w:val="fr-CH"/>
        </w:rPr>
      </w:pPr>
      <w:bookmarkStart w:id="3" w:name="_Toc455995957"/>
      <w:r w:rsidRPr="00F8475A">
        <w:rPr>
          <w:rFonts w:asciiTheme="majorHAnsi" w:hAnsiTheme="majorHAnsi"/>
          <w:color w:val="FFFFFF" w:themeColor="background1"/>
          <w:sz w:val="20"/>
          <w:szCs w:val="20"/>
          <w:lang w:val="fr-CH"/>
        </w:rPr>
        <w:lastRenderedPageBreak/>
        <w:t>Fonctions consultatives spéciales et collaboration avec d’autres organes et processus internationaux</w:t>
      </w:r>
      <w:bookmarkEnd w:id="3"/>
    </w:p>
    <w:p w14:paraId="3DC1D55A" w14:textId="77777777" w:rsidR="003B6083" w:rsidRPr="001A00DB" w:rsidRDefault="003B6083" w:rsidP="000B0E5D">
      <w:pPr>
        <w:keepNext/>
        <w:keepLines/>
        <w:rPr>
          <w:rFonts w:asciiTheme="majorHAnsi" w:hAnsiTheme="majorHAnsi" w:cs="Arial"/>
          <w:sz w:val="20"/>
          <w:szCs w:val="20"/>
          <w:lang w:val="fr-FR"/>
        </w:rPr>
      </w:pPr>
    </w:p>
    <w:tbl>
      <w:tblPr>
        <w:tblStyle w:val="TableGrid"/>
        <w:tblW w:w="0" w:type="auto"/>
        <w:tblLook w:val="04A0" w:firstRow="1" w:lastRow="0" w:firstColumn="1" w:lastColumn="0" w:noHBand="0" w:noVBand="1"/>
      </w:tblPr>
      <w:tblGrid>
        <w:gridCol w:w="3172"/>
        <w:gridCol w:w="1399"/>
        <w:gridCol w:w="992"/>
        <w:gridCol w:w="5658"/>
        <w:gridCol w:w="2953"/>
      </w:tblGrid>
      <w:tr w:rsidR="00ED4DA2" w:rsidRPr="001A00DB" w14:paraId="2DF734DA" w14:textId="77777777" w:rsidTr="007A5771">
        <w:tc>
          <w:tcPr>
            <w:tcW w:w="0" w:type="auto"/>
            <w:shd w:val="clear" w:color="auto" w:fill="BFBFBF" w:themeFill="background1" w:themeFillShade="BF"/>
          </w:tcPr>
          <w:p w14:paraId="5022BC54" w14:textId="2D9E7D1C" w:rsidR="003B6083" w:rsidRPr="001A00DB" w:rsidRDefault="003B6083" w:rsidP="000B0E5D">
            <w:pPr>
              <w:keepNext/>
              <w:keepLines/>
              <w:jc w:val="center"/>
              <w:rPr>
                <w:rFonts w:asciiTheme="majorHAnsi" w:hAnsiTheme="majorHAnsi" w:cs="Arial"/>
                <w:sz w:val="20"/>
                <w:szCs w:val="20"/>
                <w:lang w:val="fr-FR"/>
              </w:rPr>
            </w:pPr>
            <w:r w:rsidRPr="001A00DB">
              <w:rPr>
                <w:rFonts w:asciiTheme="majorHAnsi" w:hAnsiTheme="majorHAnsi" w:cs="Arial"/>
                <w:sz w:val="20"/>
                <w:szCs w:val="20"/>
                <w:lang w:val="fr-FR"/>
              </w:rPr>
              <w:t xml:space="preserve">Type </w:t>
            </w:r>
            <w:r w:rsidR="000B0E5D" w:rsidRPr="001A00DB">
              <w:rPr>
                <w:rFonts w:asciiTheme="majorHAnsi" w:hAnsiTheme="majorHAnsi" w:cs="Arial"/>
                <w:sz w:val="20"/>
                <w:szCs w:val="20"/>
                <w:lang w:val="fr-FR"/>
              </w:rPr>
              <w:t>d’avis</w:t>
            </w:r>
            <w:r w:rsidRPr="001A00DB">
              <w:rPr>
                <w:rFonts w:asciiTheme="majorHAnsi" w:hAnsiTheme="majorHAnsi" w:cs="Arial"/>
                <w:sz w:val="20"/>
                <w:szCs w:val="20"/>
                <w:lang w:val="fr-FR"/>
              </w:rPr>
              <w:t>/collaboration</w:t>
            </w:r>
          </w:p>
        </w:tc>
        <w:tc>
          <w:tcPr>
            <w:tcW w:w="0" w:type="auto"/>
            <w:shd w:val="clear" w:color="auto" w:fill="BFBFBF" w:themeFill="background1" w:themeFillShade="BF"/>
          </w:tcPr>
          <w:p w14:paraId="5F9FCC2A" w14:textId="677EDDBE" w:rsidR="003B6083" w:rsidRPr="001A00DB" w:rsidRDefault="003B6083" w:rsidP="004B32FB">
            <w:pPr>
              <w:keepNext/>
              <w:keepLines/>
              <w:jc w:val="center"/>
              <w:rPr>
                <w:rFonts w:asciiTheme="majorHAnsi" w:hAnsiTheme="majorHAnsi" w:cs="Arial"/>
                <w:b w:val="0"/>
                <w:sz w:val="20"/>
                <w:szCs w:val="20"/>
                <w:lang w:val="fr-FR"/>
              </w:rPr>
            </w:pPr>
            <w:r w:rsidRPr="001A00DB">
              <w:rPr>
                <w:rFonts w:asciiTheme="majorHAnsi" w:hAnsiTheme="majorHAnsi" w:cs="Arial"/>
                <w:sz w:val="20"/>
                <w:szCs w:val="20"/>
                <w:lang w:val="fr-FR"/>
              </w:rPr>
              <w:t>R</w:t>
            </w:r>
            <w:r w:rsidR="00787C8D" w:rsidRPr="001A00DB">
              <w:rPr>
                <w:rFonts w:asciiTheme="majorHAnsi" w:hAnsiTheme="majorHAnsi" w:cs="Arial"/>
                <w:sz w:val="20"/>
                <w:szCs w:val="20"/>
                <w:lang w:val="fr-FR"/>
              </w:rPr>
              <w:t>é</w:t>
            </w:r>
            <w:r w:rsidRPr="001A00DB">
              <w:rPr>
                <w:rFonts w:asciiTheme="majorHAnsi" w:hAnsiTheme="majorHAnsi" w:cs="Arial"/>
                <w:sz w:val="20"/>
                <w:szCs w:val="20"/>
                <w:lang w:val="fr-FR"/>
              </w:rPr>
              <w:t>s</w:t>
            </w:r>
            <w:r w:rsidR="004B32FB" w:rsidRPr="001A00DB">
              <w:rPr>
                <w:rFonts w:asciiTheme="majorHAnsi" w:hAnsiTheme="majorHAnsi" w:cs="Arial"/>
                <w:sz w:val="20"/>
                <w:szCs w:val="20"/>
                <w:lang w:val="fr-FR"/>
              </w:rPr>
              <w:t>olution</w:t>
            </w:r>
          </w:p>
        </w:tc>
        <w:tc>
          <w:tcPr>
            <w:tcW w:w="0" w:type="auto"/>
            <w:shd w:val="clear" w:color="auto" w:fill="BFBFBF" w:themeFill="background1" w:themeFillShade="BF"/>
          </w:tcPr>
          <w:p w14:paraId="10684572" w14:textId="31253BA4" w:rsidR="003B6083" w:rsidRPr="001A00DB" w:rsidRDefault="00787C8D" w:rsidP="00787C8D">
            <w:pPr>
              <w:keepNext/>
              <w:keepLines/>
              <w:jc w:val="center"/>
              <w:rPr>
                <w:rFonts w:asciiTheme="majorHAnsi" w:hAnsiTheme="majorHAnsi" w:cs="Arial"/>
                <w:sz w:val="20"/>
                <w:szCs w:val="20"/>
                <w:lang w:val="fr-FR"/>
              </w:rPr>
            </w:pPr>
            <w:r w:rsidRPr="001A00DB">
              <w:rPr>
                <w:rFonts w:asciiTheme="majorHAnsi" w:eastAsia="Calibri" w:hAnsiTheme="majorHAnsi" w:cs="Arial"/>
                <w:sz w:val="20"/>
                <w:szCs w:val="20"/>
                <w:lang w:val="fr-FR"/>
              </w:rPr>
              <w:t>But et objectif du PS</w:t>
            </w:r>
          </w:p>
        </w:tc>
        <w:tc>
          <w:tcPr>
            <w:tcW w:w="0" w:type="auto"/>
            <w:shd w:val="clear" w:color="auto" w:fill="BFBFBF" w:themeFill="background1" w:themeFillShade="BF"/>
          </w:tcPr>
          <w:p w14:paraId="0B3CE642" w14:textId="77777777" w:rsidR="003B6083" w:rsidRPr="001A00DB" w:rsidRDefault="003B6083" w:rsidP="000B0E5D">
            <w:pPr>
              <w:keepNext/>
              <w:keepLines/>
              <w:jc w:val="center"/>
              <w:rPr>
                <w:rFonts w:asciiTheme="majorHAnsi" w:hAnsiTheme="majorHAnsi" w:cs="Arial"/>
                <w:sz w:val="20"/>
                <w:szCs w:val="20"/>
                <w:lang w:val="fr-FR"/>
              </w:rPr>
            </w:pPr>
            <w:r w:rsidRPr="001A00DB">
              <w:rPr>
                <w:rFonts w:asciiTheme="majorHAnsi" w:hAnsiTheme="majorHAnsi" w:cs="Arial"/>
                <w:sz w:val="20"/>
                <w:szCs w:val="20"/>
                <w:lang w:val="fr-FR"/>
              </w:rPr>
              <w:t>Description</w:t>
            </w:r>
          </w:p>
        </w:tc>
        <w:tc>
          <w:tcPr>
            <w:tcW w:w="0" w:type="auto"/>
            <w:shd w:val="clear" w:color="auto" w:fill="BFBFBF" w:themeFill="background1" w:themeFillShade="BF"/>
          </w:tcPr>
          <w:p w14:paraId="3A5A1C29" w14:textId="0F3F7203" w:rsidR="003B6083" w:rsidRPr="001A00DB" w:rsidRDefault="00787C8D" w:rsidP="000B0E5D">
            <w:pPr>
              <w:keepNext/>
              <w:keepLines/>
              <w:jc w:val="center"/>
              <w:rPr>
                <w:rFonts w:asciiTheme="majorHAnsi" w:hAnsiTheme="majorHAnsi" w:cs="Arial"/>
                <w:sz w:val="20"/>
                <w:szCs w:val="20"/>
                <w:lang w:val="fr-FR"/>
              </w:rPr>
            </w:pPr>
            <w:r w:rsidRPr="001A00DB">
              <w:rPr>
                <w:rFonts w:asciiTheme="majorHAnsi" w:hAnsiTheme="majorHAnsi" w:cs="Arial"/>
                <w:sz w:val="20"/>
                <w:szCs w:val="20"/>
                <w:lang w:val="fr-FR"/>
              </w:rPr>
              <w:t>Coûts</w:t>
            </w:r>
            <w:r w:rsidR="003B6083" w:rsidRPr="001A00DB">
              <w:rPr>
                <w:rFonts w:asciiTheme="majorHAnsi" w:hAnsiTheme="majorHAnsi" w:cs="Arial"/>
                <w:sz w:val="20"/>
                <w:szCs w:val="20"/>
                <w:lang w:val="fr-FR"/>
              </w:rPr>
              <w:t xml:space="preserve"> CHF</w:t>
            </w:r>
          </w:p>
        </w:tc>
      </w:tr>
      <w:tr w:rsidR="003B6083" w:rsidRPr="00E7362F" w14:paraId="1CD7BDBA" w14:textId="77777777" w:rsidTr="007A5771">
        <w:tc>
          <w:tcPr>
            <w:tcW w:w="0" w:type="auto"/>
            <w:gridSpan w:val="5"/>
            <w:shd w:val="clear" w:color="auto" w:fill="D9D9D9" w:themeFill="background1" w:themeFillShade="D9"/>
          </w:tcPr>
          <w:p w14:paraId="7FB34E82" w14:textId="624AF54D" w:rsidR="003B6083" w:rsidRPr="001A00DB" w:rsidRDefault="00787C8D" w:rsidP="00787C8D">
            <w:pPr>
              <w:keepNext/>
              <w:keepLines/>
              <w:jc w:val="center"/>
              <w:rPr>
                <w:rFonts w:asciiTheme="majorHAnsi" w:hAnsiTheme="majorHAnsi" w:cs="Arial"/>
                <w:sz w:val="20"/>
                <w:szCs w:val="20"/>
                <w:lang w:val="fr-FR"/>
              </w:rPr>
            </w:pPr>
            <w:r w:rsidRPr="001A00DB">
              <w:rPr>
                <w:rFonts w:asciiTheme="majorHAnsi" w:hAnsiTheme="majorHAnsi" w:cs="Arial"/>
                <w:sz w:val="20"/>
                <w:szCs w:val="20"/>
                <w:lang w:val="fr-FR"/>
              </w:rPr>
              <w:t xml:space="preserve">Processus de la Convention de </w:t>
            </w:r>
            <w:r w:rsidR="003B6083" w:rsidRPr="001A00DB">
              <w:rPr>
                <w:rFonts w:asciiTheme="majorHAnsi" w:hAnsiTheme="majorHAnsi" w:cs="Arial"/>
                <w:sz w:val="20"/>
                <w:szCs w:val="20"/>
                <w:lang w:val="fr-FR"/>
              </w:rPr>
              <w:t xml:space="preserve">Ramsar </w:t>
            </w:r>
          </w:p>
        </w:tc>
      </w:tr>
      <w:tr w:rsidR="00ED4DA2" w:rsidRPr="00E7362F" w14:paraId="535307DA" w14:textId="77777777" w:rsidTr="007A5771">
        <w:tc>
          <w:tcPr>
            <w:tcW w:w="0" w:type="auto"/>
          </w:tcPr>
          <w:p w14:paraId="1B963CA6" w14:textId="65AA8B1F" w:rsidR="003B6083" w:rsidRPr="001A00DB" w:rsidRDefault="005C7A49" w:rsidP="005C7A49">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Fournir des avis aux Parties contractantes et aux acteurs sur l’état mondial des zones humides et de leurs services à l’humanité </w:t>
            </w:r>
            <w:r w:rsidR="003B6083" w:rsidRPr="001A00DB">
              <w:rPr>
                <w:rFonts w:asciiTheme="majorHAnsi" w:hAnsiTheme="majorHAnsi" w:cs="Arial"/>
                <w:b w:val="0"/>
                <w:sz w:val="20"/>
                <w:szCs w:val="20"/>
                <w:lang w:val="fr-FR"/>
              </w:rPr>
              <w:t>(SoWWS)</w:t>
            </w:r>
          </w:p>
        </w:tc>
        <w:tc>
          <w:tcPr>
            <w:tcW w:w="0" w:type="auto"/>
          </w:tcPr>
          <w:p w14:paraId="6DA168FF" w14:textId="77777777" w:rsidR="003B6083" w:rsidRPr="001A00DB" w:rsidRDefault="003B6083" w:rsidP="000B0E5D">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XII.5, </w:t>
            </w:r>
            <w:r w:rsidRPr="001A00DB">
              <w:rPr>
                <w:rFonts w:ascii="Calibri" w:hAnsi="Calibri" w:cs="Arial"/>
                <w:b w:val="0"/>
                <w:sz w:val="20"/>
                <w:szCs w:val="20"/>
                <w:lang w:val="fr-FR"/>
              </w:rPr>
              <w:t>¶</w:t>
            </w:r>
            <w:r w:rsidRPr="001A00DB">
              <w:rPr>
                <w:rFonts w:asciiTheme="majorHAnsi" w:hAnsiTheme="majorHAnsi" w:cs="Arial"/>
                <w:b w:val="0"/>
                <w:sz w:val="20"/>
                <w:szCs w:val="20"/>
                <w:lang w:val="fr-FR"/>
              </w:rPr>
              <w:t xml:space="preserve"> 25</w:t>
            </w:r>
          </w:p>
        </w:tc>
        <w:tc>
          <w:tcPr>
            <w:tcW w:w="0" w:type="auto"/>
          </w:tcPr>
          <w:p w14:paraId="6445DD6B" w14:textId="77777777" w:rsidR="003B6083" w:rsidRPr="001A00DB" w:rsidRDefault="003B6083" w:rsidP="000B0E5D">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3.11, 4.14, 4.16</w:t>
            </w:r>
          </w:p>
        </w:tc>
        <w:tc>
          <w:tcPr>
            <w:tcW w:w="0" w:type="auto"/>
          </w:tcPr>
          <w:p w14:paraId="674C4988" w14:textId="46365C5E" w:rsidR="003B6083" w:rsidRPr="001A00DB" w:rsidRDefault="005C7A49" w:rsidP="000B0E5D">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w:t>
            </w:r>
            <w:r w:rsidR="003B6083" w:rsidRPr="001A00DB">
              <w:rPr>
                <w:rFonts w:asciiTheme="majorHAnsi" w:hAnsiTheme="majorHAnsi" w:cs="Arial"/>
                <w:b w:val="0"/>
                <w:sz w:val="20"/>
                <w:szCs w:val="20"/>
                <w:lang w:val="fr-FR"/>
              </w:rPr>
              <w:t>: Produ</w:t>
            </w:r>
            <w:r w:rsidRPr="001A00DB">
              <w:rPr>
                <w:rFonts w:asciiTheme="majorHAnsi" w:hAnsiTheme="majorHAnsi" w:cs="Arial"/>
                <w:b w:val="0"/>
                <w:sz w:val="20"/>
                <w:szCs w:val="20"/>
                <w:lang w:val="fr-FR"/>
              </w:rPr>
              <w:t xml:space="preserve">ire une édition </w:t>
            </w:r>
            <w:r w:rsidR="003B6083" w:rsidRPr="001A00DB">
              <w:rPr>
                <w:rFonts w:asciiTheme="majorHAnsi" w:hAnsiTheme="majorHAnsi" w:cs="Arial"/>
                <w:b w:val="0"/>
                <w:sz w:val="20"/>
                <w:szCs w:val="20"/>
                <w:lang w:val="fr-FR"/>
              </w:rPr>
              <w:t xml:space="preserve">2018 </w:t>
            </w:r>
            <w:r w:rsidRPr="001A00DB">
              <w:rPr>
                <w:rFonts w:asciiTheme="majorHAnsi" w:hAnsiTheme="majorHAnsi" w:cs="Arial"/>
                <w:b w:val="0"/>
                <w:sz w:val="20"/>
                <w:szCs w:val="20"/>
                <w:lang w:val="fr-FR"/>
              </w:rPr>
              <w:t>de la publication emblématique périodique sur l’état mondial des zones humides, les moteurs de la perte des zones humides et les réponses en vue de promouvoir les objectifs de la Convention, avec des liens vers le Plan stratégique et d’autres processus internationaux (</w:t>
            </w:r>
            <w:r w:rsidR="00F81995" w:rsidRPr="001A00DB">
              <w:rPr>
                <w:rFonts w:asciiTheme="majorHAnsi" w:hAnsiTheme="majorHAnsi" w:cs="Arial"/>
                <w:b w:val="0"/>
                <w:sz w:val="20"/>
                <w:szCs w:val="20"/>
                <w:lang w:val="fr-FR"/>
              </w:rPr>
              <w:t>O</w:t>
            </w:r>
            <w:r w:rsidRPr="001A00DB">
              <w:rPr>
                <w:rFonts w:asciiTheme="majorHAnsi" w:hAnsiTheme="majorHAnsi" w:cs="Arial"/>
                <w:b w:val="0"/>
                <w:sz w:val="20"/>
                <w:szCs w:val="20"/>
                <w:lang w:val="fr-FR"/>
              </w:rPr>
              <w:t xml:space="preserve">bjectifs de développement durable (ODD), Objectifs d’Aichi, </w:t>
            </w:r>
            <w:r w:rsidR="00F81995" w:rsidRPr="001A00DB">
              <w:rPr>
                <w:rFonts w:asciiTheme="majorHAnsi" w:hAnsiTheme="majorHAnsi" w:cs="Arial"/>
                <w:b w:val="0"/>
                <w:sz w:val="20"/>
                <w:szCs w:val="20"/>
                <w:lang w:val="fr-FR"/>
              </w:rPr>
              <w:t>Perspectives mondiales de la diversité biologique</w:t>
            </w:r>
            <w:r w:rsidRPr="001A00DB">
              <w:rPr>
                <w:rFonts w:asciiTheme="majorHAnsi" w:hAnsiTheme="majorHAnsi" w:cs="Arial"/>
                <w:b w:val="0"/>
                <w:sz w:val="20"/>
                <w:szCs w:val="20"/>
                <w:lang w:val="fr-FR"/>
              </w:rPr>
              <w:t>).</w:t>
            </w:r>
            <w:r w:rsidR="003B6083" w:rsidRPr="001A00DB">
              <w:rPr>
                <w:rFonts w:asciiTheme="majorHAnsi" w:hAnsiTheme="majorHAnsi" w:cs="Arial"/>
                <w:b w:val="0"/>
                <w:sz w:val="20"/>
                <w:szCs w:val="20"/>
                <w:lang w:val="fr-FR"/>
              </w:rPr>
              <w:t xml:space="preserve"> </w:t>
            </w:r>
          </w:p>
          <w:p w14:paraId="74ADC350" w14:textId="77777777" w:rsidR="003B6083" w:rsidRPr="001A00DB" w:rsidRDefault="003B6083" w:rsidP="000B0E5D">
            <w:pPr>
              <w:keepNext/>
              <w:keepLines/>
              <w:rPr>
                <w:rFonts w:asciiTheme="majorHAnsi" w:hAnsiTheme="majorHAnsi" w:cs="Arial"/>
                <w:b w:val="0"/>
                <w:sz w:val="20"/>
                <w:szCs w:val="20"/>
                <w:lang w:val="fr-FR"/>
              </w:rPr>
            </w:pPr>
          </w:p>
          <w:p w14:paraId="492ADD42" w14:textId="48A95BA3" w:rsidR="003B6083" w:rsidRPr="001A00DB" w:rsidRDefault="005C7A49" w:rsidP="000B0E5D">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Comme élément important de cette tâche, le GEST, en collaboration avec le PNUE-WCMC, mettra à jour l’</w:t>
            </w:r>
            <w:r w:rsidR="00F81995" w:rsidRPr="001A00DB">
              <w:rPr>
                <w:rFonts w:asciiTheme="majorHAnsi" w:hAnsiTheme="majorHAnsi" w:cs="Arial"/>
                <w:b w:val="0"/>
                <w:sz w:val="20"/>
                <w:szCs w:val="20"/>
                <w:lang w:val="fr-FR"/>
              </w:rPr>
              <w:t>i</w:t>
            </w:r>
            <w:r w:rsidRPr="001A00DB">
              <w:rPr>
                <w:rFonts w:asciiTheme="majorHAnsi" w:hAnsiTheme="majorHAnsi" w:cs="Arial"/>
                <w:b w:val="0"/>
                <w:sz w:val="20"/>
                <w:szCs w:val="20"/>
                <w:lang w:val="fr-FR"/>
              </w:rPr>
              <w:t xml:space="preserve">ndice </w:t>
            </w:r>
            <w:r w:rsidR="00F81995" w:rsidRPr="001A00DB">
              <w:rPr>
                <w:rFonts w:asciiTheme="majorHAnsi" w:hAnsiTheme="majorHAnsi" w:cs="Arial"/>
                <w:b w:val="0"/>
                <w:sz w:val="20"/>
                <w:szCs w:val="20"/>
                <w:lang w:val="fr-FR"/>
              </w:rPr>
              <w:t xml:space="preserve">WET </w:t>
            </w:r>
            <w:r w:rsidRPr="001A00DB">
              <w:rPr>
                <w:rFonts w:asciiTheme="majorHAnsi" w:hAnsiTheme="majorHAnsi" w:cs="Arial"/>
                <w:b w:val="0"/>
                <w:sz w:val="20"/>
                <w:szCs w:val="20"/>
                <w:lang w:val="fr-FR"/>
              </w:rPr>
              <w:t>des tendances d</w:t>
            </w:r>
            <w:r w:rsidR="00B81559" w:rsidRPr="001A00DB">
              <w:rPr>
                <w:rFonts w:asciiTheme="majorHAnsi" w:hAnsiTheme="majorHAnsi" w:cs="Arial"/>
                <w:b w:val="0"/>
                <w:sz w:val="20"/>
                <w:szCs w:val="20"/>
                <w:lang w:val="fr-FR"/>
              </w:rPr>
              <w:t>e l</w:t>
            </w:r>
            <w:r w:rsidRPr="001A00DB">
              <w:rPr>
                <w:rFonts w:asciiTheme="majorHAnsi" w:hAnsiTheme="majorHAnsi" w:cs="Arial"/>
                <w:b w:val="0"/>
                <w:sz w:val="20"/>
                <w:szCs w:val="20"/>
                <w:lang w:val="fr-FR"/>
              </w:rPr>
              <w:t xml:space="preserve">’étendue des zones humides dirigé par Ramsar, afin de fournir une analyse des tendances </w:t>
            </w:r>
            <w:r w:rsidR="008E6B37" w:rsidRPr="001A00DB">
              <w:rPr>
                <w:rFonts w:asciiTheme="majorHAnsi" w:hAnsiTheme="majorHAnsi" w:cs="Arial"/>
                <w:b w:val="0"/>
                <w:sz w:val="20"/>
                <w:szCs w:val="20"/>
                <w:lang w:val="fr-FR"/>
              </w:rPr>
              <w:t xml:space="preserve">à partir de </w:t>
            </w:r>
            <w:r w:rsidRPr="001A00DB">
              <w:rPr>
                <w:rFonts w:asciiTheme="majorHAnsi" w:hAnsiTheme="majorHAnsi" w:cs="Arial"/>
                <w:b w:val="0"/>
                <w:sz w:val="20"/>
                <w:szCs w:val="20"/>
                <w:lang w:val="fr-FR"/>
              </w:rPr>
              <w:t>2008 et de corriger les lacunes et déséquilibres géographiques (surtout en Amérique latine et dans la région des Caraïbes) à partir de la preuve initiale de concept. En outre, l’analyse des données d</w:t>
            </w:r>
            <w:r w:rsidR="00F81995" w:rsidRPr="001A00DB">
              <w:rPr>
                <w:rFonts w:asciiTheme="majorHAnsi" w:hAnsiTheme="majorHAnsi" w:cs="Arial"/>
                <w:b w:val="0"/>
                <w:sz w:val="20"/>
                <w:szCs w:val="20"/>
                <w:lang w:val="fr-FR"/>
              </w:rPr>
              <w:t>e</w:t>
            </w:r>
            <w:r w:rsidRPr="001A00DB">
              <w:rPr>
                <w:rFonts w:asciiTheme="majorHAnsi" w:hAnsiTheme="majorHAnsi" w:cs="Arial"/>
                <w:b w:val="0"/>
                <w:sz w:val="20"/>
                <w:szCs w:val="20"/>
                <w:lang w:val="fr-FR"/>
              </w:rPr>
              <w:t xml:space="preserve"> </w:t>
            </w:r>
            <w:r w:rsidR="003B6083" w:rsidRPr="001A00DB">
              <w:rPr>
                <w:rFonts w:asciiTheme="majorHAnsi" w:hAnsiTheme="majorHAnsi" w:cs="Arial"/>
                <w:b w:val="0"/>
                <w:sz w:val="20"/>
                <w:szCs w:val="20"/>
                <w:lang w:val="fr-FR"/>
              </w:rPr>
              <w:t xml:space="preserve">Global Mangrove Watch </w:t>
            </w:r>
            <w:r w:rsidR="00F81995" w:rsidRPr="001A00DB">
              <w:rPr>
                <w:rFonts w:asciiTheme="majorHAnsi" w:hAnsiTheme="majorHAnsi" w:cs="Arial"/>
                <w:b w:val="0"/>
                <w:sz w:val="20"/>
                <w:szCs w:val="20"/>
                <w:lang w:val="fr-FR"/>
              </w:rPr>
              <w:t xml:space="preserve">produites </w:t>
            </w:r>
            <w:r w:rsidRPr="001A00DB">
              <w:rPr>
                <w:rFonts w:asciiTheme="majorHAnsi" w:hAnsiTheme="majorHAnsi" w:cs="Arial"/>
                <w:b w:val="0"/>
                <w:sz w:val="20"/>
                <w:szCs w:val="20"/>
                <w:lang w:val="fr-FR"/>
              </w:rPr>
              <w:t xml:space="preserve">par </w:t>
            </w:r>
            <w:r w:rsidR="003B6083" w:rsidRPr="001A00DB">
              <w:rPr>
                <w:rFonts w:asciiTheme="majorHAnsi" w:hAnsiTheme="majorHAnsi" w:cs="Arial"/>
                <w:b w:val="0"/>
                <w:sz w:val="20"/>
                <w:szCs w:val="20"/>
                <w:lang w:val="fr-FR"/>
              </w:rPr>
              <w:t xml:space="preserve">JAXA </w:t>
            </w:r>
            <w:r w:rsidRPr="001A00DB">
              <w:rPr>
                <w:rFonts w:asciiTheme="majorHAnsi" w:hAnsiTheme="majorHAnsi" w:cs="Arial"/>
                <w:b w:val="0"/>
                <w:sz w:val="20"/>
                <w:szCs w:val="20"/>
                <w:lang w:val="fr-FR"/>
              </w:rPr>
              <w:t>et</w:t>
            </w:r>
            <w:r w:rsidR="003B6083" w:rsidRPr="001A00DB">
              <w:rPr>
                <w:rFonts w:asciiTheme="majorHAnsi" w:hAnsiTheme="majorHAnsi" w:cs="Arial"/>
                <w:b w:val="0"/>
                <w:sz w:val="20"/>
                <w:szCs w:val="20"/>
                <w:lang w:val="fr-FR"/>
              </w:rPr>
              <w:t xml:space="preserve"> </w:t>
            </w:r>
            <w:r w:rsidR="00F81995" w:rsidRPr="001A00DB">
              <w:rPr>
                <w:rFonts w:asciiTheme="majorHAnsi" w:hAnsiTheme="majorHAnsi" w:cs="Arial"/>
                <w:b w:val="0"/>
                <w:sz w:val="20"/>
                <w:szCs w:val="20"/>
                <w:lang w:val="fr-FR"/>
              </w:rPr>
              <w:t xml:space="preserve">de </w:t>
            </w:r>
            <w:r w:rsidR="003B6083" w:rsidRPr="001A00DB">
              <w:rPr>
                <w:rFonts w:asciiTheme="majorHAnsi" w:hAnsiTheme="majorHAnsi" w:cs="Arial"/>
                <w:b w:val="0"/>
                <w:sz w:val="20"/>
                <w:szCs w:val="20"/>
                <w:lang w:val="fr-FR"/>
              </w:rPr>
              <w:t>GlobWetland Afri</w:t>
            </w:r>
            <w:r w:rsidRPr="001A00DB">
              <w:rPr>
                <w:rFonts w:asciiTheme="majorHAnsi" w:hAnsiTheme="majorHAnsi" w:cs="Arial"/>
                <w:b w:val="0"/>
                <w:sz w:val="20"/>
                <w:szCs w:val="20"/>
                <w:lang w:val="fr-FR"/>
              </w:rPr>
              <w:t>que produit</w:t>
            </w:r>
            <w:r w:rsidR="00414C93" w:rsidRPr="001A00DB">
              <w:rPr>
                <w:rFonts w:asciiTheme="majorHAnsi" w:hAnsiTheme="majorHAnsi" w:cs="Arial"/>
                <w:b w:val="0"/>
                <w:sz w:val="20"/>
                <w:szCs w:val="20"/>
                <w:lang w:val="fr-FR"/>
              </w:rPr>
              <w:t>e</w:t>
            </w:r>
            <w:r w:rsidR="00F81995"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 xml:space="preserve"> par l’ESA</w:t>
            </w:r>
            <w:r w:rsidR="003B6083"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voir aussi tâche </w:t>
            </w:r>
            <w:r w:rsidR="003B6083" w:rsidRPr="001A00DB">
              <w:rPr>
                <w:rFonts w:asciiTheme="majorHAnsi" w:hAnsiTheme="majorHAnsi" w:cs="Arial"/>
                <w:b w:val="0"/>
                <w:sz w:val="20"/>
                <w:szCs w:val="20"/>
                <w:lang w:val="fr-FR"/>
              </w:rPr>
              <w:t xml:space="preserve">1.1) </w:t>
            </w:r>
            <w:r w:rsidRPr="001A00DB">
              <w:rPr>
                <w:rFonts w:asciiTheme="majorHAnsi" w:hAnsiTheme="majorHAnsi" w:cs="Arial"/>
                <w:b w:val="0"/>
                <w:sz w:val="20"/>
                <w:szCs w:val="20"/>
                <w:lang w:val="fr-FR"/>
              </w:rPr>
              <w:t xml:space="preserve">apportera des contributions capitales au </w:t>
            </w:r>
            <w:r w:rsidR="003B6083"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o</w:t>
            </w:r>
            <w:r w:rsidR="003B6083" w:rsidRPr="001A00DB">
              <w:rPr>
                <w:rFonts w:asciiTheme="majorHAnsi" w:hAnsiTheme="majorHAnsi" w:cs="Arial"/>
                <w:b w:val="0"/>
                <w:sz w:val="20"/>
                <w:szCs w:val="20"/>
                <w:lang w:val="fr-FR"/>
              </w:rPr>
              <w:t xml:space="preserve">WWS. </w:t>
            </w:r>
          </w:p>
          <w:p w14:paraId="0C76F6EF" w14:textId="77777777" w:rsidR="003B6083" w:rsidRPr="001A00DB" w:rsidRDefault="003B6083" w:rsidP="000B0E5D">
            <w:pPr>
              <w:keepNext/>
              <w:keepLines/>
              <w:rPr>
                <w:rFonts w:asciiTheme="majorHAnsi" w:hAnsiTheme="majorHAnsi" w:cs="Arial"/>
                <w:b w:val="0"/>
                <w:sz w:val="20"/>
                <w:szCs w:val="20"/>
                <w:lang w:val="fr-FR"/>
              </w:rPr>
            </w:pPr>
          </w:p>
          <w:p w14:paraId="4AEBED04" w14:textId="2A4F5B3F" w:rsidR="003B6083" w:rsidRPr="001A00DB" w:rsidRDefault="00414C93" w:rsidP="000B0E5D">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w:t>
            </w:r>
            <w:r w:rsidR="005C7A49" w:rsidRPr="001A00DB">
              <w:rPr>
                <w:rFonts w:asciiTheme="majorHAnsi" w:hAnsiTheme="majorHAnsi" w:cs="Arial"/>
                <w:b w:val="0"/>
                <w:sz w:val="20"/>
                <w:szCs w:val="20"/>
                <w:u w:val="single"/>
                <w:lang w:val="fr-FR"/>
              </w:rPr>
              <w:t>compté(s)</w:t>
            </w:r>
            <w:r w:rsidR="005C7A49" w:rsidRPr="001A00DB">
              <w:rPr>
                <w:rFonts w:asciiTheme="majorHAnsi" w:hAnsiTheme="majorHAnsi" w:cs="Arial"/>
                <w:b w:val="0"/>
                <w:sz w:val="20"/>
                <w:szCs w:val="20"/>
                <w:lang w:val="fr-FR"/>
              </w:rPr>
              <w:t> </w:t>
            </w:r>
            <w:r w:rsidR="003B6083" w:rsidRPr="001A00DB">
              <w:rPr>
                <w:rFonts w:asciiTheme="majorHAnsi" w:hAnsiTheme="majorHAnsi" w:cs="Arial"/>
                <w:b w:val="0"/>
                <w:sz w:val="20"/>
                <w:szCs w:val="20"/>
                <w:lang w:val="fr-FR"/>
              </w:rPr>
              <w:t xml:space="preserve">: </w:t>
            </w:r>
            <w:r w:rsidR="005C7A49" w:rsidRPr="001A00DB">
              <w:rPr>
                <w:rFonts w:asciiTheme="majorHAnsi" w:hAnsiTheme="majorHAnsi" w:cs="Arial"/>
                <w:b w:val="0"/>
                <w:sz w:val="20"/>
                <w:szCs w:val="20"/>
                <w:lang w:val="fr-FR"/>
              </w:rPr>
              <w:t xml:space="preserve">Un rapport mondial avec des résultats </w:t>
            </w:r>
            <w:r w:rsidR="00F81995" w:rsidRPr="001A00DB">
              <w:rPr>
                <w:rFonts w:asciiTheme="majorHAnsi" w:hAnsiTheme="majorHAnsi" w:cs="Arial"/>
                <w:b w:val="0"/>
                <w:sz w:val="20"/>
                <w:szCs w:val="20"/>
                <w:lang w:val="fr-FR"/>
              </w:rPr>
              <w:t>adaptés à</w:t>
            </w:r>
            <w:r w:rsidR="005C7A49" w:rsidRPr="001A00DB">
              <w:rPr>
                <w:rFonts w:asciiTheme="majorHAnsi" w:hAnsiTheme="majorHAnsi" w:cs="Arial"/>
                <w:b w:val="0"/>
                <w:sz w:val="20"/>
                <w:szCs w:val="20"/>
                <w:lang w:val="fr-FR"/>
              </w:rPr>
              <w:t xml:space="preserve"> des publics spécifiques (p. ex., </w:t>
            </w:r>
            <w:r w:rsidR="00F81995" w:rsidRPr="001A00DB">
              <w:rPr>
                <w:rFonts w:asciiTheme="majorHAnsi" w:hAnsiTheme="majorHAnsi" w:cs="Arial"/>
                <w:b w:val="0"/>
                <w:sz w:val="20"/>
                <w:szCs w:val="20"/>
                <w:lang w:val="fr-FR"/>
              </w:rPr>
              <w:t>documents</w:t>
            </w:r>
            <w:r w:rsidR="005C7A49" w:rsidRPr="001A00DB">
              <w:rPr>
                <w:rFonts w:asciiTheme="majorHAnsi" w:hAnsiTheme="majorHAnsi" w:cs="Arial"/>
                <w:b w:val="0"/>
                <w:sz w:val="20"/>
                <w:szCs w:val="20"/>
                <w:lang w:val="fr-FR"/>
              </w:rPr>
              <w:t xml:space="preserve"> d’orientation</w:t>
            </w:r>
            <w:r w:rsidR="00F81995" w:rsidRPr="001A00DB">
              <w:rPr>
                <w:rFonts w:asciiTheme="majorHAnsi" w:hAnsiTheme="majorHAnsi" w:cs="Arial"/>
                <w:b w:val="0"/>
                <w:sz w:val="20"/>
                <w:szCs w:val="20"/>
                <w:lang w:val="fr-FR"/>
              </w:rPr>
              <w:t>,</w:t>
            </w:r>
            <w:r w:rsidR="005C7A49" w:rsidRPr="001A00DB">
              <w:rPr>
                <w:rFonts w:asciiTheme="majorHAnsi" w:hAnsiTheme="majorHAnsi" w:cs="Arial"/>
                <w:b w:val="0"/>
                <w:sz w:val="20"/>
                <w:szCs w:val="20"/>
                <w:lang w:val="fr-FR"/>
              </w:rPr>
              <w:t xml:space="preserve"> notes d’information), sous réserve des ressources disponibles. </w:t>
            </w:r>
          </w:p>
          <w:p w14:paraId="57F08326" w14:textId="77777777" w:rsidR="003B6083" w:rsidRPr="001A00DB" w:rsidRDefault="003B6083" w:rsidP="000B0E5D">
            <w:pPr>
              <w:keepNext/>
              <w:keepLines/>
              <w:rPr>
                <w:rFonts w:asciiTheme="majorHAnsi" w:hAnsiTheme="majorHAnsi" w:cs="Arial"/>
                <w:b w:val="0"/>
                <w:sz w:val="20"/>
                <w:szCs w:val="20"/>
                <w:lang w:val="fr-FR"/>
              </w:rPr>
            </w:pPr>
          </w:p>
          <w:p w14:paraId="40E43AB2" w14:textId="22B20CE1" w:rsidR="003B6083" w:rsidRPr="001A00DB" w:rsidRDefault="005C7A49" w:rsidP="005C7A49">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w:t>
            </w:r>
            <w:r w:rsidR="003B6083" w:rsidRPr="001A00DB">
              <w:rPr>
                <w:rFonts w:asciiTheme="majorHAnsi" w:hAnsiTheme="majorHAnsi" w:cs="Arial"/>
                <w:b w:val="0"/>
                <w:sz w:val="20"/>
                <w:szCs w:val="20"/>
                <w:u w:val="single"/>
                <w:lang w:val="fr-FR"/>
              </w:rPr>
              <w:t>(s)</w:t>
            </w:r>
            <w:r w:rsidRPr="001A00DB">
              <w:rPr>
                <w:rFonts w:asciiTheme="majorHAnsi" w:hAnsiTheme="majorHAnsi" w:cs="Arial"/>
                <w:b w:val="0"/>
                <w:sz w:val="20"/>
                <w:szCs w:val="20"/>
                <w:u w:val="single"/>
                <w:lang w:val="fr-FR"/>
              </w:rPr>
              <w:t xml:space="preserve"> ciblé(s)</w:t>
            </w:r>
            <w:r w:rsidRPr="001A00DB">
              <w:rPr>
                <w:rFonts w:asciiTheme="majorHAnsi" w:hAnsiTheme="majorHAnsi" w:cs="Arial"/>
                <w:b w:val="0"/>
                <w:sz w:val="20"/>
                <w:szCs w:val="20"/>
                <w:lang w:val="fr-FR"/>
              </w:rPr>
              <w:t xml:space="preserve"> </w:t>
            </w:r>
            <w:r w:rsidR="003B6083"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Décideurs et praticiens (administrateurs de zones humides et acteurs, y compris administrateurs d’aires protégées et centres</w:t>
            </w:r>
            <w:r w:rsidR="0093570F" w:rsidRPr="001A00DB">
              <w:rPr>
                <w:rFonts w:asciiTheme="majorHAnsi" w:hAnsiTheme="majorHAnsi" w:cs="Arial"/>
                <w:b w:val="0"/>
                <w:sz w:val="20"/>
                <w:szCs w:val="20"/>
                <w:lang w:val="fr-FR"/>
              </w:rPr>
              <w:t xml:space="preserve"> d’éducation aux zones humides).</w:t>
            </w:r>
          </w:p>
        </w:tc>
        <w:tc>
          <w:tcPr>
            <w:tcW w:w="0" w:type="auto"/>
          </w:tcPr>
          <w:p w14:paraId="0EAC9C1A" w14:textId="3144D88C" w:rsidR="003B6083" w:rsidRPr="001A00DB" w:rsidRDefault="003B6083" w:rsidP="000B0E5D">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137</w:t>
            </w:r>
            <w:r w:rsidR="005C7A49"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000 </w:t>
            </w:r>
          </w:p>
          <w:p w14:paraId="0EED5855" w14:textId="0174293F" w:rsidR="003B6083" w:rsidRPr="001A00DB" w:rsidRDefault="003B6083" w:rsidP="000B0E5D">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[67</w:t>
            </w:r>
            <w:r w:rsidR="005C7A49"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000 </w:t>
            </w:r>
            <w:r w:rsidR="005C7A49" w:rsidRPr="001A00DB">
              <w:rPr>
                <w:rFonts w:asciiTheme="majorHAnsi" w:hAnsiTheme="majorHAnsi" w:cs="Arial"/>
                <w:b w:val="0"/>
                <w:sz w:val="20"/>
                <w:szCs w:val="20"/>
                <w:lang w:val="fr-FR"/>
              </w:rPr>
              <w:t>pour la mise en pages, la conception, la révision, la traduction et la publication; 2</w:t>
            </w:r>
            <w:r w:rsidRPr="001A00DB">
              <w:rPr>
                <w:rFonts w:asciiTheme="majorHAnsi" w:hAnsiTheme="majorHAnsi" w:cs="Arial"/>
                <w:b w:val="0"/>
                <w:sz w:val="20"/>
                <w:szCs w:val="20"/>
                <w:lang w:val="fr-FR"/>
              </w:rPr>
              <w:t>0</w:t>
            </w:r>
            <w:r w:rsidR="005C7A49" w:rsidRPr="001A00DB">
              <w:rPr>
                <w:rFonts w:asciiTheme="majorHAnsi" w:hAnsiTheme="majorHAnsi" w:cs="Arial"/>
                <w:b w:val="0"/>
                <w:sz w:val="20"/>
                <w:szCs w:val="20"/>
                <w:lang w:val="fr-FR"/>
              </w:rPr>
              <w:t> </w:t>
            </w:r>
            <w:r w:rsidRPr="001A00DB">
              <w:rPr>
                <w:rFonts w:asciiTheme="majorHAnsi" w:hAnsiTheme="majorHAnsi" w:cs="Arial"/>
                <w:b w:val="0"/>
                <w:sz w:val="20"/>
                <w:szCs w:val="20"/>
                <w:lang w:val="fr-FR"/>
              </w:rPr>
              <w:t>0</w:t>
            </w:r>
            <w:r w:rsidR="005C7A49" w:rsidRPr="001A00DB">
              <w:rPr>
                <w:rFonts w:asciiTheme="majorHAnsi" w:hAnsiTheme="majorHAnsi" w:cs="Arial"/>
                <w:b w:val="0"/>
                <w:sz w:val="20"/>
                <w:szCs w:val="20"/>
                <w:lang w:val="fr-FR"/>
              </w:rPr>
              <w:t>00 pour les réunions d’auteurs; et 50 000 pour la mise à jour de l’</w:t>
            </w:r>
            <w:r w:rsidR="00F81995" w:rsidRPr="001A00DB">
              <w:rPr>
                <w:rFonts w:asciiTheme="majorHAnsi" w:hAnsiTheme="majorHAnsi" w:cs="Arial"/>
                <w:b w:val="0"/>
                <w:sz w:val="20"/>
                <w:szCs w:val="20"/>
                <w:lang w:val="fr-FR"/>
              </w:rPr>
              <w:t>i</w:t>
            </w:r>
            <w:r w:rsidR="005C7A49" w:rsidRPr="001A00DB">
              <w:rPr>
                <w:rFonts w:asciiTheme="majorHAnsi" w:hAnsiTheme="majorHAnsi" w:cs="Arial"/>
                <w:b w:val="0"/>
                <w:sz w:val="20"/>
                <w:szCs w:val="20"/>
                <w:lang w:val="fr-FR"/>
              </w:rPr>
              <w:t>ndice WET</w:t>
            </w:r>
            <w:r w:rsidRPr="001A00DB">
              <w:rPr>
                <w:rFonts w:asciiTheme="majorHAnsi" w:hAnsiTheme="majorHAnsi" w:cs="Arial"/>
                <w:b w:val="0"/>
                <w:sz w:val="20"/>
                <w:szCs w:val="20"/>
                <w:lang w:val="fr-FR"/>
              </w:rPr>
              <w:t>]</w:t>
            </w:r>
          </w:p>
          <w:p w14:paraId="426261E9" w14:textId="77777777" w:rsidR="003B6083" w:rsidRPr="001A00DB" w:rsidRDefault="003B6083" w:rsidP="000B0E5D">
            <w:pPr>
              <w:keepNext/>
              <w:keepLines/>
              <w:rPr>
                <w:rFonts w:asciiTheme="majorHAnsi" w:hAnsiTheme="majorHAnsi" w:cs="Arial"/>
                <w:b w:val="0"/>
                <w:sz w:val="20"/>
                <w:szCs w:val="20"/>
                <w:lang w:val="fr-FR"/>
              </w:rPr>
            </w:pPr>
          </w:p>
        </w:tc>
      </w:tr>
      <w:tr w:rsidR="00ED4DA2" w:rsidRPr="00E7362F" w14:paraId="3372BA7C" w14:textId="77777777" w:rsidTr="007A5771">
        <w:tc>
          <w:tcPr>
            <w:tcW w:w="0" w:type="auto"/>
          </w:tcPr>
          <w:p w14:paraId="336118BA" w14:textId="441B339A" w:rsidR="003B6083" w:rsidRPr="001A00DB" w:rsidRDefault="00676F53" w:rsidP="00676F53">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Répondre à des demandes d’avis ou de contributions du Secrétariat et </w:t>
            </w:r>
            <w:r w:rsidRPr="001A00DB">
              <w:rPr>
                <w:rFonts w:asciiTheme="majorHAnsi" w:hAnsiTheme="majorHAnsi" w:cs="Arial"/>
                <w:b w:val="0"/>
                <w:sz w:val="20"/>
                <w:szCs w:val="20"/>
                <w:lang w:val="fr-FR"/>
              </w:rPr>
              <w:lastRenderedPageBreak/>
              <w:t xml:space="preserve">du Comité permanent </w:t>
            </w:r>
          </w:p>
        </w:tc>
        <w:tc>
          <w:tcPr>
            <w:tcW w:w="0" w:type="auto"/>
          </w:tcPr>
          <w:p w14:paraId="2EFE6BF1" w14:textId="3CA8DA04" w:rsidR="003B6083" w:rsidRPr="001A00DB" w:rsidRDefault="003B6083" w:rsidP="004B32FB">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 xml:space="preserve">XII.5, </w:t>
            </w:r>
            <w:r w:rsidR="004B32FB" w:rsidRPr="001A00DB">
              <w:rPr>
                <w:rFonts w:asciiTheme="majorHAnsi" w:hAnsiTheme="majorHAnsi" w:cs="Arial"/>
                <w:b w:val="0"/>
                <w:sz w:val="20"/>
                <w:szCs w:val="20"/>
                <w:lang w:val="fr-FR"/>
              </w:rPr>
              <w:t>a</w:t>
            </w:r>
            <w:r w:rsidRPr="001A00DB">
              <w:rPr>
                <w:rFonts w:asciiTheme="majorHAnsi" w:hAnsiTheme="majorHAnsi" w:cs="Arial"/>
                <w:b w:val="0"/>
                <w:sz w:val="20"/>
                <w:szCs w:val="20"/>
                <w:lang w:val="fr-FR"/>
              </w:rPr>
              <w:t>nnex</w:t>
            </w:r>
            <w:r w:rsidR="00676F53" w:rsidRPr="001A00DB">
              <w:rPr>
                <w:rFonts w:asciiTheme="majorHAnsi" w:hAnsiTheme="majorHAnsi" w:cs="Arial"/>
                <w:b w:val="0"/>
                <w:sz w:val="20"/>
                <w:szCs w:val="20"/>
                <w:lang w:val="fr-FR"/>
              </w:rPr>
              <w:t>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 xml:space="preserve">¶¶ 1-2; 12 </w:t>
            </w:r>
            <w:r w:rsidRPr="001A00DB">
              <w:rPr>
                <w:rFonts w:ascii="Calibri" w:hAnsi="Calibri" w:cs="Arial"/>
                <w:b w:val="0"/>
                <w:sz w:val="20"/>
                <w:szCs w:val="20"/>
                <w:lang w:val="fr-FR"/>
              </w:rPr>
              <w:lastRenderedPageBreak/>
              <w:t>(iii), (v); 15</w:t>
            </w:r>
          </w:p>
        </w:tc>
        <w:tc>
          <w:tcPr>
            <w:tcW w:w="0" w:type="auto"/>
          </w:tcPr>
          <w:p w14:paraId="717FC441" w14:textId="77777777" w:rsidR="003B6083" w:rsidRPr="001A00DB" w:rsidRDefault="003B608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4.14</w:t>
            </w:r>
          </w:p>
        </w:tc>
        <w:tc>
          <w:tcPr>
            <w:tcW w:w="0" w:type="auto"/>
          </w:tcPr>
          <w:p w14:paraId="4D98EB4C" w14:textId="242D47AB" w:rsidR="003B6083" w:rsidRPr="001A00DB" w:rsidRDefault="00676F53" w:rsidP="00506C10">
            <w:pPr>
              <w:rPr>
                <w:rFonts w:asciiTheme="majorHAnsi" w:hAnsiTheme="majorHAnsi" w:cs="Arial"/>
                <w:sz w:val="20"/>
                <w:szCs w:val="20"/>
                <w:lang w:val="fr-FR"/>
              </w:rPr>
            </w:pPr>
            <w:r w:rsidRPr="001A00DB">
              <w:rPr>
                <w:rFonts w:asciiTheme="majorHAnsi" w:hAnsiTheme="majorHAnsi" w:cs="Arial"/>
                <w:b w:val="0"/>
                <w:sz w:val="20"/>
                <w:szCs w:val="20"/>
                <w:lang w:val="fr-FR"/>
              </w:rPr>
              <w:t>Cela peut comprendre, entre autres, des avis au Secrétariat sur le Programme de CESP, les indicateurs du 4</w:t>
            </w:r>
            <w:r w:rsidRPr="001A00DB">
              <w:rPr>
                <w:rFonts w:asciiTheme="majorHAnsi" w:hAnsiTheme="majorHAnsi" w:cs="Arial"/>
                <w:b w:val="0"/>
                <w:sz w:val="20"/>
                <w:szCs w:val="20"/>
                <w:vertAlign w:val="superscript"/>
                <w:lang w:val="fr-FR"/>
              </w:rPr>
              <w:t>e</w:t>
            </w:r>
            <w:r w:rsidRPr="001A00DB">
              <w:rPr>
                <w:rFonts w:asciiTheme="majorHAnsi" w:hAnsiTheme="majorHAnsi" w:cs="Arial"/>
                <w:b w:val="0"/>
                <w:sz w:val="20"/>
                <w:szCs w:val="20"/>
                <w:lang w:val="fr-FR"/>
              </w:rPr>
              <w:t xml:space="preserve"> Plan stratégique, la </w:t>
            </w:r>
            <w:r w:rsidRPr="001A00DB">
              <w:rPr>
                <w:rFonts w:asciiTheme="majorHAnsi" w:hAnsiTheme="majorHAnsi" w:cs="Arial"/>
                <w:b w:val="0"/>
                <w:sz w:val="20"/>
                <w:szCs w:val="20"/>
                <w:lang w:val="fr-FR"/>
              </w:rPr>
              <w:lastRenderedPageBreak/>
              <w:t>révision des Manuels Ramsar</w:t>
            </w:r>
            <w:r w:rsidR="008E6B37" w:rsidRPr="001A00DB">
              <w:rPr>
                <w:rFonts w:asciiTheme="majorHAnsi" w:hAnsiTheme="majorHAnsi" w:cs="Arial"/>
                <w:b w:val="0"/>
                <w:sz w:val="20"/>
                <w:szCs w:val="20"/>
                <w:lang w:val="fr-FR"/>
              </w:rPr>
              <w:t>,</w:t>
            </w:r>
            <w:r w:rsidR="00506C10" w:rsidRPr="001A00DB">
              <w:rPr>
                <w:rFonts w:asciiTheme="majorHAnsi" w:hAnsiTheme="majorHAnsi" w:cs="Arial"/>
                <w:b w:val="0"/>
                <w:sz w:val="20"/>
                <w:szCs w:val="20"/>
                <w:lang w:val="fr-FR"/>
              </w:rPr>
              <w:t xml:space="preserve"> la participation au</w:t>
            </w:r>
            <w:r w:rsidRPr="001A00DB">
              <w:rPr>
                <w:rFonts w:asciiTheme="majorHAnsi" w:hAnsiTheme="majorHAnsi" w:cs="Arial"/>
                <w:b w:val="0"/>
                <w:sz w:val="20"/>
                <w:szCs w:val="20"/>
                <w:lang w:val="fr-FR"/>
              </w:rPr>
              <w:t xml:space="preserve"> développement du Système mondial d’observation des zones humides </w:t>
            </w:r>
            <w:r w:rsidR="003B6083" w:rsidRPr="001A00DB">
              <w:rPr>
                <w:rFonts w:asciiTheme="majorHAnsi" w:hAnsiTheme="majorHAnsi" w:cs="Arial"/>
                <w:b w:val="0"/>
                <w:sz w:val="20"/>
                <w:szCs w:val="20"/>
                <w:lang w:val="fr-FR"/>
              </w:rPr>
              <w:t xml:space="preserve">(GWOS), </w:t>
            </w:r>
            <w:r w:rsidRPr="001A00DB">
              <w:rPr>
                <w:rFonts w:asciiTheme="majorHAnsi" w:hAnsiTheme="majorHAnsi" w:cs="Arial"/>
                <w:b w:val="0"/>
                <w:sz w:val="20"/>
                <w:szCs w:val="20"/>
                <w:lang w:val="fr-FR"/>
              </w:rPr>
              <w:t xml:space="preserve">la </w:t>
            </w:r>
            <w:r w:rsidR="003B6083" w:rsidRPr="001A00DB">
              <w:rPr>
                <w:rFonts w:asciiTheme="majorHAnsi" w:hAnsiTheme="majorHAnsi" w:cs="Arial"/>
                <w:b w:val="0"/>
                <w:sz w:val="20"/>
                <w:szCs w:val="20"/>
                <w:lang w:val="fr-FR"/>
              </w:rPr>
              <w:t xml:space="preserve">collaboration </w:t>
            </w:r>
            <w:r w:rsidRPr="001A00DB">
              <w:rPr>
                <w:rFonts w:asciiTheme="majorHAnsi" w:hAnsiTheme="majorHAnsi" w:cs="Arial"/>
                <w:b w:val="0"/>
                <w:sz w:val="20"/>
                <w:szCs w:val="20"/>
                <w:lang w:val="fr-FR"/>
              </w:rPr>
              <w:t xml:space="preserve">avec le Partenariat pour l’environnement et la prévention des risques de catastrophe </w:t>
            </w:r>
            <w:r w:rsidR="003B6083" w:rsidRPr="001A00DB">
              <w:rPr>
                <w:rFonts w:asciiTheme="majorHAnsi" w:hAnsiTheme="majorHAnsi" w:cs="Arial"/>
                <w:b w:val="0"/>
                <w:sz w:val="20"/>
                <w:szCs w:val="20"/>
                <w:lang w:val="fr-FR"/>
              </w:rPr>
              <w:t>(PE</w:t>
            </w:r>
            <w:r w:rsidRPr="001A00DB">
              <w:rPr>
                <w:rFonts w:asciiTheme="majorHAnsi" w:hAnsiTheme="majorHAnsi" w:cs="Arial"/>
                <w:b w:val="0"/>
                <w:sz w:val="20"/>
                <w:szCs w:val="20"/>
                <w:lang w:val="fr-FR"/>
              </w:rPr>
              <w:t>PRC</w:t>
            </w:r>
            <w:r w:rsidR="003B6083"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et la simplification et la reformulation des orientations existantes sur la gestion des Sites Ramsar pour la production d’un manuel simplifié, etc. </w:t>
            </w:r>
          </w:p>
        </w:tc>
        <w:tc>
          <w:tcPr>
            <w:tcW w:w="0" w:type="auto"/>
          </w:tcPr>
          <w:p w14:paraId="7E879BD8" w14:textId="7BF16C02" w:rsidR="003B6083" w:rsidRPr="001A00DB" w:rsidRDefault="00676F53" w:rsidP="00676F53">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 xml:space="preserve">Pas d’incidences financières pour le budget du GEST. Les avis sont </w:t>
            </w:r>
            <w:r w:rsidRPr="001A00DB">
              <w:rPr>
                <w:rFonts w:asciiTheme="majorHAnsi" w:hAnsiTheme="majorHAnsi" w:cs="Arial"/>
                <w:b w:val="0"/>
                <w:sz w:val="20"/>
                <w:szCs w:val="20"/>
                <w:lang w:val="fr-FR"/>
              </w:rPr>
              <w:lastRenderedPageBreak/>
              <w:t xml:space="preserve">fournis à titre bénévole. </w:t>
            </w:r>
          </w:p>
        </w:tc>
      </w:tr>
      <w:tr w:rsidR="00ED4DA2" w:rsidRPr="00E7362F" w14:paraId="74DED2E0" w14:textId="77777777" w:rsidTr="007A5771">
        <w:tc>
          <w:tcPr>
            <w:tcW w:w="0" w:type="auto"/>
          </w:tcPr>
          <w:p w14:paraId="5368FB31" w14:textId="48964FE1" w:rsidR="003B6083" w:rsidRPr="001A00DB" w:rsidRDefault="00676F5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Rédaction ou participation à la rédaction de projets de résolution</w:t>
            </w:r>
            <w:r w:rsidR="00C8217C"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 xml:space="preserve"> </w:t>
            </w:r>
          </w:p>
          <w:p w14:paraId="7D795FF6" w14:textId="77777777" w:rsidR="003B6083" w:rsidRPr="001A00DB" w:rsidRDefault="003B6083" w:rsidP="007A5771">
            <w:pPr>
              <w:rPr>
                <w:rFonts w:asciiTheme="majorHAnsi" w:hAnsiTheme="majorHAnsi" w:cs="Arial"/>
                <w:b w:val="0"/>
                <w:sz w:val="20"/>
                <w:szCs w:val="20"/>
                <w:lang w:val="fr-FR"/>
              </w:rPr>
            </w:pPr>
          </w:p>
        </w:tc>
        <w:tc>
          <w:tcPr>
            <w:tcW w:w="0" w:type="auto"/>
          </w:tcPr>
          <w:p w14:paraId="3463666A" w14:textId="52245471" w:rsidR="003B6083" w:rsidRPr="001A00DB" w:rsidRDefault="003B6083" w:rsidP="007A5771">
            <w:pPr>
              <w:rPr>
                <w:rFonts w:asciiTheme="majorHAnsi" w:hAnsiTheme="majorHAnsi" w:cs="Arial"/>
                <w:sz w:val="20"/>
                <w:szCs w:val="20"/>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 1-2, 12 (iii)</w:t>
            </w:r>
          </w:p>
        </w:tc>
        <w:tc>
          <w:tcPr>
            <w:tcW w:w="0" w:type="auto"/>
          </w:tcPr>
          <w:p w14:paraId="645CC8B2" w14:textId="77777777" w:rsidR="003B6083" w:rsidRPr="001A00DB" w:rsidRDefault="003B6083" w:rsidP="007A5771">
            <w:pPr>
              <w:rPr>
                <w:rFonts w:asciiTheme="majorHAnsi" w:hAnsiTheme="majorHAnsi" w:cs="Arial"/>
                <w:sz w:val="20"/>
                <w:szCs w:val="20"/>
                <w:lang w:val="fr-FR"/>
              </w:rPr>
            </w:pPr>
            <w:r w:rsidRPr="001A00DB">
              <w:rPr>
                <w:rFonts w:asciiTheme="majorHAnsi" w:hAnsiTheme="majorHAnsi" w:cs="Arial"/>
                <w:b w:val="0"/>
                <w:sz w:val="20"/>
                <w:szCs w:val="20"/>
                <w:lang w:val="fr-FR"/>
              </w:rPr>
              <w:t>4.14</w:t>
            </w:r>
          </w:p>
        </w:tc>
        <w:tc>
          <w:tcPr>
            <w:tcW w:w="0" w:type="auto"/>
          </w:tcPr>
          <w:p w14:paraId="568C4CD9" w14:textId="49833ECF" w:rsidR="003B6083" w:rsidRPr="001A00DB" w:rsidRDefault="00676F53" w:rsidP="00676F53">
            <w:pPr>
              <w:rPr>
                <w:rFonts w:asciiTheme="majorHAnsi" w:hAnsiTheme="majorHAnsi" w:cs="Arial"/>
                <w:sz w:val="20"/>
                <w:szCs w:val="20"/>
                <w:lang w:val="fr-FR"/>
              </w:rPr>
            </w:pPr>
            <w:r w:rsidRPr="001A00DB">
              <w:rPr>
                <w:rFonts w:asciiTheme="majorHAnsi" w:hAnsiTheme="majorHAnsi" w:cs="Arial"/>
                <w:b w:val="0"/>
                <w:sz w:val="20"/>
                <w:szCs w:val="20"/>
                <w:lang w:val="fr-FR"/>
              </w:rPr>
              <w:t>Le GEST peut rédiger, à la demande des Parties contractantes, un projet de résolution ou fournir une contribution à des projets de résolution</w:t>
            </w:r>
            <w:r w:rsidR="00C8217C"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 xml:space="preserve"> soumis à la COP par les Parties contractantes. </w:t>
            </w:r>
          </w:p>
        </w:tc>
        <w:tc>
          <w:tcPr>
            <w:tcW w:w="0" w:type="auto"/>
          </w:tcPr>
          <w:p w14:paraId="5F6D0828" w14:textId="2113B0A0" w:rsidR="003B6083" w:rsidRPr="001A00DB" w:rsidRDefault="00676F5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Pas d’incidences financières pour le budget du GEST. Les avis sont fournis à titre bénévole</w:t>
            </w:r>
            <w:r w:rsidR="003B6083" w:rsidRPr="001A00DB">
              <w:rPr>
                <w:rFonts w:asciiTheme="majorHAnsi" w:hAnsiTheme="majorHAnsi" w:cs="Arial"/>
                <w:b w:val="0"/>
                <w:sz w:val="20"/>
                <w:szCs w:val="20"/>
                <w:lang w:val="fr-FR"/>
              </w:rPr>
              <w:t>.</w:t>
            </w:r>
          </w:p>
        </w:tc>
      </w:tr>
      <w:tr w:rsidR="00ED4DA2" w:rsidRPr="00E7362F" w14:paraId="7EE23F0A" w14:textId="77777777" w:rsidTr="007A5771">
        <w:tc>
          <w:tcPr>
            <w:tcW w:w="0" w:type="auto"/>
          </w:tcPr>
          <w:p w14:paraId="234CCE3E" w14:textId="102E3057" w:rsidR="003B6083" w:rsidRPr="001A00DB" w:rsidRDefault="00ED4DA2" w:rsidP="00C8217C">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Répondre aux demandes </w:t>
            </w:r>
            <w:r w:rsidR="00C8217C" w:rsidRPr="001A00DB">
              <w:rPr>
                <w:rFonts w:asciiTheme="majorHAnsi" w:hAnsiTheme="majorHAnsi" w:cs="Arial"/>
                <w:b w:val="0"/>
                <w:sz w:val="20"/>
                <w:szCs w:val="20"/>
                <w:lang w:val="fr-FR"/>
              </w:rPr>
              <w:t xml:space="preserve">d’avis, </w:t>
            </w:r>
            <w:r w:rsidRPr="001A00DB">
              <w:rPr>
                <w:rFonts w:asciiTheme="majorHAnsi" w:hAnsiTheme="majorHAnsi" w:cs="Arial"/>
                <w:b w:val="0"/>
                <w:sz w:val="20"/>
                <w:szCs w:val="20"/>
                <w:lang w:val="fr-FR"/>
              </w:rPr>
              <w:t>nationales ou régionales</w:t>
            </w:r>
            <w:r w:rsidR="00C8217C"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 xml:space="preserve"> des Parties contractantes </w:t>
            </w:r>
          </w:p>
        </w:tc>
        <w:tc>
          <w:tcPr>
            <w:tcW w:w="0" w:type="auto"/>
          </w:tcPr>
          <w:p w14:paraId="5490E588" w14:textId="5CB789BF" w:rsidR="003B6083" w:rsidRPr="001A00DB" w:rsidRDefault="00ED4DA2" w:rsidP="007A5771">
            <w:pPr>
              <w:rPr>
                <w:rFonts w:asciiTheme="majorHAnsi" w:hAnsiTheme="majorHAnsi" w:cs="Arial"/>
                <w:sz w:val="20"/>
                <w:szCs w:val="20"/>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w:t>
            </w:r>
            <w:r w:rsidR="003B6083" w:rsidRPr="001A00DB">
              <w:rPr>
                <w:rFonts w:asciiTheme="majorHAnsi" w:hAnsiTheme="majorHAnsi" w:cs="Arial"/>
                <w:b w:val="0"/>
                <w:sz w:val="20"/>
                <w:szCs w:val="20"/>
                <w:lang w:val="fr-FR"/>
              </w:rPr>
              <w:t xml:space="preserve">1, </w:t>
            </w:r>
            <w:r w:rsidR="003B6083" w:rsidRPr="001A00DB">
              <w:rPr>
                <w:rFonts w:ascii="Calibri" w:hAnsi="Calibri" w:cs="Arial"/>
                <w:b w:val="0"/>
                <w:sz w:val="20"/>
                <w:szCs w:val="20"/>
                <w:lang w:val="fr-FR"/>
              </w:rPr>
              <w:t>¶¶ 2, 59</w:t>
            </w:r>
          </w:p>
        </w:tc>
        <w:tc>
          <w:tcPr>
            <w:tcW w:w="0" w:type="auto"/>
          </w:tcPr>
          <w:p w14:paraId="55C27769" w14:textId="77777777" w:rsidR="003B6083" w:rsidRPr="001A00DB" w:rsidRDefault="003B6083" w:rsidP="007A5771">
            <w:pPr>
              <w:rPr>
                <w:rFonts w:asciiTheme="majorHAnsi" w:hAnsiTheme="majorHAnsi" w:cs="Arial"/>
                <w:sz w:val="20"/>
                <w:szCs w:val="20"/>
                <w:lang w:val="fr-FR"/>
              </w:rPr>
            </w:pPr>
            <w:r w:rsidRPr="001A00DB">
              <w:rPr>
                <w:rFonts w:asciiTheme="majorHAnsi" w:hAnsiTheme="majorHAnsi" w:cs="Arial"/>
                <w:b w:val="0"/>
                <w:sz w:val="20"/>
                <w:szCs w:val="20"/>
                <w:lang w:val="fr-FR"/>
              </w:rPr>
              <w:t>4.14</w:t>
            </w:r>
          </w:p>
        </w:tc>
        <w:tc>
          <w:tcPr>
            <w:tcW w:w="0" w:type="auto"/>
          </w:tcPr>
          <w:p w14:paraId="206BCB4B" w14:textId="5045F54A" w:rsidR="003B6083" w:rsidRPr="001A00DB" w:rsidRDefault="00ED4DA2" w:rsidP="00ED4DA2">
            <w:pPr>
              <w:rPr>
                <w:rFonts w:asciiTheme="majorHAnsi" w:hAnsiTheme="majorHAnsi" w:cs="Arial"/>
                <w:sz w:val="20"/>
                <w:szCs w:val="20"/>
                <w:lang w:val="fr-FR"/>
              </w:rPr>
            </w:pPr>
            <w:r w:rsidRPr="001A00DB">
              <w:rPr>
                <w:rFonts w:asciiTheme="majorHAnsi" w:hAnsiTheme="majorHAnsi" w:cs="Arial"/>
                <w:b w:val="0"/>
                <w:sz w:val="20"/>
                <w:szCs w:val="20"/>
                <w:lang w:val="fr-FR"/>
              </w:rPr>
              <w:t>Le GEST peut, s’il y a lieu, fournir des avis aux Parties contractantes qui le lui demandent.</w:t>
            </w:r>
          </w:p>
        </w:tc>
        <w:tc>
          <w:tcPr>
            <w:tcW w:w="0" w:type="auto"/>
          </w:tcPr>
          <w:p w14:paraId="6262AF0C" w14:textId="3E9A7FCD" w:rsidR="003B6083" w:rsidRPr="001A00DB" w:rsidRDefault="00676F5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Pas d’incidences financières pour le budget du GEST. Les avis sont fournis à titre bénévole</w:t>
            </w:r>
            <w:r w:rsidR="003B6083" w:rsidRPr="001A00DB">
              <w:rPr>
                <w:rFonts w:asciiTheme="majorHAnsi" w:hAnsiTheme="majorHAnsi" w:cs="Arial"/>
                <w:b w:val="0"/>
                <w:sz w:val="20"/>
                <w:szCs w:val="20"/>
                <w:lang w:val="fr-FR"/>
              </w:rPr>
              <w:t>.</w:t>
            </w:r>
          </w:p>
        </w:tc>
      </w:tr>
      <w:tr w:rsidR="00ED4DA2" w:rsidRPr="00E7362F" w14:paraId="356C4B98" w14:textId="77777777" w:rsidTr="007A5771">
        <w:tc>
          <w:tcPr>
            <w:tcW w:w="0" w:type="auto"/>
          </w:tcPr>
          <w:p w14:paraId="4899611D" w14:textId="2319E9CA" w:rsidR="003B6083" w:rsidRPr="001A00DB" w:rsidRDefault="00ED4DA2"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Missions consultatives </w:t>
            </w:r>
            <w:r w:rsidR="003B6083" w:rsidRPr="001A00DB">
              <w:rPr>
                <w:rFonts w:asciiTheme="majorHAnsi" w:hAnsiTheme="majorHAnsi" w:cs="Arial"/>
                <w:b w:val="0"/>
                <w:sz w:val="20"/>
                <w:szCs w:val="20"/>
                <w:lang w:val="fr-FR"/>
              </w:rPr>
              <w:t xml:space="preserve">Ramsar </w:t>
            </w:r>
          </w:p>
          <w:p w14:paraId="3F2F6064" w14:textId="77777777" w:rsidR="003B6083" w:rsidRPr="001A00DB" w:rsidRDefault="003B6083" w:rsidP="007A5771">
            <w:pPr>
              <w:rPr>
                <w:rFonts w:asciiTheme="majorHAnsi" w:hAnsiTheme="majorHAnsi" w:cs="Arial"/>
                <w:b w:val="0"/>
                <w:sz w:val="20"/>
                <w:szCs w:val="20"/>
                <w:lang w:val="fr-FR"/>
              </w:rPr>
            </w:pPr>
          </w:p>
        </w:tc>
        <w:tc>
          <w:tcPr>
            <w:tcW w:w="0" w:type="auto"/>
          </w:tcPr>
          <w:p w14:paraId="1791A16A" w14:textId="253C3EA8" w:rsidR="003B6083" w:rsidRPr="001A00DB" w:rsidRDefault="003B6083" w:rsidP="007A5771">
            <w:pPr>
              <w:rPr>
                <w:rFonts w:asciiTheme="majorHAnsi" w:hAnsiTheme="majorHAnsi" w:cs="Arial"/>
                <w:sz w:val="20"/>
                <w:szCs w:val="20"/>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 xml:space="preserve">¶¶ 1-2, 12 </w:t>
            </w:r>
          </w:p>
        </w:tc>
        <w:tc>
          <w:tcPr>
            <w:tcW w:w="0" w:type="auto"/>
          </w:tcPr>
          <w:p w14:paraId="48EA251E" w14:textId="77777777" w:rsidR="003B6083" w:rsidRPr="001A00DB" w:rsidRDefault="003B6083" w:rsidP="007A5771">
            <w:pPr>
              <w:rPr>
                <w:rFonts w:asciiTheme="majorHAnsi" w:hAnsiTheme="majorHAnsi" w:cs="Arial"/>
                <w:sz w:val="20"/>
                <w:szCs w:val="20"/>
                <w:lang w:val="fr-FR"/>
              </w:rPr>
            </w:pPr>
            <w:r w:rsidRPr="001A00DB">
              <w:rPr>
                <w:rFonts w:asciiTheme="majorHAnsi" w:hAnsiTheme="majorHAnsi" w:cs="Arial"/>
                <w:b w:val="0"/>
                <w:sz w:val="20"/>
                <w:szCs w:val="20"/>
                <w:lang w:val="fr-FR"/>
              </w:rPr>
              <w:t>2.5, 2.7, 4.14</w:t>
            </w:r>
          </w:p>
        </w:tc>
        <w:tc>
          <w:tcPr>
            <w:tcW w:w="0" w:type="auto"/>
          </w:tcPr>
          <w:p w14:paraId="599EBFEC" w14:textId="6184C34F" w:rsidR="003B6083" w:rsidRPr="001A00DB" w:rsidRDefault="00ED4DA2" w:rsidP="00C8217C">
            <w:pPr>
              <w:rPr>
                <w:rFonts w:asciiTheme="majorHAnsi" w:hAnsiTheme="majorHAnsi" w:cs="Arial"/>
                <w:sz w:val="20"/>
                <w:szCs w:val="20"/>
                <w:lang w:val="fr-FR"/>
              </w:rPr>
            </w:pPr>
            <w:r w:rsidRPr="001A00DB">
              <w:rPr>
                <w:rFonts w:asciiTheme="majorHAnsi" w:hAnsiTheme="majorHAnsi" w:cs="Arial"/>
                <w:b w:val="0"/>
                <w:sz w:val="20"/>
                <w:szCs w:val="20"/>
                <w:lang w:val="fr-FR"/>
              </w:rPr>
              <w:t xml:space="preserve">Les experts </w:t>
            </w:r>
            <w:r w:rsidR="00485A40" w:rsidRPr="001A00DB">
              <w:rPr>
                <w:rFonts w:asciiTheme="majorHAnsi" w:hAnsiTheme="majorHAnsi" w:cs="Arial"/>
                <w:b w:val="0"/>
                <w:sz w:val="20"/>
                <w:szCs w:val="20"/>
                <w:lang w:val="fr-FR"/>
              </w:rPr>
              <w:t xml:space="preserve">du GEST peuvent participer aux </w:t>
            </w:r>
            <w:r w:rsidR="00C8217C" w:rsidRPr="001A00DB">
              <w:rPr>
                <w:rFonts w:asciiTheme="majorHAnsi" w:hAnsiTheme="majorHAnsi" w:cs="Arial"/>
                <w:b w:val="0"/>
                <w:sz w:val="20"/>
                <w:szCs w:val="20"/>
                <w:lang w:val="fr-FR"/>
              </w:rPr>
              <w:t>M</w:t>
            </w:r>
            <w:r w:rsidRPr="001A00DB">
              <w:rPr>
                <w:rFonts w:asciiTheme="majorHAnsi" w:hAnsiTheme="majorHAnsi" w:cs="Arial"/>
                <w:b w:val="0"/>
                <w:sz w:val="20"/>
                <w:szCs w:val="20"/>
                <w:lang w:val="fr-FR"/>
              </w:rPr>
              <w:t>issions consultatives Ramsar lorsqu’ils en sont priés et s’il y a des fonds disponibles dans le budget du Secrétariat pour couvrir les dépenses de voyage.</w:t>
            </w:r>
            <w:r w:rsidR="003B6083" w:rsidRPr="001A00DB">
              <w:rPr>
                <w:rFonts w:asciiTheme="majorHAnsi" w:hAnsiTheme="majorHAnsi" w:cs="Arial"/>
                <w:b w:val="0"/>
                <w:sz w:val="20"/>
                <w:szCs w:val="20"/>
                <w:lang w:val="fr-FR"/>
              </w:rPr>
              <w:t xml:space="preserve"> </w:t>
            </w:r>
          </w:p>
        </w:tc>
        <w:tc>
          <w:tcPr>
            <w:tcW w:w="0" w:type="auto"/>
          </w:tcPr>
          <w:p w14:paraId="3A359A46" w14:textId="6A3F0902" w:rsidR="003B6083" w:rsidRPr="001A00DB" w:rsidRDefault="00676F53" w:rsidP="007A5771">
            <w:pPr>
              <w:rPr>
                <w:rFonts w:asciiTheme="majorHAnsi" w:hAnsiTheme="majorHAnsi" w:cs="Arial"/>
                <w:sz w:val="20"/>
                <w:szCs w:val="20"/>
                <w:lang w:val="fr-FR"/>
              </w:rPr>
            </w:pPr>
            <w:r w:rsidRPr="001A00DB">
              <w:rPr>
                <w:rFonts w:asciiTheme="majorHAnsi" w:hAnsiTheme="majorHAnsi" w:cs="Arial"/>
                <w:b w:val="0"/>
                <w:sz w:val="20"/>
                <w:szCs w:val="20"/>
                <w:lang w:val="fr-FR"/>
              </w:rPr>
              <w:t>Pas d’incidences financières pour le budget du GEST. Les avis sont fournis à titre bénévole</w:t>
            </w:r>
            <w:r w:rsidR="003B6083" w:rsidRPr="001A00DB">
              <w:rPr>
                <w:rFonts w:asciiTheme="majorHAnsi" w:hAnsiTheme="majorHAnsi" w:cs="Arial"/>
                <w:b w:val="0"/>
                <w:sz w:val="20"/>
                <w:szCs w:val="20"/>
                <w:lang w:val="fr-FR"/>
              </w:rPr>
              <w:t xml:space="preserve">. </w:t>
            </w:r>
          </w:p>
        </w:tc>
      </w:tr>
      <w:tr w:rsidR="00ED4DA2" w:rsidRPr="00E7362F" w14:paraId="534A903C" w14:textId="77777777" w:rsidTr="007A5771">
        <w:tc>
          <w:tcPr>
            <w:tcW w:w="0" w:type="auto"/>
          </w:tcPr>
          <w:p w14:paraId="169CC9BB" w14:textId="07DD26E9" w:rsidR="003B6083" w:rsidRPr="001A00DB" w:rsidRDefault="00ED4DA2" w:rsidP="00ED4DA2">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Suppression de Sites Ramsar du Registre de Montreux </w:t>
            </w:r>
          </w:p>
        </w:tc>
        <w:tc>
          <w:tcPr>
            <w:tcW w:w="0" w:type="auto"/>
          </w:tcPr>
          <w:p w14:paraId="17F3D7AA" w14:textId="12B6328D" w:rsidR="003B6083" w:rsidRPr="001A00DB" w:rsidRDefault="003B6083" w:rsidP="007A5771">
            <w:pPr>
              <w:rPr>
                <w:rFonts w:asciiTheme="majorHAnsi" w:hAnsiTheme="majorHAnsi" w:cs="Arial"/>
                <w:sz w:val="20"/>
                <w:szCs w:val="20"/>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w:t>
            </w:r>
            <w:r w:rsidRPr="001A00DB">
              <w:rPr>
                <w:rFonts w:asciiTheme="majorHAnsi" w:hAnsiTheme="majorHAnsi" w:cs="Arial"/>
                <w:b w:val="0"/>
                <w:sz w:val="20"/>
                <w:szCs w:val="20"/>
                <w:lang w:val="fr-FR"/>
              </w:rPr>
              <w:t>¶ 1-</w:t>
            </w:r>
            <w:r w:rsidRPr="001A00DB">
              <w:rPr>
                <w:rFonts w:ascii="Calibri" w:hAnsi="Calibri" w:cs="Arial"/>
                <w:b w:val="0"/>
                <w:sz w:val="20"/>
                <w:szCs w:val="20"/>
                <w:lang w:val="fr-FR"/>
              </w:rPr>
              <w:t xml:space="preserve"> 2, 12 (v), 15, 38</w:t>
            </w:r>
          </w:p>
        </w:tc>
        <w:tc>
          <w:tcPr>
            <w:tcW w:w="0" w:type="auto"/>
          </w:tcPr>
          <w:p w14:paraId="00A5483D" w14:textId="77777777" w:rsidR="003B6083" w:rsidRPr="001A00DB" w:rsidRDefault="003B6083" w:rsidP="007A5771">
            <w:pPr>
              <w:rPr>
                <w:rFonts w:asciiTheme="majorHAnsi" w:hAnsiTheme="majorHAnsi" w:cs="Arial"/>
                <w:sz w:val="20"/>
                <w:szCs w:val="20"/>
                <w:lang w:val="fr-FR"/>
              </w:rPr>
            </w:pPr>
            <w:r w:rsidRPr="001A00DB">
              <w:rPr>
                <w:rFonts w:asciiTheme="majorHAnsi" w:hAnsiTheme="majorHAnsi" w:cs="Arial"/>
                <w:b w:val="0"/>
                <w:sz w:val="20"/>
                <w:szCs w:val="20"/>
                <w:lang w:val="fr-FR"/>
              </w:rPr>
              <w:t>2.5, 2.7, 4.14</w:t>
            </w:r>
          </w:p>
        </w:tc>
        <w:tc>
          <w:tcPr>
            <w:tcW w:w="0" w:type="auto"/>
          </w:tcPr>
          <w:p w14:paraId="5FD0F778" w14:textId="664DEF76" w:rsidR="003B6083" w:rsidRPr="001A00DB" w:rsidRDefault="00ED4DA2" w:rsidP="00ED4DA2">
            <w:pPr>
              <w:rPr>
                <w:rFonts w:asciiTheme="majorHAnsi" w:hAnsiTheme="majorHAnsi" w:cs="Arial"/>
                <w:sz w:val="20"/>
                <w:szCs w:val="20"/>
                <w:lang w:val="fr-FR"/>
              </w:rPr>
            </w:pPr>
            <w:r w:rsidRPr="001A00DB">
              <w:rPr>
                <w:rFonts w:asciiTheme="majorHAnsi" w:hAnsiTheme="majorHAnsi" w:cs="Arial"/>
                <w:b w:val="0"/>
                <w:sz w:val="20"/>
                <w:szCs w:val="20"/>
                <w:lang w:val="fr-FR"/>
              </w:rPr>
              <w:t>Le GEST peut répondre aux demandes des Parties contractantes, s’il y a lieu, concernant la suppression de Sites Ramsar du Registre de Montreux.</w:t>
            </w:r>
          </w:p>
        </w:tc>
        <w:tc>
          <w:tcPr>
            <w:tcW w:w="0" w:type="auto"/>
          </w:tcPr>
          <w:p w14:paraId="6EB28FFB" w14:textId="110090B6" w:rsidR="003B6083" w:rsidRPr="001A00DB" w:rsidRDefault="00676F53" w:rsidP="007A5771">
            <w:pPr>
              <w:rPr>
                <w:rFonts w:asciiTheme="majorHAnsi" w:hAnsiTheme="majorHAnsi" w:cs="Arial"/>
                <w:sz w:val="20"/>
                <w:szCs w:val="20"/>
                <w:lang w:val="fr-FR"/>
              </w:rPr>
            </w:pPr>
            <w:r w:rsidRPr="001A00DB">
              <w:rPr>
                <w:rFonts w:asciiTheme="majorHAnsi" w:hAnsiTheme="majorHAnsi" w:cs="Arial"/>
                <w:b w:val="0"/>
                <w:sz w:val="20"/>
                <w:szCs w:val="20"/>
                <w:lang w:val="fr-FR"/>
              </w:rPr>
              <w:t>Pas d’incidences financières pour le budget du GEST. Les avis sont fournis à titre bénévole</w:t>
            </w:r>
            <w:r w:rsidR="003B6083" w:rsidRPr="001A00DB">
              <w:rPr>
                <w:rFonts w:asciiTheme="majorHAnsi" w:hAnsiTheme="majorHAnsi" w:cs="Arial"/>
                <w:b w:val="0"/>
                <w:sz w:val="20"/>
                <w:szCs w:val="20"/>
                <w:lang w:val="fr-FR"/>
              </w:rPr>
              <w:t>.</w:t>
            </w:r>
          </w:p>
        </w:tc>
      </w:tr>
      <w:tr w:rsidR="00ED4DA2" w:rsidRPr="00E7362F" w14:paraId="1D175483" w14:textId="77777777" w:rsidTr="007A5771">
        <w:tc>
          <w:tcPr>
            <w:tcW w:w="0" w:type="auto"/>
          </w:tcPr>
          <w:p w14:paraId="6E8C37F8" w14:textId="3532B640" w:rsidR="003B6083" w:rsidRPr="001A00DB" w:rsidRDefault="00ED4DA2" w:rsidP="00C8217C">
            <w:pPr>
              <w:rPr>
                <w:rFonts w:asciiTheme="majorHAnsi" w:hAnsiTheme="majorHAnsi" w:cs="Arial"/>
                <w:sz w:val="22"/>
                <w:szCs w:val="22"/>
                <w:lang w:val="fr-FR"/>
              </w:rPr>
            </w:pPr>
            <w:r w:rsidRPr="001A00DB">
              <w:rPr>
                <w:rFonts w:asciiTheme="majorHAnsi" w:hAnsiTheme="majorHAnsi" w:cs="Arial"/>
                <w:b w:val="0"/>
                <w:sz w:val="20"/>
                <w:szCs w:val="20"/>
                <w:lang w:val="fr-FR"/>
              </w:rPr>
              <w:t xml:space="preserve">Comité consultatif indépendant du </w:t>
            </w:r>
            <w:r w:rsidR="00C8217C" w:rsidRPr="001A00DB">
              <w:rPr>
                <w:rFonts w:asciiTheme="majorHAnsi" w:hAnsiTheme="majorHAnsi" w:cs="Arial"/>
                <w:b w:val="0"/>
                <w:sz w:val="20"/>
                <w:szCs w:val="20"/>
                <w:lang w:val="fr-FR"/>
              </w:rPr>
              <w:t>l</w:t>
            </w:r>
            <w:r w:rsidRPr="001A00DB">
              <w:rPr>
                <w:rFonts w:asciiTheme="majorHAnsi" w:hAnsiTheme="majorHAnsi" w:cs="Arial"/>
                <w:b w:val="0"/>
                <w:sz w:val="20"/>
                <w:szCs w:val="20"/>
                <w:lang w:val="fr-FR"/>
              </w:rPr>
              <w:t xml:space="preserve">abel </w:t>
            </w:r>
            <w:r w:rsidR="00C8217C"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Ville des zones humides accréditée</w:t>
            </w:r>
            <w:r w:rsidR="00C8217C"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 xml:space="preserve"> </w:t>
            </w:r>
          </w:p>
        </w:tc>
        <w:tc>
          <w:tcPr>
            <w:tcW w:w="0" w:type="auto"/>
          </w:tcPr>
          <w:p w14:paraId="144C0DB2" w14:textId="00988B68" w:rsidR="003B6083" w:rsidRPr="001A00DB" w:rsidRDefault="003B6083" w:rsidP="00ED4DA2">
            <w:pPr>
              <w:rPr>
                <w:rFonts w:asciiTheme="majorHAnsi" w:hAnsiTheme="majorHAnsi" w:cs="Arial"/>
                <w:sz w:val="22"/>
                <w:szCs w:val="22"/>
                <w:lang w:val="fr-FR"/>
              </w:rPr>
            </w:pPr>
            <w:r w:rsidRPr="001A00DB">
              <w:rPr>
                <w:rFonts w:asciiTheme="majorHAnsi" w:hAnsiTheme="majorHAnsi" w:cs="Arial"/>
                <w:b w:val="0"/>
                <w:sz w:val="20"/>
                <w:szCs w:val="20"/>
                <w:lang w:val="fr-FR"/>
              </w:rPr>
              <w:t>R</w:t>
            </w:r>
            <w:r w:rsidR="00ED4DA2" w:rsidRPr="001A00DB">
              <w:rPr>
                <w:rFonts w:asciiTheme="majorHAnsi" w:hAnsiTheme="majorHAnsi" w:cs="Arial"/>
                <w:b w:val="0"/>
                <w:sz w:val="20"/>
                <w:szCs w:val="20"/>
                <w:lang w:val="fr-FR"/>
              </w:rPr>
              <w:t>é</w:t>
            </w:r>
            <w:r w:rsidRPr="001A00DB">
              <w:rPr>
                <w:rFonts w:asciiTheme="majorHAnsi" w:hAnsiTheme="majorHAnsi" w:cs="Arial"/>
                <w:b w:val="0"/>
                <w:sz w:val="20"/>
                <w:szCs w:val="20"/>
                <w:lang w:val="fr-FR"/>
              </w:rPr>
              <w:t xml:space="preserve">s. XII.10,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w:t>
            </w:r>
            <w:r w:rsidRPr="001A00DB">
              <w:rPr>
                <w:rFonts w:ascii="Calibri" w:hAnsi="Calibri" w:cs="Arial"/>
                <w:b w:val="0"/>
                <w:sz w:val="20"/>
                <w:szCs w:val="20"/>
                <w:lang w:val="fr-FR"/>
              </w:rPr>
              <w:t>¶</w:t>
            </w:r>
            <w:r w:rsidRPr="001A00DB">
              <w:rPr>
                <w:rFonts w:asciiTheme="majorHAnsi" w:hAnsiTheme="majorHAnsi" w:cs="Arial"/>
                <w:b w:val="0"/>
                <w:sz w:val="20"/>
                <w:szCs w:val="20"/>
                <w:lang w:val="fr-FR"/>
              </w:rPr>
              <w:t xml:space="preserve"> 16 (e)</w:t>
            </w:r>
          </w:p>
        </w:tc>
        <w:tc>
          <w:tcPr>
            <w:tcW w:w="0" w:type="auto"/>
          </w:tcPr>
          <w:p w14:paraId="44B62F05" w14:textId="77777777" w:rsidR="003B6083" w:rsidRPr="001A00DB" w:rsidRDefault="003B6083" w:rsidP="007A5771">
            <w:pPr>
              <w:rPr>
                <w:rFonts w:asciiTheme="majorHAnsi" w:hAnsiTheme="majorHAnsi" w:cs="Arial"/>
                <w:sz w:val="22"/>
                <w:szCs w:val="22"/>
                <w:lang w:val="fr-FR"/>
              </w:rPr>
            </w:pPr>
            <w:r w:rsidRPr="001A00DB">
              <w:rPr>
                <w:rFonts w:asciiTheme="majorHAnsi" w:hAnsiTheme="majorHAnsi" w:cs="Arial"/>
                <w:b w:val="0"/>
                <w:sz w:val="20"/>
                <w:szCs w:val="20"/>
                <w:lang w:val="fr-FR"/>
              </w:rPr>
              <w:t>3.11, 4.14, 4.16</w:t>
            </w:r>
          </w:p>
        </w:tc>
        <w:tc>
          <w:tcPr>
            <w:tcW w:w="0" w:type="auto"/>
          </w:tcPr>
          <w:p w14:paraId="1C36A5FD" w14:textId="7EB1D7C7" w:rsidR="003B6083" w:rsidRPr="001A00DB" w:rsidRDefault="00ED4DA2" w:rsidP="00C8217C">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Un expert du GEST siégera au Comité consultatif indépendant du </w:t>
            </w:r>
            <w:r w:rsidR="00C8217C" w:rsidRPr="001A00DB">
              <w:rPr>
                <w:rFonts w:asciiTheme="majorHAnsi" w:hAnsiTheme="majorHAnsi" w:cs="Arial"/>
                <w:b w:val="0"/>
                <w:sz w:val="20"/>
                <w:szCs w:val="20"/>
                <w:lang w:val="fr-FR"/>
              </w:rPr>
              <w:t>l</w:t>
            </w:r>
            <w:r w:rsidRPr="001A00DB">
              <w:rPr>
                <w:rFonts w:asciiTheme="majorHAnsi" w:hAnsiTheme="majorHAnsi" w:cs="Arial"/>
                <w:b w:val="0"/>
                <w:sz w:val="20"/>
                <w:szCs w:val="20"/>
                <w:lang w:val="fr-FR"/>
              </w:rPr>
              <w:t xml:space="preserve">abel </w:t>
            </w:r>
            <w:r w:rsidR="00C8217C"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Ville des zones humides accréditée</w:t>
            </w:r>
            <w:r w:rsidR="00C8217C"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 xml:space="preserve"> </w:t>
            </w:r>
          </w:p>
        </w:tc>
        <w:tc>
          <w:tcPr>
            <w:tcW w:w="0" w:type="auto"/>
          </w:tcPr>
          <w:p w14:paraId="778AA636" w14:textId="1A912734" w:rsidR="003B6083" w:rsidRPr="001A00DB" w:rsidRDefault="00676F53" w:rsidP="007A5771">
            <w:pPr>
              <w:rPr>
                <w:rFonts w:asciiTheme="majorHAnsi" w:hAnsiTheme="majorHAnsi" w:cs="Arial"/>
                <w:sz w:val="22"/>
                <w:szCs w:val="22"/>
                <w:lang w:val="fr-FR"/>
              </w:rPr>
            </w:pPr>
            <w:r w:rsidRPr="001A00DB">
              <w:rPr>
                <w:rFonts w:asciiTheme="majorHAnsi" w:hAnsiTheme="majorHAnsi" w:cs="Arial"/>
                <w:b w:val="0"/>
                <w:sz w:val="20"/>
                <w:szCs w:val="20"/>
                <w:lang w:val="fr-FR"/>
              </w:rPr>
              <w:t>Pas d’incidences financières pour le budget du GEST. Les avis sont fournis à titre bénévole</w:t>
            </w:r>
            <w:r w:rsidR="003B6083" w:rsidRPr="001A00DB">
              <w:rPr>
                <w:rFonts w:asciiTheme="majorHAnsi" w:hAnsiTheme="majorHAnsi" w:cs="Arial"/>
                <w:b w:val="0"/>
                <w:sz w:val="20"/>
                <w:szCs w:val="20"/>
                <w:lang w:val="fr-FR"/>
              </w:rPr>
              <w:t>.</w:t>
            </w:r>
          </w:p>
        </w:tc>
      </w:tr>
      <w:tr w:rsidR="00ED4DA2" w:rsidRPr="00E7362F" w14:paraId="34373613" w14:textId="77777777" w:rsidTr="007A5771">
        <w:tc>
          <w:tcPr>
            <w:tcW w:w="0" w:type="auto"/>
          </w:tcPr>
          <w:p w14:paraId="2311F8D6" w14:textId="61FCC902" w:rsidR="003B6083" w:rsidRPr="001A00DB" w:rsidRDefault="00ED4DA2" w:rsidP="00ED4DA2">
            <w:pPr>
              <w:rPr>
                <w:rFonts w:asciiTheme="majorHAnsi" w:hAnsiTheme="majorHAnsi" w:cs="Arial"/>
                <w:sz w:val="20"/>
                <w:szCs w:val="20"/>
                <w:lang w:val="fr-FR"/>
              </w:rPr>
            </w:pPr>
            <w:r w:rsidRPr="001A00DB">
              <w:rPr>
                <w:rFonts w:asciiTheme="majorHAnsi" w:hAnsiTheme="majorHAnsi" w:cs="Arial"/>
                <w:b w:val="0"/>
                <w:sz w:val="20"/>
                <w:szCs w:val="20"/>
                <w:lang w:val="fr-FR"/>
              </w:rPr>
              <w:t xml:space="preserve">Fournir des avis sur des questions émergentes </w:t>
            </w:r>
          </w:p>
        </w:tc>
        <w:tc>
          <w:tcPr>
            <w:tcW w:w="0" w:type="auto"/>
          </w:tcPr>
          <w:p w14:paraId="0383FC04" w14:textId="728BDE2A" w:rsidR="003B6083" w:rsidRPr="001A00DB" w:rsidRDefault="003B6083" w:rsidP="007A5771">
            <w:pPr>
              <w:rPr>
                <w:rFonts w:asciiTheme="majorHAnsi" w:hAnsiTheme="majorHAnsi" w:cs="Arial"/>
                <w:sz w:val="22"/>
                <w:szCs w:val="22"/>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¶2, 15 (ii), 38</w:t>
            </w:r>
          </w:p>
        </w:tc>
        <w:tc>
          <w:tcPr>
            <w:tcW w:w="0" w:type="auto"/>
          </w:tcPr>
          <w:p w14:paraId="7967E9DC" w14:textId="77777777" w:rsidR="003B6083" w:rsidRPr="001A00DB" w:rsidRDefault="003B6083" w:rsidP="007A5771">
            <w:pPr>
              <w:rPr>
                <w:rFonts w:asciiTheme="majorHAnsi" w:hAnsiTheme="majorHAnsi" w:cs="Arial"/>
                <w:sz w:val="22"/>
                <w:szCs w:val="22"/>
                <w:lang w:val="fr-FR"/>
              </w:rPr>
            </w:pPr>
            <w:r w:rsidRPr="001A00DB">
              <w:rPr>
                <w:rFonts w:asciiTheme="majorHAnsi" w:hAnsiTheme="majorHAnsi" w:cs="Arial"/>
                <w:b w:val="0"/>
                <w:sz w:val="20"/>
                <w:szCs w:val="20"/>
                <w:lang w:val="fr-FR"/>
              </w:rPr>
              <w:t>4.14</w:t>
            </w:r>
          </w:p>
        </w:tc>
        <w:tc>
          <w:tcPr>
            <w:tcW w:w="0" w:type="auto"/>
          </w:tcPr>
          <w:p w14:paraId="228396E8" w14:textId="013D09A6" w:rsidR="003B6083" w:rsidRPr="001A00DB" w:rsidRDefault="00ED4DA2" w:rsidP="00C8217C">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Le GEST peut, si nécessaire et s’il y a lieu, exercer un suivi </w:t>
            </w:r>
            <w:r w:rsidR="00C8217C" w:rsidRPr="001A00DB">
              <w:rPr>
                <w:rFonts w:asciiTheme="majorHAnsi" w:hAnsiTheme="majorHAnsi" w:cs="Arial"/>
                <w:b w:val="0"/>
                <w:sz w:val="20"/>
                <w:szCs w:val="20"/>
                <w:lang w:val="fr-FR"/>
              </w:rPr>
              <w:t>des</w:t>
            </w:r>
            <w:r w:rsidRPr="001A00DB">
              <w:rPr>
                <w:rFonts w:asciiTheme="majorHAnsi" w:hAnsiTheme="majorHAnsi" w:cs="Arial"/>
                <w:b w:val="0"/>
                <w:sz w:val="20"/>
                <w:szCs w:val="20"/>
                <w:lang w:val="fr-FR"/>
              </w:rPr>
              <w:t xml:space="preserve"> questions émergentes et plus stratégiques intéressant la Convention qui peuvent nécessiter une action ou un avis dans un avenir proche ou à moyen terme. </w:t>
            </w:r>
          </w:p>
        </w:tc>
        <w:tc>
          <w:tcPr>
            <w:tcW w:w="0" w:type="auto"/>
          </w:tcPr>
          <w:p w14:paraId="2D411108" w14:textId="1F2ADCF9" w:rsidR="003B6083" w:rsidRPr="001A00DB" w:rsidRDefault="00676F53" w:rsidP="007A5771">
            <w:pPr>
              <w:rPr>
                <w:rFonts w:asciiTheme="majorHAnsi" w:hAnsiTheme="majorHAnsi" w:cs="Arial"/>
                <w:sz w:val="22"/>
                <w:szCs w:val="22"/>
                <w:lang w:val="fr-FR"/>
              </w:rPr>
            </w:pPr>
            <w:r w:rsidRPr="001A00DB">
              <w:rPr>
                <w:rFonts w:asciiTheme="majorHAnsi" w:hAnsiTheme="majorHAnsi" w:cs="Arial"/>
                <w:b w:val="0"/>
                <w:sz w:val="20"/>
                <w:szCs w:val="20"/>
                <w:lang w:val="fr-FR"/>
              </w:rPr>
              <w:t>Pas d’incidences financières pour le budget du GEST. Les avis sont fournis à titre bénévole</w:t>
            </w:r>
            <w:r w:rsidR="003B6083" w:rsidRPr="001A00DB">
              <w:rPr>
                <w:rFonts w:asciiTheme="majorHAnsi" w:hAnsiTheme="majorHAnsi" w:cs="Arial"/>
                <w:b w:val="0"/>
                <w:sz w:val="20"/>
                <w:szCs w:val="20"/>
                <w:lang w:val="fr-FR"/>
              </w:rPr>
              <w:t>.</w:t>
            </w:r>
          </w:p>
        </w:tc>
      </w:tr>
      <w:tr w:rsidR="003B6083" w:rsidRPr="00E7362F" w14:paraId="4FD9A232" w14:textId="77777777" w:rsidTr="007A5771">
        <w:tc>
          <w:tcPr>
            <w:tcW w:w="0" w:type="auto"/>
            <w:gridSpan w:val="5"/>
            <w:shd w:val="clear" w:color="auto" w:fill="D9D9D9" w:themeFill="background1" w:themeFillShade="D9"/>
          </w:tcPr>
          <w:p w14:paraId="45224C65" w14:textId="66CEC56A" w:rsidR="003B6083" w:rsidRPr="001A00DB" w:rsidRDefault="00ED4DA2" w:rsidP="00ED4DA2">
            <w:pPr>
              <w:jc w:val="center"/>
              <w:rPr>
                <w:rFonts w:asciiTheme="majorHAnsi" w:hAnsiTheme="majorHAnsi" w:cs="Arial"/>
                <w:sz w:val="20"/>
                <w:szCs w:val="20"/>
                <w:lang w:val="fr-FR"/>
              </w:rPr>
            </w:pPr>
            <w:r w:rsidRPr="001A00DB">
              <w:rPr>
                <w:rFonts w:asciiTheme="majorHAnsi" w:hAnsiTheme="majorHAnsi" w:cs="Arial"/>
                <w:sz w:val="20"/>
                <w:szCs w:val="20"/>
                <w:lang w:val="fr-FR"/>
              </w:rPr>
              <w:t xml:space="preserve">Autres processus internationaux pertinents pour la Convention et contribuant à l’application du Plan stratégique de la Convention </w:t>
            </w:r>
          </w:p>
        </w:tc>
      </w:tr>
      <w:tr w:rsidR="00ED4DA2" w:rsidRPr="00E7362F" w14:paraId="157AC3C4" w14:textId="77777777" w:rsidTr="007A5771">
        <w:tc>
          <w:tcPr>
            <w:tcW w:w="0" w:type="auto"/>
          </w:tcPr>
          <w:p w14:paraId="6B303A65" w14:textId="01D5BABF" w:rsidR="003B6083" w:rsidRPr="001A00DB" w:rsidRDefault="003B6083" w:rsidP="00ED4DA2">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Engagement </w:t>
            </w:r>
            <w:r w:rsidR="00ED4DA2" w:rsidRPr="001A00DB">
              <w:rPr>
                <w:rFonts w:asciiTheme="majorHAnsi" w:hAnsiTheme="majorHAnsi" w:cs="Arial"/>
                <w:b w:val="0"/>
                <w:sz w:val="20"/>
                <w:szCs w:val="20"/>
                <w:lang w:val="fr-FR"/>
              </w:rPr>
              <w:t>auprès de l’</w:t>
            </w:r>
            <w:r w:rsidRPr="001A00DB">
              <w:rPr>
                <w:rFonts w:asciiTheme="majorHAnsi" w:hAnsiTheme="majorHAnsi" w:cs="Arial"/>
                <w:b w:val="0"/>
                <w:sz w:val="20"/>
                <w:szCs w:val="20"/>
                <w:lang w:val="fr-FR"/>
              </w:rPr>
              <w:t>IPBES</w:t>
            </w:r>
          </w:p>
        </w:tc>
        <w:tc>
          <w:tcPr>
            <w:tcW w:w="0" w:type="auto"/>
          </w:tcPr>
          <w:p w14:paraId="343D138D" w14:textId="77777777" w:rsidR="003B6083" w:rsidRPr="001A00DB" w:rsidRDefault="003B608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XII.2, ¶ 24;</w:t>
            </w:r>
          </w:p>
          <w:p w14:paraId="2623E091" w14:textId="77777777" w:rsidR="003B6083" w:rsidRPr="001A00DB" w:rsidRDefault="003B608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XII.3, ¶¶ 48, 49; </w:t>
            </w:r>
          </w:p>
          <w:p w14:paraId="496AD412" w14:textId="722E8399" w:rsidR="003B6083" w:rsidRPr="001A00DB" w:rsidRDefault="003B608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001979B9" w:rsidRPr="001A00DB">
              <w:rPr>
                <w:rFonts w:asciiTheme="majorHAnsi" w:hAnsiTheme="majorHAnsi" w:cs="Arial"/>
                <w:b w:val="0"/>
                <w:sz w:val="20"/>
                <w:szCs w:val="20"/>
                <w:lang w:val="fr-FR"/>
              </w:rPr>
              <w:t xml:space="preserve"> 1,</w:t>
            </w:r>
            <w:r w:rsidRPr="001A00DB">
              <w:rPr>
                <w:rFonts w:asciiTheme="majorHAnsi" w:hAnsiTheme="majorHAnsi" w:cs="Arial"/>
                <w:b w:val="0"/>
                <w:sz w:val="20"/>
                <w:szCs w:val="20"/>
                <w:lang w:val="fr-FR"/>
              </w:rPr>
              <w:t xml:space="preserve"> ¶ 13 (ix), 51</w:t>
            </w:r>
          </w:p>
        </w:tc>
        <w:tc>
          <w:tcPr>
            <w:tcW w:w="0" w:type="auto"/>
          </w:tcPr>
          <w:p w14:paraId="225695A0" w14:textId="77777777" w:rsidR="003B6083" w:rsidRPr="001A00DB" w:rsidRDefault="003B6083" w:rsidP="007A5771">
            <w:pPr>
              <w:rPr>
                <w:rFonts w:asciiTheme="majorHAnsi" w:hAnsiTheme="majorHAnsi" w:cs="Arial"/>
                <w:sz w:val="22"/>
                <w:szCs w:val="22"/>
                <w:lang w:val="fr-FR"/>
              </w:rPr>
            </w:pPr>
            <w:r w:rsidRPr="001A00DB">
              <w:rPr>
                <w:rFonts w:asciiTheme="majorHAnsi" w:hAnsiTheme="majorHAnsi" w:cs="Arial"/>
                <w:b w:val="0"/>
                <w:sz w:val="20"/>
                <w:szCs w:val="20"/>
                <w:lang w:val="fr-FR"/>
              </w:rPr>
              <w:t>4.14, 4.18</w:t>
            </w:r>
          </w:p>
        </w:tc>
        <w:tc>
          <w:tcPr>
            <w:tcW w:w="0" w:type="auto"/>
          </w:tcPr>
          <w:p w14:paraId="6EB6E1DB" w14:textId="568CE2E0" w:rsidR="003B6083" w:rsidRPr="001A00DB" w:rsidRDefault="00ED4DA2" w:rsidP="00ED4DA2">
            <w:pPr>
              <w:rPr>
                <w:rFonts w:asciiTheme="majorHAnsi" w:hAnsiTheme="majorHAnsi" w:cs="Arial"/>
                <w:sz w:val="20"/>
                <w:szCs w:val="20"/>
                <w:lang w:val="fr-FR"/>
              </w:rPr>
            </w:pPr>
            <w:r w:rsidRPr="001A00DB">
              <w:rPr>
                <w:rFonts w:asciiTheme="majorHAnsi" w:hAnsiTheme="majorHAnsi" w:cs="Arial"/>
                <w:b w:val="0"/>
                <w:sz w:val="20"/>
                <w:szCs w:val="20"/>
                <w:lang w:val="fr-FR"/>
              </w:rPr>
              <w:t>Continuer de participer aux travaux de l’IPBES par les moyens suivants : participation du Président du GEST aux réunions de l’IPBES et du GEM, participation de membres du GEST et d’autres experts Ramsar à des évaluations mondiales et régionales, examen des demandes à l’IPBES pour des évaluations thématiques, y compris une évaluation thématique sur l’état et les tendances actuelles des zones humides et l’intégration des résultats des évaluations de l’IPBES (p. ex., pollinisateurs, dégradation et restauration des sols) dans les travaux du GEST.</w:t>
            </w:r>
          </w:p>
        </w:tc>
        <w:tc>
          <w:tcPr>
            <w:tcW w:w="0" w:type="auto"/>
          </w:tcPr>
          <w:p w14:paraId="79037A61" w14:textId="7B9B9724" w:rsidR="003B6083" w:rsidRPr="001A00DB" w:rsidRDefault="00ED4DA2" w:rsidP="00C8217C">
            <w:pPr>
              <w:rPr>
                <w:rFonts w:asciiTheme="majorHAnsi" w:hAnsiTheme="majorHAnsi" w:cs="Arial"/>
                <w:sz w:val="22"/>
                <w:szCs w:val="22"/>
                <w:lang w:val="fr-FR"/>
              </w:rPr>
            </w:pPr>
            <w:r w:rsidRPr="001A00DB">
              <w:rPr>
                <w:rFonts w:asciiTheme="majorHAnsi" w:hAnsiTheme="majorHAnsi" w:cs="Arial"/>
                <w:b w:val="0"/>
                <w:sz w:val="20"/>
                <w:szCs w:val="20"/>
                <w:lang w:val="fr-FR"/>
              </w:rPr>
              <w:t xml:space="preserve">Le fonds </w:t>
            </w:r>
            <w:r w:rsidR="00C8217C" w:rsidRPr="001A00DB">
              <w:rPr>
                <w:rFonts w:asciiTheme="majorHAnsi" w:hAnsiTheme="majorHAnsi" w:cs="Arial"/>
                <w:b w:val="0"/>
                <w:sz w:val="20"/>
                <w:szCs w:val="20"/>
                <w:lang w:val="fr-FR"/>
              </w:rPr>
              <w:t>pour les</w:t>
            </w:r>
            <w:r w:rsidRPr="001A00DB">
              <w:rPr>
                <w:rFonts w:asciiTheme="majorHAnsi" w:hAnsiTheme="majorHAnsi" w:cs="Arial"/>
                <w:b w:val="0"/>
                <w:sz w:val="20"/>
                <w:szCs w:val="20"/>
                <w:lang w:val="fr-FR"/>
              </w:rPr>
              <w:t xml:space="preserve"> voyage</w:t>
            </w:r>
            <w:r w:rsidR="00C8217C"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 xml:space="preserve"> du Président du GEST pour couvrir les frais de voyage. </w:t>
            </w:r>
          </w:p>
        </w:tc>
      </w:tr>
      <w:tr w:rsidR="00ED4DA2" w:rsidRPr="00E7362F" w14:paraId="7F9C5860" w14:textId="77777777" w:rsidTr="007A5771">
        <w:tc>
          <w:tcPr>
            <w:tcW w:w="0" w:type="auto"/>
          </w:tcPr>
          <w:p w14:paraId="21B4F8AB" w14:textId="3567D376" w:rsidR="003B6083" w:rsidRPr="001A00DB" w:rsidRDefault="00ED4DA2" w:rsidP="00ED4DA2">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Atlas des points chauds de </w:t>
            </w:r>
            <w:r w:rsidRPr="001A00DB">
              <w:rPr>
                <w:rFonts w:asciiTheme="majorHAnsi" w:hAnsiTheme="majorHAnsi" w:cs="Arial"/>
                <w:b w:val="0"/>
                <w:sz w:val="20"/>
                <w:szCs w:val="20"/>
                <w:lang w:val="fr-FR"/>
              </w:rPr>
              <w:lastRenderedPageBreak/>
              <w:t>tourbières</w:t>
            </w:r>
          </w:p>
        </w:tc>
        <w:tc>
          <w:tcPr>
            <w:tcW w:w="0" w:type="auto"/>
          </w:tcPr>
          <w:p w14:paraId="36B47005" w14:textId="48A24F78" w:rsidR="003B6083" w:rsidRPr="001A00DB" w:rsidRDefault="003B6083"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lastRenderedPageBreak/>
              <w:t xml:space="preserve">1, </w:t>
            </w:r>
            <w:r w:rsidRPr="001A00DB">
              <w:rPr>
                <w:rFonts w:ascii="Calibri" w:hAnsi="Calibri" w:cs="Arial"/>
                <w:b w:val="0"/>
                <w:sz w:val="20"/>
                <w:szCs w:val="20"/>
                <w:lang w:val="fr-FR"/>
              </w:rPr>
              <w:t>¶</w:t>
            </w:r>
            <w:r w:rsidRPr="001A00DB">
              <w:rPr>
                <w:rFonts w:asciiTheme="majorHAnsi" w:hAnsiTheme="majorHAnsi" w:cs="Arial"/>
                <w:b w:val="0"/>
                <w:sz w:val="20"/>
                <w:szCs w:val="20"/>
                <w:lang w:val="fr-FR"/>
              </w:rPr>
              <w:t>¶</w:t>
            </w:r>
            <w:r w:rsidR="00855403" w:rsidRPr="001A00DB">
              <w:rPr>
                <w:rFonts w:asciiTheme="majorHAnsi" w:hAnsiTheme="majorHAnsi" w:cs="Arial"/>
                <w:b w:val="0"/>
                <w:sz w:val="20"/>
                <w:szCs w:val="20"/>
                <w:lang w:val="fr-FR"/>
              </w:rPr>
              <w:t xml:space="preserve"> </w:t>
            </w:r>
            <w:r w:rsidRPr="001A00DB">
              <w:rPr>
                <w:rFonts w:ascii="Calibri" w:hAnsi="Calibri" w:cs="Arial"/>
                <w:b w:val="0"/>
                <w:sz w:val="20"/>
                <w:szCs w:val="20"/>
                <w:lang w:val="fr-FR"/>
              </w:rPr>
              <w:t>1-2</w:t>
            </w:r>
          </w:p>
        </w:tc>
        <w:tc>
          <w:tcPr>
            <w:tcW w:w="0" w:type="auto"/>
          </w:tcPr>
          <w:p w14:paraId="433A36A0" w14:textId="77777777" w:rsidR="003B6083" w:rsidRPr="001A00DB" w:rsidRDefault="003B6083" w:rsidP="007A5771">
            <w:pPr>
              <w:rPr>
                <w:rFonts w:asciiTheme="majorHAnsi" w:hAnsiTheme="majorHAnsi" w:cs="Arial"/>
                <w:sz w:val="22"/>
                <w:szCs w:val="22"/>
                <w:lang w:val="fr-FR"/>
              </w:rPr>
            </w:pPr>
            <w:r w:rsidRPr="001A00DB">
              <w:rPr>
                <w:rFonts w:asciiTheme="majorHAnsi" w:hAnsiTheme="majorHAnsi" w:cs="Arial"/>
                <w:b w:val="0"/>
                <w:sz w:val="20"/>
                <w:szCs w:val="20"/>
                <w:lang w:val="fr-FR"/>
              </w:rPr>
              <w:lastRenderedPageBreak/>
              <w:t xml:space="preserve">4.14, </w:t>
            </w:r>
            <w:r w:rsidRPr="001A00DB">
              <w:rPr>
                <w:rFonts w:asciiTheme="majorHAnsi" w:hAnsiTheme="majorHAnsi" w:cs="Arial"/>
                <w:b w:val="0"/>
                <w:sz w:val="20"/>
                <w:szCs w:val="20"/>
                <w:lang w:val="fr-FR"/>
              </w:rPr>
              <w:lastRenderedPageBreak/>
              <w:t>4.18</w:t>
            </w:r>
          </w:p>
        </w:tc>
        <w:tc>
          <w:tcPr>
            <w:tcW w:w="0" w:type="auto"/>
          </w:tcPr>
          <w:p w14:paraId="2B4E648E" w14:textId="3D4C9FCD" w:rsidR="003B6083" w:rsidRPr="001A00DB" w:rsidRDefault="00ED4DA2" w:rsidP="00C8217C">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 xml:space="preserve">Fournir des avis, s’il y a lieu et si nécessaire, au projet d’Atlas des </w:t>
            </w:r>
            <w:r w:rsidRPr="001A00DB">
              <w:rPr>
                <w:rFonts w:asciiTheme="majorHAnsi" w:hAnsiTheme="majorHAnsi" w:cs="Arial"/>
                <w:b w:val="0"/>
                <w:sz w:val="20"/>
                <w:szCs w:val="20"/>
                <w:lang w:val="fr-FR"/>
              </w:rPr>
              <w:lastRenderedPageBreak/>
              <w:t xml:space="preserve">points chauds de tourbières, un projet en collaboration entre </w:t>
            </w:r>
            <w:r w:rsidR="003B6083" w:rsidRPr="001A00DB">
              <w:rPr>
                <w:rFonts w:asciiTheme="majorHAnsi" w:hAnsiTheme="majorHAnsi" w:cs="Arial"/>
                <w:b w:val="0"/>
                <w:sz w:val="20"/>
                <w:szCs w:val="20"/>
                <w:lang w:val="fr-FR"/>
              </w:rPr>
              <w:t xml:space="preserve">Wetlands International (WI), </w:t>
            </w:r>
            <w:r w:rsidRPr="001A00DB">
              <w:rPr>
                <w:rFonts w:asciiTheme="majorHAnsi" w:hAnsiTheme="majorHAnsi" w:cs="Arial"/>
                <w:b w:val="0"/>
                <w:sz w:val="20"/>
                <w:szCs w:val="20"/>
                <w:lang w:val="fr-FR"/>
              </w:rPr>
              <w:t xml:space="preserve">la </w:t>
            </w:r>
            <w:r w:rsidR="003B6083" w:rsidRPr="001A00DB">
              <w:rPr>
                <w:rFonts w:asciiTheme="majorHAnsi" w:hAnsiTheme="majorHAnsi" w:cs="Arial"/>
                <w:b w:val="0"/>
                <w:sz w:val="20"/>
                <w:szCs w:val="20"/>
                <w:lang w:val="fr-FR"/>
              </w:rPr>
              <w:t>C</w:t>
            </w:r>
            <w:r w:rsidRPr="001A00DB">
              <w:rPr>
                <w:rFonts w:asciiTheme="majorHAnsi" w:hAnsiTheme="majorHAnsi" w:cs="Arial"/>
                <w:b w:val="0"/>
                <w:sz w:val="20"/>
                <w:szCs w:val="20"/>
                <w:lang w:val="fr-FR"/>
              </w:rPr>
              <w:t>DB</w:t>
            </w:r>
            <w:r w:rsidR="003B6083"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la CNULD et </w:t>
            </w:r>
            <w:r w:rsidR="003B6083" w:rsidRPr="001A00DB">
              <w:rPr>
                <w:rFonts w:asciiTheme="majorHAnsi" w:hAnsiTheme="majorHAnsi" w:cs="Arial"/>
                <w:b w:val="0"/>
                <w:sz w:val="20"/>
                <w:szCs w:val="20"/>
                <w:lang w:val="fr-FR"/>
              </w:rPr>
              <w:t xml:space="preserve">Ramsar, </w:t>
            </w:r>
            <w:r w:rsidRPr="001A00DB">
              <w:rPr>
                <w:rFonts w:asciiTheme="majorHAnsi" w:hAnsiTheme="majorHAnsi" w:cs="Arial"/>
                <w:b w:val="0"/>
                <w:sz w:val="20"/>
                <w:szCs w:val="20"/>
                <w:lang w:val="fr-FR"/>
              </w:rPr>
              <w:t xml:space="preserve">lancé à la COP21 de la CCNUCC. Il pourrait y avoir un potentiel de produits Ramsar dérivés, sous réserve des ressources disponibles et de l’approbation du Comité permanent. </w:t>
            </w:r>
          </w:p>
        </w:tc>
        <w:tc>
          <w:tcPr>
            <w:tcW w:w="0" w:type="auto"/>
          </w:tcPr>
          <w:p w14:paraId="7974598C" w14:textId="259FC436" w:rsidR="003B6083" w:rsidRPr="001A00DB" w:rsidRDefault="00ED4DA2"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 xml:space="preserve">Pas d’incidences financières pour </w:t>
            </w:r>
            <w:r w:rsidRPr="001A00DB">
              <w:rPr>
                <w:rFonts w:asciiTheme="majorHAnsi" w:hAnsiTheme="majorHAnsi" w:cs="Arial"/>
                <w:b w:val="0"/>
                <w:sz w:val="20"/>
                <w:szCs w:val="20"/>
                <w:lang w:val="fr-FR"/>
              </w:rPr>
              <w:lastRenderedPageBreak/>
              <w:t>le budget du GEST. Les avis sont fournis à titre bénévole</w:t>
            </w:r>
            <w:r w:rsidR="003B6083" w:rsidRPr="001A00DB">
              <w:rPr>
                <w:rFonts w:asciiTheme="majorHAnsi" w:hAnsiTheme="majorHAnsi" w:cs="Arial"/>
                <w:b w:val="0"/>
                <w:sz w:val="20"/>
                <w:szCs w:val="20"/>
                <w:lang w:val="fr-FR"/>
              </w:rPr>
              <w:t>.</w:t>
            </w:r>
          </w:p>
        </w:tc>
      </w:tr>
    </w:tbl>
    <w:p w14:paraId="371A3560" w14:textId="77777777" w:rsidR="005E30D4" w:rsidRPr="001A00DB" w:rsidRDefault="005E30D4" w:rsidP="00914A1A">
      <w:pPr>
        <w:rPr>
          <w:rFonts w:asciiTheme="majorHAnsi" w:eastAsia="Calibri" w:hAnsiTheme="majorHAnsi" w:cs="Calibri"/>
          <w:color w:val="000000"/>
          <w:sz w:val="22"/>
          <w:szCs w:val="22"/>
          <w:lang w:val="fr-FR"/>
        </w:rPr>
      </w:pPr>
    </w:p>
    <w:p w14:paraId="425E629F" w14:textId="77777777" w:rsidR="00836984" w:rsidRPr="00F8475A" w:rsidRDefault="00836984" w:rsidP="00914A1A">
      <w:pPr>
        <w:rPr>
          <w:rFonts w:asciiTheme="majorHAnsi" w:hAnsiTheme="majorHAnsi" w:cs="Tahoma"/>
          <w:color w:val="000000"/>
          <w:sz w:val="20"/>
          <w:szCs w:val="20"/>
          <w:lang w:val="fr-FR"/>
        </w:rPr>
      </w:pPr>
    </w:p>
    <w:tbl>
      <w:tblPr>
        <w:tblStyle w:val="TableGrid1"/>
        <w:tblW w:w="5000" w:type="pct"/>
        <w:tblLook w:val="04A0" w:firstRow="1" w:lastRow="0" w:firstColumn="1" w:lastColumn="0" w:noHBand="0" w:noVBand="1"/>
      </w:tblPr>
      <w:tblGrid>
        <w:gridCol w:w="14174"/>
      </w:tblGrid>
      <w:tr w:rsidR="00914A1A" w:rsidRPr="00E7362F" w14:paraId="1241FB1D" w14:textId="77777777" w:rsidTr="00914A1A">
        <w:tc>
          <w:tcPr>
            <w:tcW w:w="5000" w:type="pct"/>
            <w:shd w:val="clear" w:color="auto" w:fill="000000" w:themeFill="text1"/>
          </w:tcPr>
          <w:p w14:paraId="5E94EC81" w14:textId="49C8BC68" w:rsidR="00914A1A" w:rsidRPr="00F8475A" w:rsidRDefault="00C769FD" w:rsidP="00F8475A">
            <w:pPr>
              <w:pStyle w:val="Heading1"/>
              <w:spacing w:before="0"/>
              <w:outlineLvl w:val="0"/>
              <w:rPr>
                <w:rFonts w:asciiTheme="majorHAnsi" w:hAnsiTheme="majorHAnsi"/>
                <w:b/>
                <w:sz w:val="20"/>
                <w:szCs w:val="20"/>
                <w:lang w:val="fr-CH"/>
              </w:rPr>
            </w:pPr>
            <w:bookmarkStart w:id="4" w:name="_Toc455995958"/>
            <w:r w:rsidRPr="00F8475A">
              <w:rPr>
                <w:rFonts w:asciiTheme="majorHAnsi" w:hAnsiTheme="majorHAnsi"/>
                <w:b/>
                <w:color w:val="FFFFFF" w:themeColor="background1"/>
                <w:sz w:val="20"/>
                <w:szCs w:val="20"/>
                <w:lang w:val="fr-CH"/>
              </w:rPr>
              <w:t>Domaine de travail thématique n</w:t>
            </w:r>
            <w:r w:rsidR="00F8475A" w:rsidRPr="004466F6">
              <w:rPr>
                <w:rFonts w:asciiTheme="majorHAnsi" w:hAnsiTheme="majorHAnsi" w:cs="Arial"/>
                <w:color w:val="FFFFFF" w:themeColor="background1"/>
                <w:sz w:val="20"/>
                <w:szCs w:val="20"/>
                <w:vertAlign w:val="superscript"/>
                <w:lang w:val="fr-FR" w:eastAsia="en-US"/>
              </w:rPr>
              <w:t>o</w:t>
            </w:r>
            <w:r w:rsidRPr="004466F6">
              <w:rPr>
                <w:rFonts w:asciiTheme="majorHAnsi" w:hAnsiTheme="majorHAnsi"/>
                <w:b/>
                <w:color w:val="FFFFFF" w:themeColor="background1"/>
                <w:sz w:val="20"/>
                <w:szCs w:val="20"/>
                <w:lang w:val="fr-CH"/>
              </w:rPr>
              <w:t> </w:t>
            </w:r>
            <w:r w:rsidRPr="00F8475A">
              <w:rPr>
                <w:rFonts w:asciiTheme="majorHAnsi" w:hAnsiTheme="majorHAnsi"/>
                <w:b/>
                <w:color w:val="FFFFFF" w:themeColor="background1"/>
                <w:sz w:val="20"/>
                <w:szCs w:val="20"/>
                <w:lang w:val="fr-CH"/>
              </w:rPr>
              <w:t>1 : Méthodes et outils sur les meilleures pratiques pour le suivi des Sites Ramsar, y compris études, cartographies et inventaires reconnaissant les pratiques traditionnelles des peuples autochtones et des communautés locales</w:t>
            </w:r>
            <w:bookmarkEnd w:id="4"/>
            <w:r w:rsidRPr="00F8475A">
              <w:rPr>
                <w:rFonts w:asciiTheme="majorHAnsi" w:hAnsiTheme="majorHAnsi"/>
                <w:b/>
                <w:color w:val="FFFFFF" w:themeColor="background1"/>
                <w:sz w:val="20"/>
                <w:szCs w:val="20"/>
                <w:lang w:val="fr-CH"/>
              </w:rPr>
              <w:t xml:space="preserve"> </w:t>
            </w:r>
          </w:p>
        </w:tc>
      </w:tr>
    </w:tbl>
    <w:p w14:paraId="084B50BE" w14:textId="77777777" w:rsidR="00914A1A" w:rsidRPr="001A00DB" w:rsidRDefault="00914A1A" w:rsidP="000B0E5D">
      <w:pPr>
        <w:keepNext/>
        <w:keepLines/>
        <w:rPr>
          <w:rFonts w:asciiTheme="majorHAnsi" w:hAnsiTheme="majorHAnsi" w:cs="Arial"/>
          <w:sz w:val="20"/>
          <w:szCs w:val="20"/>
          <w:lang w:val="fr-FR"/>
        </w:rPr>
      </w:pPr>
    </w:p>
    <w:tbl>
      <w:tblPr>
        <w:tblStyle w:val="TableGrid21"/>
        <w:tblW w:w="5000" w:type="pct"/>
        <w:jc w:val="center"/>
        <w:tblLook w:val="04A0" w:firstRow="1" w:lastRow="0" w:firstColumn="1" w:lastColumn="0" w:noHBand="0" w:noVBand="1"/>
      </w:tblPr>
      <w:tblGrid>
        <w:gridCol w:w="3561"/>
        <w:gridCol w:w="10613"/>
      </w:tblGrid>
      <w:tr w:rsidR="00914A1A" w:rsidRPr="00E7362F" w14:paraId="5691AA28" w14:textId="77777777" w:rsidTr="00914A1A">
        <w:trPr>
          <w:jc w:val="center"/>
        </w:trPr>
        <w:tc>
          <w:tcPr>
            <w:tcW w:w="1256" w:type="pct"/>
          </w:tcPr>
          <w:p w14:paraId="65780D85" w14:textId="3CF8F9DD" w:rsidR="00914A1A" w:rsidRPr="001A00DB" w:rsidRDefault="00A1768B" w:rsidP="000B0E5D">
            <w:pPr>
              <w:keepNext/>
              <w:keepLines/>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Leader</w:t>
            </w:r>
            <w:r w:rsidR="00C769FD" w:rsidRPr="001A00DB">
              <w:rPr>
                <w:rFonts w:asciiTheme="majorHAnsi" w:eastAsia="Calibri" w:hAnsiTheme="majorHAnsi" w:cs="Arial"/>
                <w:sz w:val="20"/>
                <w:szCs w:val="20"/>
                <w:lang w:val="fr-FR"/>
              </w:rPr>
              <w:t>(s) de groupe de travail et</w:t>
            </w:r>
            <w:r w:rsidR="00E01336" w:rsidRPr="001A00DB">
              <w:rPr>
                <w:rFonts w:asciiTheme="majorHAnsi" w:eastAsia="Calibri" w:hAnsiTheme="majorHAnsi" w:cs="Arial"/>
                <w:sz w:val="20"/>
                <w:szCs w:val="20"/>
                <w:lang w:val="fr-FR"/>
              </w:rPr>
              <w:t xml:space="preserve"> </w:t>
            </w:r>
            <w:r w:rsidR="00914A1A" w:rsidRPr="001A00DB">
              <w:rPr>
                <w:rFonts w:asciiTheme="majorHAnsi" w:eastAsia="Calibri" w:hAnsiTheme="majorHAnsi" w:cs="Arial"/>
                <w:sz w:val="20"/>
                <w:szCs w:val="20"/>
                <w:lang w:val="fr-FR"/>
              </w:rPr>
              <w:t>participants</w:t>
            </w:r>
            <w:r w:rsidR="009746C1" w:rsidRPr="001A00DB">
              <w:rPr>
                <w:rFonts w:asciiTheme="majorHAnsi" w:eastAsia="Calibri" w:hAnsiTheme="majorHAnsi" w:cs="Arial"/>
                <w:sz w:val="20"/>
                <w:szCs w:val="20"/>
                <w:lang w:val="fr-FR"/>
              </w:rPr>
              <w:t> :</w:t>
            </w:r>
          </w:p>
        </w:tc>
        <w:tc>
          <w:tcPr>
            <w:tcW w:w="3744" w:type="pct"/>
          </w:tcPr>
          <w:p w14:paraId="49AB9576" w14:textId="01A714B8" w:rsidR="00914A1A" w:rsidRPr="001A00DB" w:rsidRDefault="003B6083" w:rsidP="000B0E5D">
            <w:pPr>
              <w:keepNext/>
              <w:keepLines/>
              <w:tabs>
                <w:tab w:val="left" w:pos="1095"/>
              </w:tabs>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 xml:space="preserve">Lars Dinesen, </w:t>
            </w:r>
            <w:r w:rsidR="00914A1A" w:rsidRPr="001A00DB">
              <w:rPr>
                <w:rFonts w:asciiTheme="majorHAnsi" w:eastAsia="Calibri" w:hAnsiTheme="majorHAnsi" w:cs="Arial"/>
                <w:b w:val="0"/>
                <w:sz w:val="20"/>
                <w:szCs w:val="20"/>
                <w:lang w:val="fr-FR"/>
              </w:rPr>
              <w:t>Max</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Finlayson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w:t>
            </w:r>
            <w:r w:rsidR="00A1768B" w:rsidRPr="001A00DB">
              <w:rPr>
                <w:rFonts w:asciiTheme="majorHAnsi" w:eastAsia="Calibri" w:hAnsiTheme="majorHAnsi" w:cs="Arial"/>
                <w:b w:val="0"/>
                <w:sz w:val="20"/>
                <w:szCs w:val="20"/>
                <w:lang w:val="fr-FR"/>
              </w:rPr>
              <w:t>leader</w:t>
            </w:r>
            <w:r w:rsidR="00914A1A"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Roy</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Gardner,</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Vincent</w:t>
            </w:r>
            <w:r w:rsidRPr="001A00DB">
              <w:rPr>
                <w:rFonts w:asciiTheme="majorHAnsi" w:eastAsia="Calibri" w:hAnsiTheme="majorHAnsi" w:cs="Arial"/>
                <w:b w:val="0"/>
                <w:sz w:val="20"/>
                <w:szCs w:val="20"/>
                <w:lang w:val="fr-FR"/>
              </w:rPr>
              <w:t xml:space="preserve"> V.</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Hilomen,</w:t>
            </w:r>
            <w:r w:rsidR="00E01336" w:rsidRPr="001A00DB">
              <w:rPr>
                <w:rFonts w:asciiTheme="majorHAnsi" w:eastAsia="Calibri" w:hAnsiTheme="majorHAnsi" w:cs="Arial"/>
                <w:b w:val="0"/>
                <w:sz w:val="20"/>
                <w:szCs w:val="20"/>
                <w:lang w:val="fr-FR"/>
              </w:rPr>
              <w:t xml:space="preserve"> </w:t>
            </w:r>
            <w:r w:rsidR="00F82E36" w:rsidRPr="001A00DB">
              <w:rPr>
                <w:rFonts w:asciiTheme="majorHAnsi" w:eastAsia="Calibri" w:hAnsiTheme="majorHAnsi" w:cs="Arial"/>
                <w:b w:val="0"/>
                <w:sz w:val="20"/>
                <w:szCs w:val="20"/>
                <w:lang w:val="fr-FR"/>
              </w:rPr>
              <w:t xml:space="preserve">Jari Ilmonen, </w:t>
            </w:r>
            <w:r w:rsidR="00914A1A" w:rsidRPr="001A00DB">
              <w:rPr>
                <w:rFonts w:asciiTheme="majorHAnsi" w:eastAsia="Calibri" w:hAnsiTheme="majorHAnsi" w:cs="Arial"/>
                <w:b w:val="0"/>
                <w:sz w:val="20"/>
                <w:szCs w:val="20"/>
                <w:lang w:val="fr-FR"/>
              </w:rPr>
              <w:t>Laura</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Martinez,</w:t>
            </w:r>
            <w:r w:rsidR="00E01336" w:rsidRPr="001A00DB">
              <w:rPr>
                <w:rFonts w:asciiTheme="majorHAnsi" w:eastAsia="Calibri" w:hAnsiTheme="majorHAnsi" w:cs="Arial"/>
                <w:b w:val="0"/>
                <w:sz w:val="20"/>
                <w:szCs w:val="20"/>
                <w:lang w:val="fr-FR"/>
              </w:rPr>
              <w:t xml:space="preserve"> </w:t>
            </w:r>
            <w:r w:rsidR="00F82E36" w:rsidRPr="001A00DB">
              <w:rPr>
                <w:rFonts w:asciiTheme="majorHAnsi" w:eastAsia="Calibri" w:hAnsiTheme="majorHAnsi" w:cs="Arial"/>
                <w:b w:val="0"/>
                <w:sz w:val="20"/>
                <w:szCs w:val="20"/>
                <w:lang w:val="fr-FR"/>
              </w:rPr>
              <w:t xml:space="preserve">Dulce Infante Mata, Rubén Quintana, </w:t>
            </w:r>
            <w:r w:rsidR="00914A1A" w:rsidRPr="001A00DB">
              <w:rPr>
                <w:rFonts w:asciiTheme="majorHAnsi" w:eastAsia="Calibri" w:hAnsiTheme="majorHAnsi" w:cs="Arial"/>
                <w:b w:val="0"/>
                <w:sz w:val="20"/>
                <w:szCs w:val="20"/>
                <w:lang w:val="fr-FR"/>
              </w:rPr>
              <w:t>Lisa-Maria</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Rebelo</w:t>
            </w:r>
            <w:r w:rsidR="00F82E36" w:rsidRPr="001A00DB">
              <w:rPr>
                <w:rFonts w:asciiTheme="majorHAnsi" w:eastAsia="Calibri" w:hAnsiTheme="majorHAnsi" w:cs="Arial"/>
                <w:b w:val="0"/>
                <w:sz w:val="20"/>
                <w:szCs w:val="20"/>
                <w:lang w:val="fr-FR"/>
              </w:rPr>
              <w:t>, Matt Walpole</w:t>
            </w:r>
          </w:p>
        </w:tc>
      </w:tr>
      <w:tr w:rsidR="00914A1A" w:rsidRPr="00E7362F" w14:paraId="4393D55A" w14:textId="77777777" w:rsidTr="00914A1A">
        <w:trPr>
          <w:jc w:val="center"/>
        </w:trPr>
        <w:tc>
          <w:tcPr>
            <w:tcW w:w="1256" w:type="pct"/>
          </w:tcPr>
          <w:p w14:paraId="2D3995A7" w14:textId="2DCF2CA3" w:rsidR="00914A1A" w:rsidRPr="001A00DB" w:rsidRDefault="00914A1A" w:rsidP="00C769FD">
            <w:pPr>
              <w:rPr>
                <w:rFonts w:asciiTheme="majorHAnsi" w:eastAsia="Calibri" w:hAnsiTheme="majorHAnsi" w:cs="Arial"/>
                <w:sz w:val="20"/>
                <w:szCs w:val="20"/>
                <w:lang w:val="fr-FR"/>
              </w:rPr>
            </w:pPr>
          </w:p>
        </w:tc>
        <w:tc>
          <w:tcPr>
            <w:tcW w:w="3744" w:type="pct"/>
          </w:tcPr>
          <w:p w14:paraId="152EE856" w14:textId="10EB4BFF" w:rsidR="00914A1A" w:rsidRPr="001A00DB" w:rsidRDefault="00914A1A" w:rsidP="00914A1A">
            <w:pPr>
              <w:rPr>
                <w:rFonts w:asciiTheme="majorHAnsi" w:eastAsia="Calibri" w:hAnsiTheme="majorHAnsi" w:cs="Arial"/>
                <w:b w:val="0"/>
                <w:sz w:val="20"/>
                <w:szCs w:val="20"/>
                <w:lang w:val="fr-FR"/>
              </w:rPr>
            </w:pPr>
          </w:p>
        </w:tc>
      </w:tr>
      <w:tr w:rsidR="00914A1A" w:rsidRPr="00E7362F" w14:paraId="43752BD9" w14:textId="77777777" w:rsidTr="00914A1A">
        <w:trPr>
          <w:jc w:val="center"/>
        </w:trPr>
        <w:tc>
          <w:tcPr>
            <w:tcW w:w="1256" w:type="pct"/>
          </w:tcPr>
          <w:p w14:paraId="196CBAAF" w14:textId="7504885F" w:rsidR="00914A1A" w:rsidRPr="001A00DB" w:rsidRDefault="00C769FD" w:rsidP="00C769FD">
            <w:pPr>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 xml:space="preserve">Organisations participantes : </w:t>
            </w:r>
            <w:r w:rsidR="00914A1A" w:rsidRPr="001A00DB">
              <w:rPr>
                <w:rFonts w:asciiTheme="majorHAnsi" w:eastAsia="Calibri" w:hAnsiTheme="majorHAnsi" w:cs="Arial"/>
                <w:sz w:val="20"/>
                <w:szCs w:val="20"/>
                <w:lang w:val="fr-FR"/>
              </w:rPr>
              <w:t>[</w:t>
            </w:r>
            <w:r w:rsidRPr="001A00DB">
              <w:rPr>
                <w:rFonts w:asciiTheme="majorHAnsi" w:eastAsia="Calibri" w:hAnsiTheme="majorHAnsi" w:cs="Arial"/>
                <w:sz w:val="20"/>
                <w:szCs w:val="20"/>
                <w:lang w:val="fr-FR"/>
              </w:rPr>
              <w:t>OIP</w:t>
            </w:r>
            <w:r w:rsidR="00914A1A" w:rsidRPr="001A00DB">
              <w:rPr>
                <w:rFonts w:asciiTheme="majorHAnsi" w:eastAsia="Calibri" w:hAnsiTheme="majorHAnsi" w:cs="Arial"/>
                <w:sz w:val="20"/>
                <w:szCs w:val="20"/>
                <w:lang w:val="fr-FR"/>
              </w:rPr>
              <w:t>/observ</w:t>
            </w:r>
            <w:r w:rsidRPr="001A00DB">
              <w:rPr>
                <w:rFonts w:asciiTheme="majorHAnsi" w:eastAsia="Calibri" w:hAnsiTheme="majorHAnsi" w:cs="Arial"/>
                <w:sz w:val="20"/>
                <w:szCs w:val="20"/>
                <w:lang w:val="fr-FR"/>
              </w:rPr>
              <w:t>ateurs</w:t>
            </w:r>
            <w:r w:rsidR="00914A1A" w:rsidRPr="001A00DB">
              <w:rPr>
                <w:rFonts w:asciiTheme="majorHAnsi" w:eastAsia="Calibri" w:hAnsiTheme="majorHAnsi" w:cs="Arial"/>
                <w:sz w:val="20"/>
                <w:szCs w:val="20"/>
                <w:lang w:val="fr-FR"/>
              </w:rPr>
              <w:t>/</w:t>
            </w:r>
            <w:r w:rsidRPr="001A00DB">
              <w:rPr>
                <w:rFonts w:asciiTheme="majorHAnsi" w:eastAsia="Calibri" w:hAnsiTheme="majorHAnsi" w:cs="Arial"/>
                <w:sz w:val="20"/>
                <w:szCs w:val="20"/>
                <w:lang w:val="fr-FR"/>
              </w:rPr>
              <w:t>autres</w:t>
            </w:r>
            <w:r w:rsidR="00914A1A" w:rsidRPr="001A00DB">
              <w:rPr>
                <w:rFonts w:asciiTheme="majorHAnsi" w:eastAsia="Calibri" w:hAnsiTheme="majorHAnsi" w:cs="Arial"/>
                <w:sz w:val="20"/>
                <w:szCs w:val="20"/>
                <w:lang w:val="fr-FR"/>
              </w:rPr>
              <w:t>]</w:t>
            </w:r>
          </w:p>
        </w:tc>
        <w:tc>
          <w:tcPr>
            <w:tcW w:w="3744" w:type="pct"/>
          </w:tcPr>
          <w:p w14:paraId="7B428F02" w14:textId="6DA0338D" w:rsidR="00914A1A" w:rsidRPr="001A00DB" w:rsidRDefault="00914A1A" w:rsidP="00761320">
            <w:pPr>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Wetlands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International</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(WI)</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(Marcel</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Silvius),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WWF</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International</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(Denis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Landenbergue)/</w:t>
            </w:r>
            <w:r w:rsidR="00E01336" w:rsidRPr="001A00DB">
              <w:rPr>
                <w:rFonts w:asciiTheme="majorHAnsi" w:eastAsia="Calibri" w:hAnsiTheme="majorHAnsi" w:cs="Arial"/>
                <w:b w:val="0"/>
                <w:sz w:val="20"/>
                <w:szCs w:val="20"/>
                <w:lang w:val="fr-FR"/>
              </w:rPr>
              <w:t xml:space="preserve"> </w:t>
            </w:r>
            <w:r w:rsidR="00130D8F" w:rsidRPr="001A00DB">
              <w:rPr>
                <w:rFonts w:asciiTheme="majorHAnsi" w:eastAsia="Calibri" w:hAnsiTheme="majorHAnsi" w:cs="Arial"/>
                <w:b w:val="0"/>
                <w:sz w:val="20"/>
                <w:szCs w:val="20"/>
                <w:lang w:val="fr-FR"/>
              </w:rPr>
              <w:t>Secrétariat de la CDB</w:t>
            </w:r>
            <w:r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00130D8F" w:rsidRPr="001A00DB">
              <w:rPr>
                <w:rFonts w:asciiTheme="majorHAnsi" w:eastAsia="Calibri" w:hAnsiTheme="majorHAnsi" w:cs="Arial"/>
                <w:b w:val="0"/>
                <w:sz w:val="20"/>
                <w:szCs w:val="20"/>
                <w:lang w:val="fr-FR"/>
              </w:rPr>
              <w:t>Agence spatiale européenne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(ESA)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(Marc</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Paganini),</w:t>
            </w:r>
            <w:r w:rsidR="00E01336" w:rsidRPr="001A00DB">
              <w:rPr>
                <w:rFonts w:asciiTheme="majorHAnsi" w:eastAsia="Calibri" w:hAnsiTheme="majorHAnsi" w:cs="Arial"/>
                <w:b w:val="0"/>
                <w:sz w:val="20"/>
                <w:szCs w:val="20"/>
                <w:lang w:val="fr-FR"/>
              </w:rPr>
              <w:t xml:space="preserve"> </w:t>
            </w:r>
            <w:r w:rsidR="003B6083" w:rsidRPr="001A00DB">
              <w:rPr>
                <w:rFonts w:asciiTheme="majorHAnsi" w:eastAsia="Calibri" w:hAnsiTheme="majorHAnsi" w:cs="Arial"/>
                <w:b w:val="0"/>
                <w:sz w:val="20"/>
                <w:szCs w:val="20"/>
                <w:lang w:val="fr-FR"/>
              </w:rPr>
              <w:t xml:space="preserve">Société internationale de la tourbe (SIT) (Jack Rieley), </w:t>
            </w:r>
            <w:r w:rsidR="00130D8F" w:rsidRPr="001A00DB">
              <w:rPr>
                <w:rFonts w:asciiTheme="majorHAnsi" w:eastAsia="Calibri" w:hAnsiTheme="majorHAnsi" w:cs="Arial"/>
                <w:b w:val="0"/>
                <w:sz w:val="20"/>
                <w:szCs w:val="20"/>
                <w:lang w:val="fr-FR"/>
              </w:rPr>
              <w:t>Agence japonaise d’exploration aérospatiale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(JAXA)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(Ake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Rosenqvist,</w:t>
            </w:r>
            <w:r w:rsidR="00E01336" w:rsidRPr="001A00DB">
              <w:rPr>
                <w:rFonts w:asciiTheme="majorHAnsi" w:eastAsia="Calibri" w:hAnsiTheme="majorHAnsi" w:cs="Arial"/>
                <w:b w:val="0"/>
                <w:sz w:val="20"/>
                <w:szCs w:val="20"/>
                <w:lang w:val="fr-FR"/>
              </w:rPr>
              <w:t xml:space="preserve"> </w:t>
            </w:r>
            <w:r w:rsidR="00761320" w:rsidRPr="001A00DB">
              <w:rPr>
                <w:rFonts w:asciiTheme="majorHAnsi" w:eastAsia="Calibri" w:hAnsiTheme="majorHAnsi" w:cs="Arial"/>
                <w:b w:val="0"/>
                <w:sz w:val="20"/>
                <w:szCs w:val="20"/>
                <w:lang w:val="fr-FR"/>
              </w:rPr>
              <w:t>Shizu Yabe</w:t>
            </w:r>
            <w:r w:rsidR="00761320" w:rsidRPr="001A00DB">
              <w:rPr>
                <w:rStyle w:val="FootnoteReference"/>
                <w:rFonts w:asciiTheme="majorHAnsi" w:eastAsia="Calibri" w:hAnsiTheme="majorHAnsi" w:cs="Arial"/>
                <w:b w:val="0"/>
                <w:sz w:val="20"/>
                <w:szCs w:val="20"/>
                <w:lang w:val="fr-FR"/>
              </w:rPr>
              <w:footnoteReference w:id="1"/>
            </w:r>
            <w:r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Society</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of</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Wetland</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Scientists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(SWS)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(Nick</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Davidson),</w:t>
            </w:r>
            <w:r w:rsidR="00E01336" w:rsidRPr="001A00DB">
              <w:rPr>
                <w:rFonts w:asciiTheme="majorHAnsi" w:eastAsia="Calibri" w:hAnsiTheme="majorHAnsi" w:cs="Arial"/>
                <w:b w:val="0"/>
                <w:sz w:val="20"/>
                <w:szCs w:val="20"/>
                <w:lang w:val="fr-FR"/>
              </w:rPr>
              <w:t xml:space="preserve"> </w:t>
            </w:r>
            <w:r w:rsidR="003B6083" w:rsidRPr="001A00DB">
              <w:rPr>
                <w:rFonts w:asciiTheme="majorHAnsi" w:eastAsia="Calibri" w:hAnsiTheme="majorHAnsi" w:cs="Arial"/>
                <w:b w:val="0"/>
                <w:sz w:val="20"/>
                <w:szCs w:val="20"/>
                <w:lang w:val="fr-FR"/>
              </w:rPr>
              <w:t>TNC (Boze Hancok)</w:t>
            </w:r>
            <w:r w:rsidR="00F571E9"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Tour</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du</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Valat</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(Christian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Perennou),</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UNESCO-IHE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(Anne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van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Dam),</w:t>
            </w:r>
            <w:r w:rsidR="00E01336" w:rsidRPr="001A00DB">
              <w:rPr>
                <w:rFonts w:asciiTheme="majorHAnsi" w:eastAsia="Calibri" w:hAnsiTheme="majorHAnsi" w:cs="Arial"/>
                <w:b w:val="0"/>
                <w:sz w:val="20"/>
                <w:szCs w:val="20"/>
                <w:lang w:val="fr-FR"/>
              </w:rPr>
              <w:t xml:space="preserve"> </w:t>
            </w:r>
            <w:r w:rsidR="00F571E9" w:rsidRPr="001A00DB">
              <w:rPr>
                <w:rFonts w:asciiTheme="majorHAnsi" w:eastAsia="Calibri" w:hAnsiTheme="majorHAnsi" w:cs="Arial"/>
                <w:b w:val="0"/>
                <w:sz w:val="20"/>
                <w:szCs w:val="20"/>
                <w:lang w:val="fr-FR"/>
              </w:rPr>
              <w:t xml:space="preserve">WCMC (Diego Juffe-Bignoli), </w:t>
            </w:r>
            <w:r w:rsidR="00130D8F" w:rsidRPr="001A00DB">
              <w:rPr>
                <w:rFonts w:asciiTheme="majorHAnsi" w:eastAsia="Calibri" w:hAnsiTheme="majorHAnsi" w:cs="Arial"/>
                <w:b w:val="0"/>
                <w:sz w:val="20"/>
                <w:szCs w:val="20"/>
                <w:lang w:val="fr-FR"/>
              </w:rPr>
              <w:t>Centre du patrimoine mondial</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(Tim</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Badman)/</w:t>
            </w:r>
            <w:r w:rsidR="00E01336" w:rsidRPr="001A00DB">
              <w:rPr>
                <w:rFonts w:asciiTheme="majorHAnsi" w:eastAsia="Calibri" w:hAnsiTheme="majorHAnsi" w:cs="Arial"/>
                <w:b w:val="0"/>
                <w:sz w:val="20"/>
                <w:szCs w:val="20"/>
                <w:lang w:val="fr-FR"/>
              </w:rPr>
              <w:t xml:space="preserve"> </w:t>
            </w:r>
            <w:r w:rsidR="00130D8F" w:rsidRPr="001A00DB">
              <w:rPr>
                <w:rFonts w:asciiTheme="majorHAnsi" w:eastAsia="Calibri" w:hAnsiTheme="majorHAnsi" w:cs="Arial"/>
                <w:b w:val="0"/>
                <w:sz w:val="20"/>
                <w:szCs w:val="20"/>
                <w:lang w:val="fr-FR"/>
              </w:rPr>
              <w:t>CN GEST</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Canada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(Barry</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Warner),</w:t>
            </w:r>
            <w:r w:rsidR="00E01336" w:rsidRPr="001A00DB">
              <w:rPr>
                <w:rFonts w:asciiTheme="majorHAnsi" w:eastAsia="Calibri" w:hAnsiTheme="majorHAnsi" w:cs="Arial"/>
                <w:b w:val="0"/>
                <w:sz w:val="20"/>
                <w:szCs w:val="20"/>
                <w:lang w:val="fr-FR"/>
              </w:rPr>
              <w:t xml:space="preserve"> </w:t>
            </w:r>
            <w:r w:rsidR="00130D8F" w:rsidRPr="001A00DB">
              <w:rPr>
                <w:rFonts w:asciiTheme="majorHAnsi" w:eastAsia="Calibri" w:hAnsiTheme="majorHAnsi" w:cs="Arial"/>
                <w:b w:val="0"/>
                <w:sz w:val="20"/>
                <w:szCs w:val="20"/>
                <w:lang w:val="fr-FR"/>
              </w:rPr>
              <w:t>CN GEST Malaisie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(Abdul,</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Rahman</w:t>
            </w:r>
            <w:r w:rsidR="00F571E9" w:rsidRPr="001A00DB">
              <w:rPr>
                <w:rFonts w:asciiTheme="majorHAnsi" w:eastAsia="Calibri" w:hAnsiTheme="majorHAnsi" w:cs="Arial"/>
                <w:b w:val="0"/>
                <w:sz w:val="20"/>
                <w:szCs w:val="20"/>
                <w:lang w:val="fr-FR"/>
              </w:rPr>
              <w:t xml:space="preserve"> Kassim</w:t>
            </w:r>
            <w:r w:rsidRPr="001A00DB">
              <w:rPr>
                <w:rFonts w:asciiTheme="majorHAnsi" w:eastAsia="Calibri" w:hAnsiTheme="majorHAnsi" w:cs="Arial"/>
                <w:b w:val="0"/>
                <w:sz w:val="20"/>
                <w:szCs w:val="20"/>
                <w:lang w:val="fr-FR"/>
              </w:rPr>
              <w:t>)</w:t>
            </w:r>
            <w:r w:rsidR="00F571E9" w:rsidRPr="001A00DB">
              <w:rPr>
                <w:rFonts w:asciiTheme="majorHAnsi" w:eastAsia="Calibri" w:hAnsiTheme="majorHAnsi" w:cs="Arial"/>
                <w:b w:val="0"/>
                <w:sz w:val="20"/>
                <w:szCs w:val="20"/>
                <w:lang w:val="fr-FR"/>
              </w:rPr>
              <w:t>, CN GEST Portugal (Ana Mendes)</w:t>
            </w:r>
          </w:p>
        </w:tc>
      </w:tr>
    </w:tbl>
    <w:p w14:paraId="012001DF" w14:textId="412C8A5B" w:rsidR="00914A1A" w:rsidRPr="001A00DB" w:rsidRDefault="00914A1A" w:rsidP="00914A1A">
      <w:pPr>
        <w:rPr>
          <w:rFonts w:asciiTheme="majorHAnsi" w:hAnsiTheme="majorHAnsi" w:cs="Arial"/>
          <w:sz w:val="20"/>
          <w:szCs w:val="20"/>
          <w:lang w:val="fr-FR"/>
        </w:rPr>
      </w:pPr>
    </w:p>
    <w:p w14:paraId="64C4971A" w14:textId="0124D08A" w:rsidR="00914A1A" w:rsidRPr="001A00DB" w:rsidRDefault="00914A1A" w:rsidP="00914A1A">
      <w:pPr>
        <w:rPr>
          <w:rFonts w:asciiTheme="majorHAnsi" w:hAnsiTheme="majorHAnsi" w:cs="Arial"/>
          <w:sz w:val="20"/>
          <w:szCs w:val="20"/>
          <w:lang w:val="fr-FR"/>
        </w:rPr>
      </w:pP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1373"/>
        <w:gridCol w:w="847"/>
        <w:gridCol w:w="1098"/>
        <w:gridCol w:w="1134"/>
        <w:gridCol w:w="8221"/>
        <w:gridCol w:w="1399"/>
      </w:tblGrid>
      <w:tr w:rsidR="00914A1A" w:rsidRPr="001A00DB" w14:paraId="143AE3EB" w14:textId="77777777" w:rsidTr="00130D8F">
        <w:trPr>
          <w:tblHeader/>
        </w:trPr>
        <w:tc>
          <w:tcPr>
            <w:tcW w:w="488" w:type="pct"/>
            <w:shd w:val="clear" w:color="auto" w:fill="D9D9D9" w:themeFill="background1" w:themeFillShade="D9"/>
          </w:tcPr>
          <w:p w14:paraId="377126C8" w14:textId="75A654E5" w:rsidR="00914A1A" w:rsidRPr="001A00DB" w:rsidRDefault="00130D8F" w:rsidP="00130D8F">
            <w:pPr>
              <w:jc w:val="center"/>
              <w:rPr>
                <w:rFonts w:asciiTheme="majorHAnsi" w:hAnsiTheme="majorHAnsi" w:cs="Arial"/>
                <w:sz w:val="20"/>
                <w:szCs w:val="20"/>
                <w:lang w:val="fr-FR"/>
              </w:rPr>
            </w:pPr>
            <w:r w:rsidRPr="001A00DB">
              <w:rPr>
                <w:rFonts w:asciiTheme="majorHAnsi" w:hAnsiTheme="majorHAnsi" w:cs="Arial"/>
                <w:sz w:val="20"/>
                <w:szCs w:val="20"/>
                <w:lang w:val="fr-FR"/>
              </w:rPr>
              <w:t>N</w:t>
            </w:r>
            <w:r w:rsidRPr="001A00DB">
              <w:rPr>
                <w:rFonts w:asciiTheme="majorHAnsi" w:hAnsiTheme="majorHAnsi" w:cs="Arial"/>
                <w:sz w:val="20"/>
                <w:szCs w:val="20"/>
                <w:vertAlign w:val="superscript"/>
                <w:lang w:val="fr-FR"/>
              </w:rPr>
              <w:t>o</w:t>
            </w:r>
            <w:r w:rsidRPr="001A00DB">
              <w:rPr>
                <w:rFonts w:asciiTheme="majorHAnsi" w:hAnsiTheme="majorHAnsi" w:cs="Arial"/>
                <w:sz w:val="20"/>
                <w:szCs w:val="20"/>
                <w:lang w:val="fr-FR"/>
              </w:rPr>
              <w:t xml:space="preserve"> de tâche, titre </w:t>
            </w:r>
          </w:p>
        </w:tc>
        <w:tc>
          <w:tcPr>
            <w:tcW w:w="301" w:type="pct"/>
            <w:shd w:val="clear" w:color="auto" w:fill="D9D9D9" w:themeFill="background1" w:themeFillShade="D9"/>
          </w:tcPr>
          <w:p w14:paraId="0AE98500" w14:textId="57B223AA" w:rsidR="00914A1A" w:rsidRPr="001A00DB" w:rsidRDefault="00130D8F"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Priorité</w:t>
            </w:r>
          </w:p>
        </w:tc>
        <w:tc>
          <w:tcPr>
            <w:tcW w:w="390" w:type="pct"/>
            <w:shd w:val="clear" w:color="auto" w:fill="D9D9D9" w:themeFill="background1" w:themeFillShade="D9"/>
          </w:tcPr>
          <w:p w14:paraId="3BA00946" w14:textId="6B19A106" w:rsidR="00914A1A" w:rsidRPr="001A00DB" w:rsidRDefault="00130D8F" w:rsidP="00130D8F">
            <w:pPr>
              <w:jc w:val="center"/>
              <w:rPr>
                <w:rFonts w:asciiTheme="majorHAnsi" w:hAnsiTheme="majorHAnsi" w:cs="Arial"/>
                <w:sz w:val="20"/>
                <w:szCs w:val="20"/>
                <w:lang w:val="fr-FR"/>
              </w:rPr>
            </w:pPr>
            <w:r w:rsidRPr="001A00DB">
              <w:rPr>
                <w:rFonts w:asciiTheme="majorHAnsi" w:hAnsiTheme="majorHAnsi" w:cs="Arial"/>
                <w:sz w:val="20"/>
                <w:szCs w:val="20"/>
                <w:lang w:val="fr-FR"/>
              </w:rPr>
              <w:t>Ré</w:t>
            </w:r>
            <w:r w:rsidR="00914A1A" w:rsidRPr="001A00DB">
              <w:rPr>
                <w:rFonts w:asciiTheme="majorHAnsi" w:hAnsiTheme="majorHAnsi" w:cs="Arial"/>
                <w:sz w:val="20"/>
                <w:szCs w:val="20"/>
                <w:lang w:val="fr-FR"/>
              </w:rPr>
              <w:t>s</w:t>
            </w:r>
            <w:r w:rsidRPr="001A00DB">
              <w:rPr>
                <w:rFonts w:asciiTheme="majorHAnsi" w:hAnsiTheme="majorHAnsi" w:cs="Arial"/>
                <w:sz w:val="20"/>
                <w:szCs w:val="20"/>
                <w:lang w:val="fr-FR"/>
              </w:rPr>
              <w:t>olution</w:t>
            </w:r>
          </w:p>
        </w:tc>
        <w:tc>
          <w:tcPr>
            <w:tcW w:w="403" w:type="pct"/>
            <w:shd w:val="clear" w:color="auto" w:fill="D9D9D9" w:themeFill="background1" w:themeFillShade="D9"/>
          </w:tcPr>
          <w:p w14:paraId="059085B8" w14:textId="3CCEF230" w:rsidR="00914A1A" w:rsidRPr="001A00DB" w:rsidRDefault="00130D8F" w:rsidP="00914A1A">
            <w:pPr>
              <w:jc w:val="center"/>
              <w:rPr>
                <w:rFonts w:asciiTheme="majorHAnsi" w:hAnsiTheme="majorHAnsi" w:cs="Arial"/>
                <w:sz w:val="20"/>
                <w:szCs w:val="20"/>
                <w:lang w:val="fr-FR"/>
              </w:rPr>
            </w:pPr>
            <w:r w:rsidRPr="001A00DB">
              <w:rPr>
                <w:rFonts w:asciiTheme="majorHAnsi" w:eastAsia="Calibri" w:hAnsiTheme="majorHAnsi" w:cs="Arial"/>
                <w:sz w:val="20"/>
                <w:szCs w:val="20"/>
                <w:lang w:val="fr-FR"/>
              </w:rPr>
              <w:t>But et objectif PS</w:t>
            </w:r>
          </w:p>
        </w:tc>
        <w:tc>
          <w:tcPr>
            <w:tcW w:w="2921" w:type="pct"/>
            <w:shd w:val="clear" w:color="auto" w:fill="D9D9D9" w:themeFill="background1" w:themeFillShade="D9"/>
          </w:tcPr>
          <w:p w14:paraId="14669BAB" w14:textId="7DA6700E" w:rsidR="00914A1A" w:rsidRPr="001A00DB" w:rsidRDefault="00130D8F" w:rsidP="008E6B37">
            <w:pPr>
              <w:jc w:val="center"/>
              <w:rPr>
                <w:rFonts w:asciiTheme="majorHAnsi" w:hAnsiTheme="majorHAnsi" w:cs="Arial"/>
                <w:sz w:val="20"/>
                <w:szCs w:val="20"/>
                <w:lang w:val="fr-FR"/>
              </w:rPr>
            </w:pPr>
            <w:r w:rsidRPr="001A00DB">
              <w:rPr>
                <w:rFonts w:asciiTheme="majorHAnsi" w:hAnsiTheme="majorHAnsi" w:cs="Arial"/>
                <w:sz w:val="20"/>
                <w:szCs w:val="20"/>
                <w:lang w:val="fr-FR"/>
              </w:rPr>
              <w:t xml:space="preserve">Description de tâche, résultats escomptés </w:t>
            </w:r>
            <w:r w:rsidR="008E6B37" w:rsidRPr="001A00DB">
              <w:rPr>
                <w:rFonts w:asciiTheme="majorHAnsi" w:hAnsiTheme="majorHAnsi" w:cs="Arial"/>
                <w:sz w:val="20"/>
                <w:szCs w:val="20"/>
                <w:lang w:val="fr-FR"/>
              </w:rPr>
              <w:t>et publics ciblés</w:t>
            </w:r>
          </w:p>
        </w:tc>
        <w:tc>
          <w:tcPr>
            <w:tcW w:w="497" w:type="pct"/>
            <w:shd w:val="clear" w:color="auto" w:fill="D9D9D9" w:themeFill="background1" w:themeFillShade="D9"/>
          </w:tcPr>
          <w:p w14:paraId="3F6EAEF6" w14:textId="0F2C6720" w:rsidR="00914A1A" w:rsidRPr="001A00DB" w:rsidRDefault="00130D8F"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Coût</w:t>
            </w:r>
            <w:r w:rsidR="00914A1A" w:rsidRPr="001A00DB">
              <w:rPr>
                <w:rFonts w:asciiTheme="majorHAnsi" w:hAnsiTheme="majorHAnsi" w:cs="Arial"/>
                <w:sz w:val="20"/>
                <w:szCs w:val="20"/>
                <w:lang w:val="fr-FR"/>
              </w:rPr>
              <w:t>s</w:t>
            </w:r>
            <w:r w:rsidR="00E01336" w:rsidRPr="001A00DB">
              <w:rPr>
                <w:rFonts w:asciiTheme="majorHAnsi" w:hAnsiTheme="majorHAnsi" w:cs="Arial"/>
                <w:sz w:val="20"/>
                <w:szCs w:val="20"/>
                <w:lang w:val="fr-FR"/>
              </w:rPr>
              <w:t xml:space="preserve"> </w:t>
            </w:r>
            <w:r w:rsidR="00914A1A" w:rsidRPr="001A00DB">
              <w:rPr>
                <w:rFonts w:asciiTheme="majorHAnsi" w:hAnsiTheme="majorHAnsi" w:cs="Arial"/>
                <w:sz w:val="20"/>
                <w:szCs w:val="20"/>
                <w:lang w:val="fr-FR"/>
              </w:rPr>
              <w:t>CHF</w:t>
            </w:r>
          </w:p>
        </w:tc>
      </w:tr>
      <w:tr w:rsidR="00914A1A" w:rsidRPr="001A00DB" w14:paraId="354E164F" w14:textId="77777777" w:rsidTr="00130D8F">
        <w:tc>
          <w:tcPr>
            <w:tcW w:w="488" w:type="pct"/>
          </w:tcPr>
          <w:p w14:paraId="32466BF7" w14:textId="5FCB25BB" w:rsidR="00914A1A" w:rsidRPr="001A00DB" w:rsidRDefault="00130D8F" w:rsidP="00C8217C">
            <w:pPr>
              <w:rPr>
                <w:rFonts w:asciiTheme="majorHAnsi" w:hAnsiTheme="majorHAnsi" w:cs="Arial"/>
                <w:b w:val="0"/>
                <w:sz w:val="20"/>
                <w:szCs w:val="20"/>
                <w:lang w:val="fr-FR"/>
              </w:rPr>
            </w:pPr>
            <w:r w:rsidRPr="001A00DB">
              <w:rPr>
                <w:rFonts w:asciiTheme="majorHAnsi" w:hAnsiTheme="majorHAnsi" w:cs="Arial"/>
                <w:b w:val="0"/>
                <w:sz w:val="20"/>
                <w:szCs w:val="20"/>
                <w:vertAlign w:val="superscript"/>
                <w:lang w:val="fr-FR"/>
              </w:rPr>
              <w:t> </w:t>
            </w:r>
            <w:r w:rsidR="00914A1A" w:rsidRPr="001A00DB">
              <w:rPr>
                <w:rFonts w:asciiTheme="majorHAnsi" w:hAnsiTheme="majorHAnsi" w:cs="Arial"/>
                <w:b w:val="0"/>
                <w:sz w:val="20"/>
                <w:szCs w:val="20"/>
                <w:lang w:val="fr-FR"/>
              </w:rPr>
              <w:t>1.1</w:t>
            </w:r>
            <w:r w:rsidR="00E56010" w:rsidRPr="001A00DB">
              <w:rPr>
                <w:rFonts w:asciiTheme="majorHAnsi" w:hAnsiTheme="majorHAnsi" w:cs="Arial"/>
                <w:b w:val="0"/>
                <w:sz w:val="20"/>
                <w:szCs w:val="20"/>
                <w:lang w:val="fr-FR"/>
              </w:rPr>
              <w:t xml:space="preserve"> </w:t>
            </w:r>
            <w:r w:rsidR="00955B5D" w:rsidRPr="001A00DB">
              <w:rPr>
                <w:rFonts w:asciiTheme="majorHAnsi" w:hAnsiTheme="majorHAnsi" w:cs="Arial"/>
                <w:b w:val="0"/>
                <w:sz w:val="20"/>
                <w:szCs w:val="20"/>
                <w:lang w:val="fr-FR"/>
              </w:rPr>
              <w:t>L’observation de la Terre en tant qu’outil de « meilleure</w:t>
            </w:r>
            <w:r w:rsidR="0002742F" w:rsidRPr="001A00DB">
              <w:rPr>
                <w:rFonts w:asciiTheme="majorHAnsi" w:hAnsiTheme="majorHAnsi" w:cs="Arial"/>
                <w:b w:val="0"/>
                <w:sz w:val="20"/>
                <w:szCs w:val="20"/>
                <w:lang w:val="fr-FR"/>
              </w:rPr>
              <w:t>s</w:t>
            </w:r>
            <w:r w:rsidR="00955B5D" w:rsidRPr="001A00DB">
              <w:rPr>
                <w:rFonts w:asciiTheme="majorHAnsi" w:hAnsiTheme="majorHAnsi" w:cs="Arial"/>
                <w:b w:val="0"/>
                <w:sz w:val="20"/>
                <w:szCs w:val="20"/>
                <w:lang w:val="fr-FR"/>
              </w:rPr>
              <w:t xml:space="preserve"> pratique</w:t>
            </w:r>
            <w:r w:rsidR="0002742F" w:rsidRPr="001A00DB">
              <w:rPr>
                <w:rFonts w:asciiTheme="majorHAnsi" w:hAnsiTheme="majorHAnsi" w:cs="Arial"/>
                <w:b w:val="0"/>
                <w:sz w:val="20"/>
                <w:szCs w:val="20"/>
                <w:lang w:val="fr-FR"/>
              </w:rPr>
              <w:t>s</w:t>
            </w:r>
            <w:r w:rsidR="00955B5D" w:rsidRPr="001A00DB">
              <w:rPr>
                <w:rFonts w:asciiTheme="majorHAnsi" w:hAnsiTheme="majorHAnsi" w:cs="Arial"/>
                <w:b w:val="0"/>
                <w:sz w:val="20"/>
                <w:szCs w:val="20"/>
                <w:lang w:val="fr-FR"/>
              </w:rPr>
              <w:t xml:space="preserve"> » pour inventorier, cartographier et surveiller les zones </w:t>
            </w:r>
            <w:r w:rsidR="00955B5D" w:rsidRPr="001A00DB">
              <w:rPr>
                <w:rFonts w:asciiTheme="majorHAnsi" w:hAnsiTheme="majorHAnsi" w:cs="Arial"/>
                <w:b w:val="0"/>
                <w:sz w:val="20"/>
                <w:szCs w:val="20"/>
                <w:lang w:val="fr-FR"/>
              </w:rPr>
              <w:lastRenderedPageBreak/>
              <w:t xml:space="preserve">humides, y compris les Sites Ramsar </w:t>
            </w:r>
          </w:p>
        </w:tc>
        <w:tc>
          <w:tcPr>
            <w:tcW w:w="301" w:type="pct"/>
          </w:tcPr>
          <w:p w14:paraId="52A8A20B" w14:textId="7C7D987F" w:rsidR="00914A1A" w:rsidRPr="001A00DB" w:rsidRDefault="006C0AEC" w:rsidP="006C0AEC">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H</w:t>
            </w:r>
            <w:r w:rsidR="008E6B37" w:rsidRPr="001A00DB">
              <w:rPr>
                <w:rFonts w:asciiTheme="majorHAnsi" w:hAnsiTheme="majorHAnsi" w:cs="Arial"/>
                <w:b w:val="0"/>
                <w:sz w:val="20"/>
                <w:szCs w:val="20"/>
                <w:lang w:val="fr-FR"/>
              </w:rPr>
              <w:t>aute</w:t>
            </w:r>
          </w:p>
        </w:tc>
        <w:tc>
          <w:tcPr>
            <w:tcW w:w="390" w:type="pct"/>
          </w:tcPr>
          <w:p w14:paraId="46D566E5" w14:textId="77777777" w:rsidR="00914A1A" w:rsidRPr="001A00DB" w:rsidRDefault="00914A1A"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XII.5,</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¶25</w:t>
            </w:r>
          </w:p>
          <w:p w14:paraId="2A5D6C7E" w14:textId="317B2548" w:rsidR="00E56010" w:rsidRPr="001A00DB" w:rsidRDefault="00E56010" w:rsidP="00955B5D">
            <w:pPr>
              <w:rPr>
                <w:rFonts w:asciiTheme="majorHAnsi" w:hAnsiTheme="majorHAnsi" w:cs="Arial"/>
                <w:b w:val="0"/>
                <w:sz w:val="20"/>
                <w:szCs w:val="20"/>
                <w:lang w:val="fr-FR"/>
              </w:rPr>
            </w:pPr>
            <w:r w:rsidRPr="001A00DB">
              <w:rPr>
                <w:rFonts w:asciiTheme="majorHAnsi" w:hAnsiTheme="majorHAnsi" w:cs="Arial"/>
                <w:b w:val="0"/>
                <w:sz w:val="20"/>
                <w:szCs w:val="20"/>
                <w:lang w:val="fr-FR"/>
              </w:rPr>
              <w:t>(comme élément de SoWWS)</w:t>
            </w:r>
          </w:p>
        </w:tc>
        <w:tc>
          <w:tcPr>
            <w:tcW w:w="403" w:type="pct"/>
          </w:tcPr>
          <w:p w14:paraId="5D17F836" w14:textId="38EF13BF" w:rsidR="00914A1A" w:rsidRPr="001A00DB" w:rsidRDefault="00E56010" w:rsidP="00E56010">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2.5, 2.7; </w:t>
            </w:r>
            <w:r w:rsidR="00914A1A" w:rsidRPr="001A00DB">
              <w:rPr>
                <w:rFonts w:asciiTheme="majorHAnsi" w:hAnsiTheme="majorHAnsi" w:cs="Arial"/>
                <w:b w:val="0"/>
                <w:sz w:val="20"/>
                <w:szCs w:val="20"/>
                <w:lang w:val="fr-FR"/>
              </w:rPr>
              <w:t>4.14</w:t>
            </w:r>
            <w:r w:rsidR="00E01336" w:rsidRPr="001A00DB">
              <w:rPr>
                <w:rFonts w:asciiTheme="majorHAnsi" w:hAnsiTheme="majorHAnsi" w:cs="Arial"/>
                <w:b w:val="0"/>
                <w:sz w:val="20"/>
                <w:szCs w:val="20"/>
                <w:lang w:val="fr-FR"/>
              </w:rPr>
              <w:t xml:space="preserve"> </w:t>
            </w:r>
          </w:p>
        </w:tc>
        <w:tc>
          <w:tcPr>
            <w:tcW w:w="2921" w:type="pct"/>
          </w:tcPr>
          <w:p w14:paraId="7B9A12AB" w14:textId="028B9735" w:rsidR="00914A1A" w:rsidRPr="001A00DB" w:rsidRDefault="00130D8F"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w:t>
            </w:r>
            <w:r w:rsidR="00914A1A" w:rsidRPr="001A00DB">
              <w:rPr>
                <w:rFonts w:asciiTheme="majorHAnsi" w:hAnsiTheme="majorHAnsi" w:cs="Arial"/>
                <w:b w:val="0"/>
                <w:sz w:val="20"/>
                <w:szCs w:val="20"/>
                <w:lang w:val="fr-FR"/>
              </w:rPr>
              <w:t>:</w:t>
            </w:r>
            <w:r w:rsidR="00E01336" w:rsidRPr="001A00DB">
              <w:rPr>
                <w:rFonts w:asciiTheme="majorHAnsi" w:hAnsiTheme="majorHAnsi" w:cs="Arial"/>
                <w:b w:val="0"/>
                <w:sz w:val="20"/>
                <w:szCs w:val="20"/>
                <w:lang w:val="fr-FR"/>
              </w:rPr>
              <w:t xml:space="preserve"> </w:t>
            </w:r>
            <w:r w:rsidR="00955B5D" w:rsidRPr="001A00DB">
              <w:rPr>
                <w:rFonts w:asciiTheme="majorHAnsi" w:hAnsiTheme="majorHAnsi" w:cs="Arial"/>
                <w:b w:val="0"/>
                <w:sz w:val="20"/>
                <w:szCs w:val="20"/>
                <w:lang w:val="fr-FR"/>
              </w:rPr>
              <w:t xml:space="preserve">Examiner et faire rapport sur le rôle et l’utilisation de l’observation de la Terre pour inventorier, cartographier et surveiller les zones humides, y compris les Sites Ramsar. </w:t>
            </w:r>
            <w:r w:rsidR="00C8217C" w:rsidRPr="001A00DB">
              <w:rPr>
                <w:rFonts w:asciiTheme="majorHAnsi" w:hAnsiTheme="majorHAnsi" w:cs="Arial"/>
                <w:b w:val="0"/>
                <w:sz w:val="20"/>
                <w:szCs w:val="20"/>
                <w:lang w:val="fr-FR"/>
              </w:rPr>
              <w:t xml:space="preserve">Un </w:t>
            </w:r>
            <w:r w:rsidR="00C8217C" w:rsidRPr="001A00DB">
              <w:rPr>
                <w:rFonts w:asciiTheme="majorHAnsi" w:hAnsiTheme="majorHAnsi" w:cs="Calibri"/>
                <w:b w:val="0"/>
                <w:bCs/>
                <w:sz w:val="20"/>
                <w:szCs w:val="20"/>
                <w:lang w:val="fr-FR"/>
              </w:rPr>
              <w:t>Rapport technique Ramsar (RTR) sera consacré au</w:t>
            </w:r>
            <w:r w:rsidR="00536C73" w:rsidRPr="001A00DB">
              <w:rPr>
                <w:rFonts w:asciiTheme="majorHAnsi" w:hAnsiTheme="majorHAnsi" w:cs="Calibri"/>
                <w:b w:val="0"/>
                <w:bCs/>
                <w:sz w:val="20"/>
                <w:szCs w:val="20"/>
                <w:lang w:val="fr-FR"/>
              </w:rPr>
              <w:t xml:space="preserve"> Global Mangrove Watch,</w:t>
            </w:r>
            <w:r w:rsidR="00C8217C" w:rsidRPr="001A00DB">
              <w:rPr>
                <w:rFonts w:asciiTheme="majorHAnsi" w:hAnsiTheme="majorHAnsi" w:cs="Calibri"/>
                <w:b w:val="0"/>
                <w:bCs/>
                <w:sz w:val="20"/>
                <w:szCs w:val="20"/>
                <w:lang w:val="fr-FR"/>
              </w:rPr>
              <w:t xml:space="preserve"> à</w:t>
            </w:r>
            <w:r w:rsidR="00536C73" w:rsidRPr="001A00DB">
              <w:rPr>
                <w:rFonts w:asciiTheme="majorHAnsi" w:hAnsiTheme="majorHAnsi" w:cs="Calibri"/>
                <w:b w:val="0"/>
                <w:bCs/>
                <w:sz w:val="20"/>
                <w:szCs w:val="20"/>
                <w:lang w:val="fr-FR"/>
              </w:rPr>
              <w:t xml:space="preserve"> GlobWetland Afri</w:t>
            </w:r>
            <w:r w:rsidR="00955B5D" w:rsidRPr="001A00DB">
              <w:rPr>
                <w:rFonts w:asciiTheme="majorHAnsi" w:hAnsiTheme="majorHAnsi" w:cs="Calibri"/>
                <w:b w:val="0"/>
                <w:bCs/>
                <w:sz w:val="20"/>
                <w:szCs w:val="20"/>
                <w:lang w:val="fr-FR"/>
              </w:rPr>
              <w:t xml:space="preserve">que et </w:t>
            </w:r>
            <w:r w:rsidR="00C8217C" w:rsidRPr="001A00DB">
              <w:rPr>
                <w:rFonts w:asciiTheme="majorHAnsi" w:hAnsiTheme="majorHAnsi" w:cs="Calibri"/>
                <w:b w:val="0"/>
                <w:bCs/>
                <w:sz w:val="20"/>
                <w:szCs w:val="20"/>
                <w:lang w:val="fr-FR"/>
              </w:rPr>
              <w:t>à d’</w:t>
            </w:r>
            <w:r w:rsidR="00955B5D" w:rsidRPr="001A00DB">
              <w:rPr>
                <w:rFonts w:asciiTheme="majorHAnsi" w:hAnsiTheme="majorHAnsi" w:cs="Calibri"/>
                <w:b w:val="0"/>
                <w:bCs/>
                <w:sz w:val="20"/>
                <w:szCs w:val="20"/>
                <w:lang w:val="fr-FR"/>
              </w:rPr>
              <w:t xml:space="preserve">autres efforts d’observation de la Terre. Ce RTR discutera de l’utilisation de l’imagerie radar </w:t>
            </w:r>
            <w:r w:rsidR="00C8217C" w:rsidRPr="001A00DB">
              <w:rPr>
                <w:rFonts w:asciiTheme="majorHAnsi" w:hAnsiTheme="majorHAnsi" w:cs="Calibri"/>
                <w:b w:val="0"/>
                <w:bCs/>
                <w:sz w:val="20"/>
                <w:szCs w:val="20"/>
                <w:lang w:val="fr-FR"/>
              </w:rPr>
              <w:t>par</w:t>
            </w:r>
            <w:r w:rsidR="00955B5D" w:rsidRPr="001A00DB">
              <w:rPr>
                <w:rFonts w:asciiTheme="majorHAnsi" w:hAnsiTheme="majorHAnsi" w:cs="Calibri"/>
                <w:b w:val="0"/>
                <w:bCs/>
                <w:sz w:val="20"/>
                <w:szCs w:val="20"/>
                <w:lang w:val="fr-FR"/>
              </w:rPr>
              <w:t xml:space="preserve"> satellite lancée par JAXA comme outil de « meilleure</w:t>
            </w:r>
            <w:r w:rsidR="0002742F" w:rsidRPr="001A00DB">
              <w:rPr>
                <w:rFonts w:asciiTheme="majorHAnsi" w:hAnsiTheme="majorHAnsi" w:cs="Calibri"/>
                <w:b w:val="0"/>
                <w:bCs/>
                <w:sz w:val="20"/>
                <w:szCs w:val="20"/>
                <w:lang w:val="fr-FR"/>
              </w:rPr>
              <w:t>s</w:t>
            </w:r>
            <w:r w:rsidR="00955B5D" w:rsidRPr="001A00DB">
              <w:rPr>
                <w:rFonts w:asciiTheme="majorHAnsi" w:hAnsiTheme="majorHAnsi" w:cs="Calibri"/>
                <w:b w:val="0"/>
                <w:bCs/>
                <w:sz w:val="20"/>
                <w:szCs w:val="20"/>
                <w:lang w:val="fr-FR"/>
              </w:rPr>
              <w:t xml:space="preserve"> pratique</w:t>
            </w:r>
            <w:r w:rsidR="0002742F" w:rsidRPr="001A00DB">
              <w:rPr>
                <w:rFonts w:asciiTheme="majorHAnsi" w:hAnsiTheme="majorHAnsi" w:cs="Calibri"/>
                <w:b w:val="0"/>
                <w:bCs/>
                <w:sz w:val="20"/>
                <w:szCs w:val="20"/>
                <w:lang w:val="fr-FR"/>
              </w:rPr>
              <w:t>s</w:t>
            </w:r>
            <w:r w:rsidR="00955B5D" w:rsidRPr="001A00DB">
              <w:rPr>
                <w:rFonts w:asciiTheme="majorHAnsi" w:hAnsiTheme="majorHAnsi" w:cs="Calibri"/>
                <w:b w:val="0"/>
                <w:bCs/>
                <w:sz w:val="20"/>
                <w:szCs w:val="20"/>
                <w:lang w:val="fr-FR"/>
              </w:rPr>
              <w:t xml:space="preserve"> » pour cartographier les changements dans l’étendue mondiale des mangroves avec le temps, y compris leur expansion </w:t>
            </w:r>
            <w:r w:rsidR="00C8217C" w:rsidRPr="001A00DB">
              <w:rPr>
                <w:rFonts w:asciiTheme="majorHAnsi" w:hAnsiTheme="majorHAnsi" w:cs="Calibri"/>
                <w:b w:val="0"/>
                <w:bCs/>
                <w:sz w:val="20"/>
                <w:szCs w:val="20"/>
                <w:lang w:val="fr-FR"/>
              </w:rPr>
              <w:t>sur</w:t>
            </w:r>
            <w:r w:rsidR="00955B5D" w:rsidRPr="001A00DB">
              <w:rPr>
                <w:rFonts w:asciiTheme="majorHAnsi" w:hAnsiTheme="majorHAnsi" w:cs="Calibri"/>
                <w:b w:val="0"/>
                <w:bCs/>
                <w:sz w:val="20"/>
                <w:szCs w:val="20"/>
                <w:lang w:val="fr-FR"/>
              </w:rPr>
              <w:t xml:space="preserve"> la mer et leur retraite. La cartographie de l’état </w:t>
            </w:r>
            <w:r w:rsidR="00C8217C" w:rsidRPr="001A00DB">
              <w:rPr>
                <w:rFonts w:asciiTheme="majorHAnsi" w:hAnsiTheme="majorHAnsi" w:cs="Calibri"/>
                <w:b w:val="0"/>
                <w:bCs/>
                <w:sz w:val="20"/>
                <w:szCs w:val="20"/>
                <w:lang w:val="fr-FR"/>
              </w:rPr>
              <w:t>variable</w:t>
            </w:r>
            <w:r w:rsidR="00955B5D" w:rsidRPr="001A00DB">
              <w:rPr>
                <w:rFonts w:asciiTheme="majorHAnsi" w:hAnsiTheme="majorHAnsi" w:cs="Calibri"/>
                <w:b w:val="0"/>
                <w:bCs/>
                <w:sz w:val="20"/>
                <w:szCs w:val="20"/>
                <w:lang w:val="fr-FR"/>
              </w:rPr>
              <w:t xml:space="preserve"> des mangroves aux plans mondial et régional peut faciliter la priorisation des efforts de protection et d’identification des possibilités de restauration [voir aussi, par exemple, le Système de suivi des mangroves du Mexique (SMMM)</w:t>
            </w:r>
            <w:r w:rsidR="00955B5D" w:rsidRPr="001A00DB">
              <w:rPr>
                <w:rFonts w:ascii="Calibri" w:hAnsi="Calibri" w:cs="Calibri"/>
                <w:b w:val="0"/>
                <w:bCs/>
                <w:sz w:val="20"/>
                <w:szCs w:val="20"/>
                <w:lang w:val="fr-FR"/>
              </w:rPr>
              <w:t xml:space="preserve">]. Le </w:t>
            </w:r>
            <w:r w:rsidR="00536C73" w:rsidRPr="001A00DB">
              <w:rPr>
                <w:rFonts w:asciiTheme="majorHAnsi" w:hAnsiTheme="majorHAnsi" w:cs="Calibri"/>
                <w:b w:val="0"/>
                <w:bCs/>
                <w:sz w:val="20"/>
                <w:szCs w:val="20"/>
                <w:lang w:val="fr-FR"/>
              </w:rPr>
              <w:t xml:space="preserve">RTR </w:t>
            </w:r>
            <w:r w:rsidR="00955B5D" w:rsidRPr="001A00DB">
              <w:rPr>
                <w:rFonts w:asciiTheme="majorHAnsi" w:hAnsiTheme="majorHAnsi" w:cs="Calibri"/>
                <w:b w:val="0"/>
                <w:bCs/>
                <w:sz w:val="20"/>
                <w:szCs w:val="20"/>
                <w:lang w:val="fr-FR"/>
              </w:rPr>
              <w:t xml:space="preserve">examinera également les données </w:t>
            </w:r>
            <w:r w:rsidR="00C8217C" w:rsidRPr="001A00DB">
              <w:rPr>
                <w:rFonts w:asciiTheme="majorHAnsi" w:hAnsiTheme="majorHAnsi" w:cs="Calibri"/>
                <w:b w:val="0"/>
                <w:bCs/>
                <w:sz w:val="20"/>
                <w:szCs w:val="20"/>
                <w:lang w:val="fr-FR"/>
              </w:rPr>
              <w:t>par</w:t>
            </w:r>
            <w:r w:rsidR="00955B5D" w:rsidRPr="001A00DB">
              <w:rPr>
                <w:rFonts w:asciiTheme="majorHAnsi" w:hAnsiTheme="majorHAnsi" w:cs="Calibri"/>
                <w:b w:val="0"/>
                <w:bCs/>
                <w:sz w:val="20"/>
                <w:szCs w:val="20"/>
                <w:lang w:val="fr-FR"/>
              </w:rPr>
              <w:t xml:space="preserve"> satellite de </w:t>
            </w:r>
            <w:r w:rsidR="00536C73" w:rsidRPr="001A00DB">
              <w:rPr>
                <w:rFonts w:asciiTheme="majorHAnsi" w:hAnsiTheme="majorHAnsi" w:cs="Calibri"/>
                <w:b w:val="0"/>
                <w:bCs/>
                <w:sz w:val="20"/>
                <w:szCs w:val="20"/>
                <w:lang w:val="fr-FR"/>
              </w:rPr>
              <w:t>GlobWetland Afri</w:t>
            </w:r>
            <w:r w:rsidR="00955B5D" w:rsidRPr="001A00DB">
              <w:rPr>
                <w:rFonts w:asciiTheme="majorHAnsi" w:hAnsiTheme="majorHAnsi" w:cs="Calibri"/>
                <w:b w:val="0"/>
                <w:bCs/>
                <w:sz w:val="20"/>
                <w:szCs w:val="20"/>
                <w:lang w:val="fr-FR"/>
              </w:rPr>
              <w:t>que</w:t>
            </w:r>
            <w:r w:rsidR="00536C73" w:rsidRPr="001A00DB">
              <w:rPr>
                <w:rFonts w:asciiTheme="majorHAnsi" w:hAnsiTheme="majorHAnsi" w:cs="Calibri"/>
                <w:b w:val="0"/>
                <w:bCs/>
                <w:sz w:val="20"/>
                <w:szCs w:val="20"/>
                <w:lang w:val="fr-FR"/>
              </w:rPr>
              <w:t xml:space="preserve"> (</w:t>
            </w:r>
            <w:r w:rsidR="00955B5D" w:rsidRPr="001A00DB">
              <w:rPr>
                <w:rFonts w:asciiTheme="majorHAnsi" w:hAnsiTheme="majorHAnsi" w:cs="Calibri"/>
                <w:b w:val="0"/>
                <w:bCs/>
                <w:sz w:val="20"/>
                <w:szCs w:val="20"/>
                <w:lang w:val="fr-FR"/>
              </w:rPr>
              <w:t xml:space="preserve">produites par l’Agence spatiale européenne et des partenaires nationaux et locaux) et ses outils et articles </w:t>
            </w:r>
            <w:r w:rsidR="00955B5D" w:rsidRPr="001A00DB">
              <w:rPr>
                <w:rFonts w:asciiTheme="majorHAnsi" w:hAnsiTheme="majorHAnsi" w:cs="Calibri"/>
                <w:b w:val="0"/>
                <w:bCs/>
                <w:sz w:val="20"/>
                <w:szCs w:val="20"/>
                <w:lang w:val="fr-FR"/>
              </w:rPr>
              <w:lastRenderedPageBreak/>
              <w:t>scientifiques, soulignant l’observation de la Terre comme outil de « meilleure</w:t>
            </w:r>
            <w:r w:rsidR="0002742F" w:rsidRPr="001A00DB">
              <w:rPr>
                <w:rFonts w:asciiTheme="majorHAnsi" w:hAnsiTheme="majorHAnsi" w:cs="Calibri"/>
                <w:b w:val="0"/>
                <w:bCs/>
                <w:sz w:val="20"/>
                <w:szCs w:val="20"/>
                <w:lang w:val="fr-FR"/>
              </w:rPr>
              <w:t>s</w:t>
            </w:r>
            <w:r w:rsidR="00955B5D" w:rsidRPr="001A00DB">
              <w:rPr>
                <w:rFonts w:asciiTheme="majorHAnsi" w:hAnsiTheme="majorHAnsi" w:cs="Calibri"/>
                <w:b w:val="0"/>
                <w:bCs/>
                <w:sz w:val="20"/>
                <w:szCs w:val="20"/>
                <w:lang w:val="fr-FR"/>
              </w:rPr>
              <w:t xml:space="preserve"> pratique</w:t>
            </w:r>
            <w:r w:rsidR="0002742F" w:rsidRPr="001A00DB">
              <w:rPr>
                <w:rFonts w:asciiTheme="majorHAnsi" w:hAnsiTheme="majorHAnsi" w:cs="Calibri"/>
                <w:b w:val="0"/>
                <w:bCs/>
                <w:sz w:val="20"/>
                <w:szCs w:val="20"/>
                <w:lang w:val="fr-FR"/>
              </w:rPr>
              <w:t>s</w:t>
            </w:r>
            <w:r w:rsidR="0093570F" w:rsidRPr="001A00DB">
              <w:rPr>
                <w:rFonts w:asciiTheme="majorHAnsi" w:hAnsiTheme="majorHAnsi" w:cs="Calibri"/>
                <w:b w:val="0"/>
                <w:bCs/>
                <w:sz w:val="20"/>
                <w:szCs w:val="20"/>
                <w:lang w:val="fr-FR"/>
              </w:rPr>
              <w:t> »</w:t>
            </w:r>
            <w:r w:rsidR="00955B5D" w:rsidRPr="001A00DB">
              <w:rPr>
                <w:rFonts w:asciiTheme="majorHAnsi" w:hAnsiTheme="majorHAnsi" w:cs="Calibri"/>
                <w:b w:val="0"/>
                <w:bCs/>
                <w:sz w:val="20"/>
                <w:szCs w:val="20"/>
                <w:lang w:val="fr-FR"/>
              </w:rPr>
              <w:t xml:space="preserve"> pour inventorier, cartographier et surveiller les zones humides africaines, y compris les Sites Ramsar. Les avantages du Système d’observation des zones humides par satellite (SWOS) pour la gestion des sites seront également examinés.</w:t>
            </w:r>
          </w:p>
          <w:p w14:paraId="60CB2F44" w14:textId="1E128EA9" w:rsidR="00914A1A" w:rsidRPr="001A00DB" w:rsidRDefault="00E01336"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 </w:t>
            </w:r>
          </w:p>
          <w:p w14:paraId="74AF3BB1" w14:textId="23A4D05B" w:rsidR="00914A1A" w:rsidRPr="001A00DB" w:rsidRDefault="00130D8F"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w:t>
            </w:r>
            <w:r w:rsidR="00914A1A" w:rsidRPr="001A00DB">
              <w:rPr>
                <w:rFonts w:asciiTheme="majorHAnsi" w:hAnsiTheme="majorHAnsi" w:cs="Arial"/>
                <w:b w:val="0"/>
                <w:sz w:val="20"/>
                <w:szCs w:val="20"/>
                <w:u w:val="single"/>
                <w:lang w:val="fr-FR"/>
              </w:rPr>
              <w:t>(s)</w:t>
            </w:r>
            <w:r w:rsidRPr="001A00DB">
              <w:rPr>
                <w:rFonts w:asciiTheme="majorHAnsi" w:hAnsiTheme="majorHAnsi" w:cs="Arial"/>
                <w:b w:val="0"/>
                <w:sz w:val="20"/>
                <w:szCs w:val="20"/>
                <w:u w:val="single"/>
                <w:lang w:val="fr-FR"/>
              </w:rPr>
              <w:t xml:space="preserve"> escompté(s)</w:t>
            </w:r>
            <w:r w:rsidRPr="001A00DB">
              <w:rPr>
                <w:rFonts w:asciiTheme="majorHAnsi" w:hAnsiTheme="majorHAnsi" w:cs="Arial"/>
                <w:b w:val="0"/>
                <w:sz w:val="20"/>
                <w:szCs w:val="20"/>
                <w:lang w:val="fr-FR"/>
              </w:rPr>
              <w:t> :</w:t>
            </w:r>
            <w:r w:rsidR="00E56010"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Rapport </w:t>
            </w:r>
            <w:r w:rsidR="00E56010" w:rsidRPr="001A00DB">
              <w:rPr>
                <w:rFonts w:asciiTheme="majorHAnsi" w:hAnsiTheme="majorHAnsi" w:cs="Arial"/>
                <w:b w:val="0"/>
                <w:sz w:val="20"/>
                <w:szCs w:val="20"/>
                <w:lang w:val="fr-FR"/>
              </w:rPr>
              <w:t>technique Ramsar</w:t>
            </w:r>
            <w:r w:rsidR="0093570F"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 xml:space="preserve"> </w:t>
            </w:r>
          </w:p>
          <w:p w14:paraId="0191FE80" w14:textId="77777777" w:rsidR="00914A1A" w:rsidRPr="001A00DB" w:rsidRDefault="00914A1A" w:rsidP="00914A1A">
            <w:pPr>
              <w:rPr>
                <w:rFonts w:asciiTheme="majorHAnsi" w:hAnsiTheme="majorHAnsi" w:cs="Arial"/>
                <w:b w:val="0"/>
                <w:sz w:val="20"/>
                <w:szCs w:val="20"/>
                <w:lang w:val="fr-FR"/>
              </w:rPr>
            </w:pPr>
          </w:p>
          <w:p w14:paraId="58DD1817" w14:textId="04DA0AE1" w:rsidR="00914A1A" w:rsidRPr="001A00DB" w:rsidRDefault="00130D8F" w:rsidP="00E56010">
            <w:pPr>
              <w:rPr>
                <w:rFonts w:asciiTheme="majorHAnsi" w:hAnsiTheme="majorHAnsi" w:cs="Arial"/>
                <w:b w:val="0"/>
                <w:sz w:val="20"/>
                <w:szCs w:val="20"/>
                <w:lang w:val="en-CA"/>
              </w:rPr>
            </w:pPr>
            <w:r w:rsidRPr="001A00DB">
              <w:rPr>
                <w:rFonts w:asciiTheme="majorHAnsi" w:hAnsiTheme="majorHAnsi" w:cs="Arial"/>
                <w:b w:val="0"/>
                <w:sz w:val="20"/>
                <w:szCs w:val="20"/>
                <w:u w:val="single"/>
                <w:lang w:val="en-CA"/>
              </w:rPr>
              <w:t>Public</w:t>
            </w:r>
            <w:r w:rsidR="00914A1A" w:rsidRPr="001A00DB">
              <w:rPr>
                <w:rFonts w:asciiTheme="majorHAnsi" w:hAnsiTheme="majorHAnsi" w:cs="Arial"/>
                <w:b w:val="0"/>
                <w:sz w:val="20"/>
                <w:szCs w:val="20"/>
                <w:u w:val="single"/>
                <w:lang w:val="en-CA"/>
              </w:rPr>
              <w:t>(s)</w:t>
            </w:r>
            <w:r w:rsidRPr="001A00DB">
              <w:rPr>
                <w:rFonts w:asciiTheme="majorHAnsi" w:hAnsiTheme="majorHAnsi" w:cs="Arial"/>
                <w:b w:val="0"/>
                <w:sz w:val="20"/>
                <w:szCs w:val="20"/>
                <w:u w:val="single"/>
                <w:lang w:val="en-CA"/>
              </w:rPr>
              <w:t xml:space="preserve"> ciblé(s)</w:t>
            </w:r>
            <w:r w:rsidRPr="001A00DB">
              <w:rPr>
                <w:rFonts w:asciiTheme="majorHAnsi" w:hAnsiTheme="majorHAnsi" w:cs="Arial"/>
                <w:b w:val="0"/>
                <w:sz w:val="20"/>
                <w:szCs w:val="20"/>
                <w:lang w:val="en-CA"/>
              </w:rPr>
              <w:t> </w:t>
            </w:r>
            <w:r w:rsidR="00914A1A" w:rsidRPr="001A00DB">
              <w:rPr>
                <w:rFonts w:asciiTheme="majorHAnsi" w:hAnsiTheme="majorHAnsi" w:cs="Arial"/>
                <w:b w:val="0"/>
                <w:sz w:val="20"/>
                <w:szCs w:val="20"/>
                <w:lang w:val="en-CA"/>
              </w:rPr>
              <w:t>:</w:t>
            </w:r>
            <w:r w:rsidR="00E01336" w:rsidRPr="001A00DB">
              <w:rPr>
                <w:rFonts w:asciiTheme="majorHAnsi" w:hAnsiTheme="majorHAnsi" w:cs="Arial"/>
                <w:b w:val="0"/>
                <w:sz w:val="20"/>
                <w:szCs w:val="20"/>
                <w:lang w:val="en-CA"/>
              </w:rPr>
              <w:t xml:space="preserve"> </w:t>
            </w:r>
            <w:r w:rsidR="00E56010" w:rsidRPr="001A00DB">
              <w:rPr>
                <w:rFonts w:asciiTheme="majorHAnsi" w:hAnsiTheme="majorHAnsi" w:cs="Arial"/>
                <w:b w:val="0"/>
                <w:sz w:val="20"/>
                <w:szCs w:val="20"/>
                <w:lang w:val="en-CA"/>
              </w:rPr>
              <w:t>Praticiens</w:t>
            </w:r>
            <w:r w:rsidR="0093570F" w:rsidRPr="001A00DB">
              <w:rPr>
                <w:rFonts w:asciiTheme="majorHAnsi" w:hAnsiTheme="majorHAnsi" w:cs="Arial"/>
                <w:b w:val="0"/>
                <w:sz w:val="20"/>
                <w:szCs w:val="20"/>
                <w:lang w:val="en-CA"/>
              </w:rPr>
              <w:t>.</w:t>
            </w:r>
            <w:r w:rsidRPr="001A00DB">
              <w:rPr>
                <w:rFonts w:asciiTheme="majorHAnsi" w:hAnsiTheme="majorHAnsi" w:cs="Arial"/>
                <w:b w:val="0"/>
                <w:sz w:val="20"/>
                <w:szCs w:val="20"/>
                <w:lang w:val="en-CA"/>
              </w:rPr>
              <w:t xml:space="preserve"> </w:t>
            </w:r>
          </w:p>
        </w:tc>
        <w:tc>
          <w:tcPr>
            <w:tcW w:w="497" w:type="pct"/>
          </w:tcPr>
          <w:p w14:paraId="4B4DB4B6" w14:textId="34D70BDE" w:rsidR="00914A1A" w:rsidRPr="001A00DB" w:rsidRDefault="00E56010"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Jusqu’à 33 500</w:t>
            </w:r>
          </w:p>
          <w:p w14:paraId="7F1A76D7" w14:textId="77777777" w:rsidR="00914A1A" w:rsidRPr="001A00DB" w:rsidRDefault="00914A1A" w:rsidP="00914A1A">
            <w:pPr>
              <w:jc w:val="center"/>
              <w:rPr>
                <w:rFonts w:asciiTheme="majorHAnsi" w:hAnsiTheme="majorHAnsi" w:cs="Arial"/>
                <w:b w:val="0"/>
                <w:sz w:val="20"/>
                <w:szCs w:val="20"/>
                <w:lang w:val="fr-FR"/>
              </w:rPr>
            </w:pPr>
          </w:p>
        </w:tc>
      </w:tr>
      <w:tr w:rsidR="00C70B86" w:rsidRPr="001A00DB" w14:paraId="4117A725" w14:textId="77777777" w:rsidTr="007F790B">
        <w:tc>
          <w:tcPr>
            <w:tcW w:w="488" w:type="pct"/>
          </w:tcPr>
          <w:p w14:paraId="4323DB0A" w14:textId="6719512A" w:rsidR="00C70B86" w:rsidRPr="001A00DB" w:rsidRDefault="00C70B86" w:rsidP="007F790B">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1.2 Élaboration de lignes directrices pour les inventaires de tourbières en vue d’une éventuelle inscription sur la Liste des zones humides d’importance internationale</w:t>
            </w:r>
          </w:p>
        </w:tc>
        <w:tc>
          <w:tcPr>
            <w:tcW w:w="301" w:type="pct"/>
          </w:tcPr>
          <w:p w14:paraId="5196F3DC" w14:textId="11E99F33" w:rsidR="00C70B86" w:rsidRPr="001A00DB" w:rsidRDefault="00C70B86" w:rsidP="00C70B86">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Haute</w:t>
            </w:r>
          </w:p>
        </w:tc>
        <w:tc>
          <w:tcPr>
            <w:tcW w:w="390" w:type="pct"/>
          </w:tcPr>
          <w:p w14:paraId="271627F9" w14:textId="77777777" w:rsidR="00C70B86" w:rsidRPr="001A00DB" w:rsidRDefault="00C70B86" w:rsidP="007F790B">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XII.11, ¶24 (a) et (b)</w:t>
            </w:r>
          </w:p>
        </w:tc>
        <w:tc>
          <w:tcPr>
            <w:tcW w:w="403" w:type="pct"/>
          </w:tcPr>
          <w:p w14:paraId="18084843" w14:textId="77777777" w:rsidR="00C70B86" w:rsidRPr="001A00DB" w:rsidRDefault="00C70B86" w:rsidP="007F790B">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2.6; 3.8, 3.9, 3.11, 3.12; 4.14</w:t>
            </w:r>
          </w:p>
        </w:tc>
        <w:tc>
          <w:tcPr>
            <w:tcW w:w="2921" w:type="pct"/>
          </w:tcPr>
          <w:p w14:paraId="10C8ECCA" w14:textId="77777777" w:rsidR="00C70B86" w:rsidRPr="001A00DB" w:rsidRDefault="00C70B86" w:rsidP="007F790B">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Examen et projet d’orientations pour les inventaires de tourbières tropicales, en vue de leur inscription sur la Liste des zones humides d’importance internationale. </w:t>
            </w:r>
            <w:r w:rsidRPr="001A00DB">
              <w:rPr>
                <w:rFonts w:asciiTheme="majorHAnsi" w:hAnsiTheme="majorHAnsi" w:cs="Calibri"/>
                <w:b w:val="0"/>
                <w:bCs/>
                <w:sz w:val="20"/>
                <w:szCs w:val="20"/>
                <w:lang w:val="fr-FR"/>
              </w:rPr>
              <w:t xml:space="preserve">Les lignes directrices scientifiques et techniques sur les « meilleures pratiques » seront discutées dans une Note d’information couvrant l’étendue, la profondeur, la qualité, l’élévation et les méthodes d’étude. En outre, des lignes directrices seront élaborées concernant l’inscription de tourbières sur la Liste des zones humides d’importance internationale, en particulier au regard du Critère 1 et du paragraphe 121 (vi) de l’annexe 2 de la Résolution XI.8 (influence hydrologique essentielle, au moins, de la régulation ou de la stabilité du climat régional). </w:t>
            </w:r>
          </w:p>
          <w:p w14:paraId="0730A893" w14:textId="77777777" w:rsidR="00C70B86" w:rsidRPr="001A00DB" w:rsidRDefault="00C70B86" w:rsidP="007F790B">
            <w:pPr>
              <w:pStyle w:val="Default"/>
              <w:keepNext/>
              <w:keepLines/>
              <w:rPr>
                <w:rFonts w:asciiTheme="majorHAnsi" w:hAnsiTheme="majorHAnsi" w:cs="Arial"/>
                <w:b w:val="0"/>
                <w:color w:val="auto"/>
                <w:sz w:val="20"/>
                <w:szCs w:val="20"/>
                <w:u w:val="single"/>
                <w:lang w:val="fr-FR"/>
              </w:rPr>
            </w:pPr>
          </w:p>
          <w:p w14:paraId="70BFC2CD" w14:textId="77777777" w:rsidR="00C70B86" w:rsidRPr="001A00DB" w:rsidRDefault="00C70B86" w:rsidP="007F790B">
            <w:pPr>
              <w:pStyle w:val="Default"/>
              <w:keepNext/>
              <w:keepLines/>
              <w:rPr>
                <w:rFonts w:asciiTheme="majorHAnsi" w:hAnsiTheme="majorHAnsi" w:cs="Arial"/>
                <w:b w:val="0"/>
                <w:color w:val="auto"/>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r w:rsidRPr="001A00DB">
              <w:rPr>
                <w:rFonts w:asciiTheme="majorHAnsi" w:hAnsiTheme="majorHAnsi" w:cs="Arial"/>
                <w:b w:val="0"/>
                <w:color w:val="auto"/>
                <w:sz w:val="20"/>
                <w:szCs w:val="20"/>
                <w:lang w:val="fr-FR"/>
              </w:rPr>
              <w:t xml:space="preserve"> </w:t>
            </w:r>
          </w:p>
          <w:p w14:paraId="07A1238B" w14:textId="77777777" w:rsidR="00C70B86" w:rsidRPr="001A00DB" w:rsidRDefault="00C70B86" w:rsidP="007F790B">
            <w:pPr>
              <w:pStyle w:val="Default"/>
              <w:keepNext/>
              <w:keepLines/>
              <w:rPr>
                <w:rFonts w:asciiTheme="majorHAnsi" w:hAnsiTheme="majorHAnsi" w:cs="Arial"/>
                <w:b w:val="0"/>
                <w:color w:val="auto"/>
                <w:sz w:val="20"/>
                <w:szCs w:val="20"/>
                <w:lang w:val="fr-FR"/>
              </w:rPr>
            </w:pPr>
            <w:r w:rsidRPr="001A00DB">
              <w:rPr>
                <w:rFonts w:asciiTheme="majorHAnsi" w:hAnsiTheme="majorHAnsi" w:cs="Arial"/>
                <w:b w:val="0"/>
                <w:color w:val="auto"/>
                <w:sz w:val="20"/>
                <w:szCs w:val="20"/>
                <w:lang w:val="fr-FR"/>
              </w:rPr>
              <w:t xml:space="preserve">1) Note d’information pour les praticiens (administrateurs de sites) pour inclure l’étendue, la profondeur, la qualité, l’élévation et les méthodes d’étude. </w:t>
            </w:r>
          </w:p>
          <w:p w14:paraId="4BDD42B8" w14:textId="77777777" w:rsidR="00C70B86" w:rsidRPr="001A00DB" w:rsidRDefault="00C70B86" w:rsidP="007F790B">
            <w:pPr>
              <w:pStyle w:val="Default"/>
              <w:keepNext/>
              <w:keepLines/>
              <w:rPr>
                <w:rFonts w:asciiTheme="majorHAnsi" w:hAnsiTheme="majorHAnsi" w:cs="Arial"/>
                <w:b w:val="0"/>
                <w:color w:val="auto"/>
                <w:sz w:val="20"/>
                <w:szCs w:val="20"/>
                <w:lang w:val="fr-FR"/>
              </w:rPr>
            </w:pPr>
          </w:p>
          <w:p w14:paraId="025561AB" w14:textId="77777777" w:rsidR="00C70B86" w:rsidRPr="001A00DB" w:rsidRDefault="00C70B86" w:rsidP="007F790B">
            <w:pPr>
              <w:pStyle w:val="Default"/>
              <w:keepNext/>
              <w:keepLines/>
              <w:rPr>
                <w:rFonts w:asciiTheme="majorHAnsi" w:hAnsiTheme="majorHAnsi" w:cs="Arial"/>
                <w:b w:val="0"/>
                <w:color w:val="auto"/>
                <w:sz w:val="20"/>
                <w:szCs w:val="20"/>
                <w:lang w:val="fr-FR"/>
              </w:rPr>
            </w:pPr>
            <w:r w:rsidRPr="001A00DB">
              <w:rPr>
                <w:rFonts w:asciiTheme="majorHAnsi" w:hAnsiTheme="majorHAnsi" w:cs="Arial"/>
                <w:b w:val="0"/>
                <w:color w:val="auto"/>
                <w:sz w:val="20"/>
                <w:szCs w:val="20"/>
                <w:lang w:val="fr-FR"/>
              </w:rPr>
              <w:t>2) Document d’orientation révisé en annexe à un projet de résolution qui sera soumis au Comité permanent et à la 13</w:t>
            </w:r>
            <w:r w:rsidRPr="001A00DB">
              <w:rPr>
                <w:rFonts w:asciiTheme="majorHAnsi" w:hAnsiTheme="majorHAnsi" w:cs="Arial"/>
                <w:b w:val="0"/>
                <w:color w:val="auto"/>
                <w:sz w:val="20"/>
                <w:szCs w:val="20"/>
                <w:vertAlign w:val="superscript"/>
                <w:lang w:val="fr-FR"/>
              </w:rPr>
              <w:t>e</w:t>
            </w:r>
            <w:r w:rsidRPr="001A00DB">
              <w:rPr>
                <w:rFonts w:asciiTheme="majorHAnsi" w:hAnsiTheme="majorHAnsi" w:cs="Arial"/>
                <w:b w:val="0"/>
                <w:color w:val="auto"/>
                <w:sz w:val="20"/>
                <w:szCs w:val="20"/>
                <w:lang w:val="fr-FR"/>
              </w:rPr>
              <w:t xml:space="preserve"> Session de la Conférence des Parties. </w:t>
            </w:r>
          </w:p>
          <w:p w14:paraId="209081EA" w14:textId="77777777" w:rsidR="00C70B86" w:rsidRPr="001A00DB" w:rsidRDefault="00C70B86" w:rsidP="007F790B">
            <w:pPr>
              <w:pStyle w:val="Default"/>
              <w:keepNext/>
              <w:keepLines/>
              <w:rPr>
                <w:rFonts w:asciiTheme="majorHAnsi" w:hAnsiTheme="majorHAnsi" w:cs="Arial"/>
                <w:b w:val="0"/>
                <w:color w:val="auto"/>
                <w:sz w:val="20"/>
                <w:szCs w:val="20"/>
                <w:lang w:val="fr-FR"/>
              </w:rPr>
            </w:pPr>
          </w:p>
          <w:p w14:paraId="62D4A89A" w14:textId="77777777" w:rsidR="00C70B86" w:rsidRPr="001A00DB" w:rsidRDefault="00C70B86" w:rsidP="007F790B">
            <w:pPr>
              <w:pStyle w:val="Default"/>
              <w:keepNext/>
              <w:keepLines/>
              <w:rPr>
                <w:rFonts w:asciiTheme="majorHAnsi" w:hAnsiTheme="majorHAnsi" w:cs="Arial"/>
                <w:b w:val="0"/>
                <w:color w:val="auto"/>
                <w:sz w:val="20"/>
                <w:szCs w:val="20"/>
                <w:u w:val="single"/>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Pr="001A00DB">
              <w:rPr>
                <w:rFonts w:asciiTheme="majorHAnsi" w:hAnsiTheme="majorHAnsi" w:cs="Arial"/>
                <w:b w:val="0"/>
                <w:color w:val="auto"/>
                <w:sz w:val="20"/>
                <w:szCs w:val="20"/>
                <w:lang w:val="fr-FR"/>
              </w:rPr>
              <w:t xml:space="preserve">Praticiens (administrateurs de Sites Ramsar) (note d’information) et décideurs (annexe au projet de résolution). </w:t>
            </w:r>
          </w:p>
        </w:tc>
        <w:tc>
          <w:tcPr>
            <w:tcW w:w="497" w:type="pct"/>
          </w:tcPr>
          <w:p w14:paraId="13550E70" w14:textId="77777777" w:rsidR="00C70B86" w:rsidRPr="001A00DB" w:rsidRDefault="00C70B86" w:rsidP="007F790B">
            <w:pPr>
              <w:rPr>
                <w:rFonts w:asciiTheme="majorHAnsi" w:hAnsiTheme="majorHAnsi" w:cs="Arial"/>
                <w:b w:val="0"/>
                <w:sz w:val="20"/>
                <w:szCs w:val="20"/>
                <w:lang w:val="fr-FR"/>
              </w:rPr>
            </w:pPr>
            <w:r w:rsidRPr="001A00DB">
              <w:rPr>
                <w:rFonts w:asciiTheme="majorHAnsi" w:hAnsiTheme="majorHAnsi" w:cs="Arial"/>
                <w:b w:val="0"/>
                <w:sz w:val="20"/>
                <w:szCs w:val="20"/>
                <w:lang w:val="fr-FR"/>
              </w:rPr>
              <w:t>Jusqu’à 13 000</w:t>
            </w:r>
          </w:p>
        </w:tc>
      </w:tr>
      <w:tr w:rsidR="00914A1A" w:rsidRPr="001A00DB" w14:paraId="71270C32" w14:textId="77777777" w:rsidTr="00130D8F">
        <w:tc>
          <w:tcPr>
            <w:tcW w:w="488" w:type="pct"/>
          </w:tcPr>
          <w:p w14:paraId="0FBAA673" w14:textId="7D90955B" w:rsidR="00914A1A" w:rsidRPr="001A00DB" w:rsidRDefault="00914A1A" w:rsidP="00C70B86">
            <w:pPr>
              <w:rPr>
                <w:rFonts w:asciiTheme="majorHAnsi" w:hAnsiTheme="majorHAnsi" w:cs="Arial"/>
                <w:b w:val="0"/>
                <w:sz w:val="20"/>
                <w:szCs w:val="20"/>
                <w:lang w:val="fr-FR"/>
              </w:rPr>
            </w:pPr>
            <w:r w:rsidRPr="001A00DB">
              <w:rPr>
                <w:rFonts w:asciiTheme="majorHAnsi" w:hAnsiTheme="majorHAnsi" w:cs="Arial"/>
                <w:b w:val="0"/>
                <w:sz w:val="20"/>
                <w:szCs w:val="20"/>
                <w:lang w:val="fr-FR"/>
              </w:rPr>
              <w:t>1.</w:t>
            </w:r>
            <w:r w:rsidR="00C70B86" w:rsidRPr="001A00DB">
              <w:rPr>
                <w:rFonts w:asciiTheme="majorHAnsi" w:hAnsiTheme="majorHAnsi" w:cs="Arial"/>
                <w:b w:val="0"/>
                <w:sz w:val="20"/>
                <w:szCs w:val="20"/>
                <w:lang w:val="fr-FR"/>
              </w:rPr>
              <w:t>3</w:t>
            </w:r>
            <w:r w:rsidR="00E56010" w:rsidRPr="001A00DB">
              <w:rPr>
                <w:rFonts w:asciiTheme="majorHAnsi" w:hAnsiTheme="majorHAnsi" w:cs="Arial"/>
                <w:b w:val="0"/>
                <w:sz w:val="20"/>
                <w:szCs w:val="20"/>
                <w:lang w:val="fr-FR"/>
              </w:rPr>
              <w:t xml:space="preserve"> </w:t>
            </w:r>
            <w:r w:rsidR="00955B5D" w:rsidRPr="001A00DB">
              <w:rPr>
                <w:rFonts w:asciiTheme="majorHAnsi" w:hAnsiTheme="majorHAnsi" w:cs="Arial"/>
                <w:b w:val="0"/>
                <w:sz w:val="20"/>
                <w:szCs w:val="20"/>
                <w:lang w:val="fr-FR"/>
              </w:rPr>
              <w:t>Atelier</w:t>
            </w:r>
            <w:r w:rsidR="00C8217C" w:rsidRPr="001A00DB">
              <w:rPr>
                <w:rFonts w:asciiTheme="majorHAnsi" w:hAnsiTheme="majorHAnsi" w:cs="Arial"/>
                <w:b w:val="0"/>
                <w:sz w:val="20"/>
                <w:szCs w:val="20"/>
                <w:lang w:val="fr-FR"/>
              </w:rPr>
              <w:t xml:space="preserve"> sur l’</w:t>
            </w:r>
            <w:r w:rsidR="00955B5D" w:rsidRPr="001A00DB">
              <w:rPr>
                <w:rFonts w:asciiTheme="majorHAnsi" w:hAnsiTheme="majorHAnsi" w:cs="Arial"/>
                <w:b w:val="0"/>
                <w:sz w:val="20"/>
                <w:szCs w:val="20"/>
                <w:lang w:val="fr-FR"/>
              </w:rPr>
              <w:t xml:space="preserve">application des inventaires culturels des zones humides </w:t>
            </w:r>
          </w:p>
        </w:tc>
        <w:tc>
          <w:tcPr>
            <w:tcW w:w="301" w:type="pct"/>
          </w:tcPr>
          <w:p w14:paraId="069043C7" w14:textId="77777777" w:rsidR="00914A1A" w:rsidRPr="001A00DB" w:rsidRDefault="00914A1A" w:rsidP="00914A1A">
            <w:pPr>
              <w:rPr>
                <w:rFonts w:asciiTheme="majorHAnsi" w:hAnsiTheme="majorHAnsi" w:cs="Arial"/>
                <w:b w:val="0"/>
                <w:sz w:val="20"/>
                <w:szCs w:val="20"/>
                <w:lang w:val="fr-FR"/>
              </w:rPr>
            </w:pPr>
          </w:p>
        </w:tc>
        <w:tc>
          <w:tcPr>
            <w:tcW w:w="390" w:type="pct"/>
          </w:tcPr>
          <w:p w14:paraId="6784CD08" w14:textId="38DC99AB" w:rsidR="00914A1A" w:rsidRPr="001A00DB" w:rsidRDefault="00914A1A"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XII.2,</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¶24;</w:t>
            </w:r>
          </w:p>
          <w:p w14:paraId="6CBA9E65" w14:textId="5414AA06" w:rsidR="00914A1A" w:rsidRPr="001A00DB" w:rsidRDefault="00914A1A"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XII.3,</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48,</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49</w:t>
            </w:r>
          </w:p>
        </w:tc>
        <w:tc>
          <w:tcPr>
            <w:tcW w:w="403" w:type="pct"/>
          </w:tcPr>
          <w:p w14:paraId="2604A8F2" w14:textId="13B6A137" w:rsidR="00914A1A" w:rsidRPr="001A00DB" w:rsidRDefault="00955B5D" w:rsidP="00955B5D">
            <w:pPr>
              <w:rPr>
                <w:rFonts w:asciiTheme="majorHAnsi" w:hAnsiTheme="majorHAnsi" w:cs="Arial"/>
                <w:sz w:val="20"/>
                <w:szCs w:val="20"/>
                <w:lang w:val="fr-FR"/>
              </w:rPr>
            </w:pPr>
            <w:r w:rsidRPr="001A00DB">
              <w:rPr>
                <w:rFonts w:asciiTheme="majorHAnsi" w:hAnsiTheme="majorHAnsi" w:cs="Arial"/>
                <w:b w:val="0"/>
                <w:sz w:val="20"/>
                <w:szCs w:val="20"/>
                <w:lang w:val="fr-FR"/>
              </w:rPr>
              <w:t>2.5, 2.7; 3.10, 3.11; 4.14, 4.16, 4.19</w:t>
            </w:r>
          </w:p>
        </w:tc>
        <w:tc>
          <w:tcPr>
            <w:tcW w:w="2921" w:type="pct"/>
          </w:tcPr>
          <w:p w14:paraId="1BD202EA" w14:textId="2A971554" w:rsidR="00914A1A" w:rsidRPr="001A00DB" w:rsidRDefault="00130D8F"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w:t>
            </w:r>
            <w:r w:rsidR="00331336" w:rsidRPr="001A00DB">
              <w:rPr>
                <w:rFonts w:asciiTheme="majorHAnsi" w:hAnsiTheme="majorHAnsi" w:cs="Arial"/>
                <w:b w:val="0"/>
                <w:sz w:val="20"/>
                <w:szCs w:val="20"/>
                <w:lang w:val="fr-FR"/>
              </w:rPr>
              <w:t xml:space="preserve"> </w:t>
            </w:r>
            <w:r w:rsidR="00955B5D" w:rsidRPr="001A00DB">
              <w:rPr>
                <w:rFonts w:asciiTheme="majorHAnsi" w:hAnsiTheme="majorHAnsi" w:cs="Arial"/>
                <w:b w:val="0"/>
                <w:sz w:val="20"/>
                <w:szCs w:val="20"/>
                <w:lang w:val="fr-FR"/>
              </w:rPr>
              <w:t>E</w:t>
            </w:r>
            <w:r w:rsidR="00536C73" w:rsidRPr="001A00DB">
              <w:rPr>
                <w:rFonts w:asciiTheme="majorHAnsi" w:hAnsiTheme="majorHAnsi" w:cs="Arial"/>
                <w:b w:val="0"/>
                <w:sz w:val="20"/>
                <w:szCs w:val="20"/>
                <w:lang w:val="fr-FR"/>
              </w:rPr>
              <w:t xml:space="preserve">n collaboration </w:t>
            </w:r>
            <w:r w:rsidR="00955B5D" w:rsidRPr="001A00DB">
              <w:rPr>
                <w:rFonts w:asciiTheme="majorHAnsi" w:hAnsiTheme="majorHAnsi" w:cs="Arial"/>
                <w:b w:val="0"/>
                <w:sz w:val="20"/>
                <w:szCs w:val="20"/>
                <w:lang w:val="fr-FR"/>
              </w:rPr>
              <w:t xml:space="preserve">avec le Réseau culturel Ramsar et le Centre régional Ramsar pour la formation et la recherche dans l’hémisphère occidental (CREHO), convoquer un petit atelier de renforcement des capacités pour les administrateurs de Sites Ramsar et les Correspondants nationaux GEST afin d’examiner l’application pratique des inventaires culturels. Compiler un ensemble d’études de cas illustrant l’application des inventaires culturels des zones humides, y compris avec des exemples intégrant les connaissances autochtones et locales. </w:t>
            </w:r>
          </w:p>
          <w:p w14:paraId="62C68AEB" w14:textId="77777777" w:rsidR="00914A1A" w:rsidRPr="001A00DB" w:rsidRDefault="00914A1A" w:rsidP="00914A1A">
            <w:pPr>
              <w:rPr>
                <w:rFonts w:asciiTheme="majorHAnsi" w:hAnsiTheme="majorHAnsi" w:cs="Arial"/>
                <w:b w:val="0"/>
                <w:sz w:val="20"/>
                <w:szCs w:val="20"/>
                <w:lang w:val="fr-FR"/>
              </w:rPr>
            </w:pPr>
          </w:p>
          <w:p w14:paraId="75CC573F" w14:textId="011A079E" w:rsidR="00914A1A" w:rsidRPr="001A00DB" w:rsidRDefault="00130D8F"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r w:rsidR="00536C73" w:rsidRPr="001A00DB">
              <w:rPr>
                <w:rFonts w:asciiTheme="majorHAnsi" w:hAnsiTheme="majorHAnsi" w:cs="Arial"/>
                <w:b w:val="0"/>
                <w:sz w:val="20"/>
                <w:szCs w:val="20"/>
                <w:lang w:val="fr-FR"/>
              </w:rPr>
              <w:t xml:space="preserve"> </w:t>
            </w:r>
            <w:r w:rsidR="00955B5D" w:rsidRPr="001A00DB">
              <w:rPr>
                <w:rFonts w:asciiTheme="majorHAnsi" w:hAnsiTheme="majorHAnsi" w:cs="Arial"/>
                <w:b w:val="0"/>
                <w:sz w:val="20"/>
                <w:szCs w:val="20"/>
                <w:lang w:val="fr-FR"/>
              </w:rPr>
              <w:t>Atelier de renforcement des capacités, un ensemble d’études de cas à publier sur le site web de Ramsar dans le cadre de l’Outil de gestion des Sites Ramsar (voir tâche n</w:t>
            </w:r>
            <w:r w:rsidR="00955B5D" w:rsidRPr="001A00DB">
              <w:rPr>
                <w:rFonts w:asciiTheme="majorHAnsi" w:hAnsiTheme="majorHAnsi" w:cs="Arial"/>
                <w:b w:val="0"/>
                <w:sz w:val="20"/>
                <w:szCs w:val="20"/>
                <w:vertAlign w:val="superscript"/>
                <w:lang w:val="fr-FR"/>
              </w:rPr>
              <w:t>o</w:t>
            </w:r>
            <w:r w:rsidR="00955B5D" w:rsidRPr="001A00DB">
              <w:rPr>
                <w:rFonts w:asciiTheme="majorHAnsi" w:hAnsiTheme="majorHAnsi" w:cs="Arial"/>
                <w:b w:val="0"/>
                <w:sz w:val="20"/>
                <w:szCs w:val="20"/>
                <w:lang w:val="fr-FR"/>
              </w:rPr>
              <w:t> 2.1 ci</w:t>
            </w:r>
            <w:r w:rsidR="00955B5D" w:rsidRPr="001A00DB">
              <w:rPr>
                <w:rFonts w:asciiTheme="majorHAnsi" w:hAnsiTheme="majorHAnsi" w:cs="Arial"/>
                <w:b w:val="0"/>
                <w:sz w:val="20"/>
                <w:szCs w:val="20"/>
                <w:lang w:val="fr-FR"/>
              </w:rPr>
              <w:noBreakHyphen/>
              <w:t>dessous) et un webinaire sur les inventaires culturels.</w:t>
            </w:r>
          </w:p>
          <w:p w14:paraId="3B3C1215" w14:textId="77777777" w:rsidR="00914A1A" w:rsidRPr="001A00DB" w:rsidRDefault="00914A1A" w:rsidP="00914A1A">
            <w:pPr>
              <w:rPr>
                <w:rFonts w:asciiTheme="majorHAnsi" w:hAnsiTheme="majorHAnsi" w:cs="Arial"/>
                <w:b w:val="0"/>
                <w:sz w:val="20"/>
                <w:szCs w:val="20"/>
                <w:lang w:val="fr-FR"/>
              </w:rPr>
            </w:pPr>
          </w:p>
          <w:p w14:paraId="1B13FD0F" w14:textId="697FBAB8" w:rsidR="00914A1A" w:rsidRPr="001A00DB" w:rsidRDefault="00130D8F" w:rsidP="00331336">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536C73" w:rsidRPr="001A00DB">
              <w:rPr>
                <w:rFonts w:asciiTheme="majorHAnsi" w:hAnsiTheme="majorHAnsi" w:cs="Arial"/>
                <w:b w:val="0"/>
                <w:sz w:val="20"/>
                <w:szCs w:val="20"/>
                <w:lang w:val="fr-FR"/>
              </w:rPr>
              <w:t>Praticiens (administrateurs de Sites Ramsar)</w:t>
            </w:r>
            <w:r w:rsidR="00331336" w:rsidRPr="001A00DB">
              <w:rPr>
                <w:rFonts w:asciiTheme="majorHAnsi" w:hAnsiTheme="majorHAnsi" w:cs="Arial"/>
                <w:b w:val="0"/>
                <w:sz w:val="20"/>
                <w:szCs w:val="20"/>
                <w:lang w:val="fr-FR"/>
              </w:rPr>
              <w:t>.</w:t>
            </w:r>
          </w:p>
        </w:tc>
        <w:tc>
          <w:tcPr>
            <w:tcW w:w="497" w:type="pct"/>
          </w:tcPr>
          <w:p w14:paraId="68DFEA29" w14:textId="3B47541F" w:rsidR="00914A1A" w:rsidRPr="001A00DB" w:rsidRDefault="00536C73" w:rsidP="00331336">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Jusqu’à 10 000</w:t>
            </w:r>
          </w:p>
        </w:tc>
      </w:tr>
    </w:tbl>
    <w:p w14:paraId="153BC251" w14:textId="77777777" w:rsidR="00914A1A" w:rsidRPr="001A00DB" w:rsidRDefault="00914A1A" w:rsidP="00914A1A">
      <w:pPr>
        <w:rPr>
          <w:rFonts w:asciiTheme="majorHAnsi" w:hAnsiTheme="majorHAnsi" w:cs="Arial"/>
          <w:sz w:val="20"/>
          <w:szCs w:val="20"/>
          <w:lang w:val="fr-FR"/>
        </w:rPr>
      </w:pPr>
    </w:p>
    <w:p w14:paraId="4B724D6A" w14:textId="77777777" w:rsidR="007A0789" w:rsidRPr="001A00DB" w:rsidRDefault="007A0789" w:rsidP="00B50244">
      <w:pPr>
        <w:keepNext/>
        <w:keepLines/>
        <w:rPr>
          <w:rFonts w:asciiTheme="majorHAnsi" w:hAnsiTheme="majorHAnsi" w:cs="Arial"/>
          <w:sz w:val="20"/>
          <w:szCs w:val="20"/>
          <w:lang w:val="fr-FR"/>
        </w:rPr>
      </w:pPr>
    </w:p>
    <w:tbl>
      <w:tblPr>
        <w:tblStyle w:val="TableGrid11"/>
        <w:tblW w:w="5000" w:type="pct"/>
        <w:tblLook w:val="04A0" w:firstRow="1" w:lastRow="0" w:firstColumn="1" w:lastColumn="0" w:noHBand="0" w:noVBand="1"/>
      </w:tblPr>
      <w:tblGrid>
        <w:gridCol w:w="14174"/>
      </w:tblGrid>
      <w:tr w:rsidR="007A0789" w:rsidRPr="00E7362F" w14:paraId="78937166" w14:textId="77777777" w:rsidTr="007A0789">
        <w:tc>
          <w:tcPr>
            <w:tcW w:w="5000" w:type="pct"/>
            <w:shd w:val="clear" w:color="auto" w:fill="000000" w:themeFill="text1"/>
          </w:tcPr>
          <w:p w14:paraId="57ABE595" w14:textId="32B367AD" w:rsidR="007A0789" w:rsidRPr="00030683" w:rsidRDefault="00B50244" w:rsidP="00F8475A">
            <w:pPr>
              <w:pStyle w:val="Heading1"/>
              <w:spacing w:before="0"/>
              <w:outlineLvl w:val="0"/>
              <w:rPr>
                <w:rFonts w:asciiTheme="majorHAnsi" w:hAnsiTheme="majorHAnsi"/>
                <w:b/>
                <w:sz w:val="20"/>
                <w:szCs w:val="20"/>
                <w:lang w:val="fr-CH"/>
              </w:rPr>
            </w:pPr>
            <w:bookmarkStart w:id="5" w:name="_Toc455995959"/>
            <w:r w:rsidRPr="00030683">
              <w:rPr>
                <w:rFonts w:asciiTheme="majorHAnsi" w:hAnsiTheme="majorHAnsi"/>
                <w:b/>
                <w:color w:val="FFFFFF" w:themeColor="background1"/>
                <w:sz w:val="20"/>
                <w:szCs w:val="20"/>
                <w:lang w:val="fr-CH"/>
              </w:rPr>
              <w:t>Domaine de travail thématique n</w:t>
            </w:r>
            <w:r w:rsidRPr="00030683">
              <w:rPr>
                <w:rFonts w:asciiTheme="majorHAnsi" w:hAnsiTheme="majorHAnsi"/>
                <w:b/>
                <w:color w:val="FFFFFF" w:themeColor="background1"/>
                <w:sz w:val="20"/>
                <w:szCs w:val="20"/>
                <w:vertAlign w:val="superscript"/>
                <w:lang w:val="fr-CH"/>
              </w:rPr>
              <w:t>o</w:t>
            </w:r>
            <w:r w:rsidRPr="00030683">
              <w:rPr>
                <w:rFonts w:asciiTheme="majorHAnsi" w:hAnsiTheme="majorHAnsi"/>
                <w:b/>
                <w:color w:val="FFFFFF" w:themeColor="background1"/>
                <w:sz w:val="20"/>
                <w:szCs w:val="20"/>
                <w:lang w:val="fr-CH"/>
              </w:rPr>
              <w:t> 2 : Bonnes pratiques pour élaborer et appliquer les plans de gestion, les plans d’action et autres outils pour les Sites Ramsar et autres zones humides</w:t>
            </w:r>
            <w:bookmarkEnd w:id="5"/>
          </w:p>
        </w:tc>
      </w:tr>
    </w:tbl>
    <w:p w14:paraId="2B1B9FB9" w14:textId="151B7FDC" w:rsidR="00914A1A" w:rsidRPr="001A00DB" w:rsidRDefault="00914A1A" w:rsidP="00B50244">
      <w:pPr>
        <w:keepNext/>
        <w:keepLines/>
        <w:rPr>
          <w:rFonts w:asciiTheme="majorHAnsi" w:hAnsiTheme="majorHAnsi" w:cs="Arial"/>
          <w:b/>
          <w:sz w:val="20"/>
          <w:szCs w:val="20"/>
          <w:lang w:val="fr-FR" w:eastAsia="ja-JP"/>
        </w:rPr>
      </w:pPr>
    </w:p>
    <w:tbl>
      <w:tblPr>
        <w:tblStyle w:val="TableGrid21"/>
        <w:tblW w:w="5000" w:type="pct"/>
        <w:jc w:val="center"/>
        <w:tblLook w:val="04A0" w:firstRow="1" w:lastRow="0" w:firstColumn="1" w:lastColumn="0" w:noHBand="0" w:noVBand="1"/>
      </w:tblPr>
      <w:tblGrid>
        <w:gridCol w:w="3561"/>
        <w:gridCol w:w="10613"/>
      </w:tblGrid>
      <w:tr w:rsidR="00914A1A" w:rsidRPr="001A00DB" w14:paraId="1D006C6F" w14:textId="77777777" w:rsidTr="00501577">
        <w:trPr>
          <w:jc w:val="center"/>
        </w:trPr>
        <w:tc>
          <w:tcPr>
            <w:tcW w:w="1256" w:type="pct"/>
          </w:tcPr>
          <w:p w14:paraId="0B3E3BF5" w14:textId="33730DC5" w:rsidR="00914A1A" w:rsidRPr="001A00DB" w:rsidRDefault="00A1768B" w:rsidP="00B50244">
            <w:pPr>
              <w:keepNext/>
              <w:keepLines/>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Leader</w:t>
            </w:r>
            <w:r w:rsidR="00B50244" w:rsidRPr="001A00DB">
              <w:rPr>
                <w:rFonts w:asciiTheme="majorHAnsi" w:eastAsia="Calibri" w:hAnsiTheme="majorHAnsi" w:cs="Arial"/>
                <w:sz w:val="20"/>
                <w:szCs w:val="20"/>
                <w:lang w:val="fr-FR"/>
              </w:rPr>
              <w:t>(s) de groupe de travail et participants :</w:t>
            </w:r>
          </w:p>
        </w:tc>
        <w:tc>
          <w:tcPr>
            <w:tcW w:w="3744" w:type="pct"/>
          </w:tcPr>
          <w:p w14:paraId="6D8EDEA6" w14:textId="7448A5A1" w:rsidR="00914A1A" w:rsidRPr="001A00DB" w:rsidRDefault="00E81E1C" w:rsidP="00E81E1C">
            <w:pPr>
              <w:keepNext/>
              <w:keepLines/>
              <w:tabs>
                <w:tab w:val="left" w:pos="1095"/>
              </w:tabs>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 xml:space="preserve">Susanna Aguilar, </w:t>
            </w:r>
            <w:r w:rsidR="00914A1A" w:rsidRPr="001A00DB">
              <w:rPr>
                <w:rFonts w:asciiTheme="majorHAnsi" w:eastAsia="Calibri" w:hAnsiTheme="majorHAnsi" w:cs="Arial"/>
                <w:b w:val="0"/>
                <w:sz w:val="20"/>
                <w:szCs w:val="20"/>
                <w:lang w:val="fr-FR"/>
              </w:rPr>
              <w:t>Channa</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Bambaradeniya</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w:t>
            </w:r>
            <w:r w:rsidR="00A1768B" w:rsidRPr="001A00DB">
              <w:rPr>
                <w:rFonts w:asciiTheme="majorHAnsi" w:eastAsia="Calibri" w:hAnsiTheme="majorHAnsi" w:cs="Arial"/>
                <w:b w:val="0"/>
                <w:sz w:val="20"/>
                <w:szCs w:val="20"/>
                <w:lang w:val="fr-FR"/>
              </w:rPr>
              <w:t>leader</w:t>
            </w:r>
            <w:r w:rsidR="00914A1A"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 xml:space="preserve">Ruth Cromie, </w:t>
            </w:r>
            <w:r w:rsidR="00914A1A" w:rsidRPr="001A00DB">
              <w:rPr>
                <w:rFonts w:asciiTheme="majorHAnsi" w:eastAsia="Calibri" w:hAnsiTheme="majorHAnsi" w:cs="Arial"/>
                <w:b w:val="0"/>
                <w:sz w:val="20"/>
                <w:szCs w:val="20"/>
                <w:lang w:val="fr-FR"/>
              </w:rPr>
              <w:t>Lars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Dinesen,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Jari</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Ilmonen,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Guangchun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Lei,</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Kassim</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Kulindwa,</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Ritesh</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Kumar</w:t>
            </w:r>
            <w:r w:rsidR="00E01336" w:rsidRPr="001A00DB">
              <w:rPr>
                <w:rFonts w:asciiTheme="majorHAnsi" w:eastAsia="Calibri" w:hAnsiTheme="majorHAnsi" w:cs="Arial"/>
                <w:b w:val="0"/>
                <w:sz w:val="20"/>
                <w:szCs w:val="20"/>
                <w:lang w:val="fr-FR"/>
              </w:rPr>
              <w:t xml:space="preserve"> </w:t>
            </w:r>
          </w:p>
        </w:tc>
      </w:tr>
      <w:tr w:rsidR="00914A1A" w:rsidRPr="001A00DB" w14:paraId="37F4CF78" w14:textId="77777777" w:rsidTr="00501577">
        <w:trPr>
          <w:jc w:val="center"/>
        </w:trPr>
        <w:tc>
          <w:tcPr>
            <w:tcW w:w="1256" w:type="pct"/>
          </w:tcPr>
          <w:p w14:paraId="344CA7FB" w14:textId="3754DCD1" w:rsidR="00914A1A" w:rsidRPr="001A00DB" w:rsidRDefault="00914A1A" w:rsidP="00B50244">
            <w:pPr>
              <w:keepNext/>
              <w:keepLines/>
              <w:rPr>
                <w:rFonts w:asciiTheme="majorHAnsi" w:eastAsia="Calibri" w:hAnsiTheme="majorHAnsi" w:cs="Arial"/>
                <w:sz w:val="20"/>
                <w:szCs w:val="20"/>
                <w:lang w:val="fr-FR"/>
              </w:rPr>
            </w:pPr>
          </w:p>
        </w:tc>
        <w:tc>
          <w:tcPr>
            <w:tcW w:w="3744" w:type="pct"/>
          </w:tcPr>
          <w:p w14:paraId="7BD510DC" w14:textId="4DA812D2" w:rsidR="00914A1A" w:rsidRPr="001A00DB" w:rsidRDefault="00914A1A" w:rsidP="00B50244">
            <w:pPr>
              <w:keepNext/>
              <w:keepLines/>
              <w:rPr>
                <w:rFonts w:asciiTheme="majorHAnsi" w:eastAsia="Calibri" w:hAnsiTheme="majorHAnsi" w:cs="Arial"/>
                <w:b w:val="0"/>
                <w:sz w:val="20"/>
                <w:szCs w:val="20"/>
                <w:lang w:val="fr-FR"/>
              </w:rPr>
            </w:pPr>
          </w:p>
        </w:tc>
      </w:tr>
      <w:tr w:rsidR="00B50244" w:rsidRPr="00E7362F" w14:paraId="4E2B41FD" w14:textId="77777777" w:rsidTr="00501577">
        <w:trPr>
          <w:jc w:val="center"/>
        </w:trPr>
        <w:tc>
          <w:tcPr>
            <w:tcW w:w="1256" w:type="pct"/>
          </w:tcPr>
          <w:p w14:paraId="45C7F8B3" w14:textId="258F0EB0" w:rsidR="00B50244" w:rsidRPr="001A00DB" w:rsidRDefault="00B50244" w:rsidP="00B50244">
            <w:pPr>
              <w:keepNext/>
              <w:keepLines/>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Organisations participantes : [OIP/observateurs/autres]</w:t>
            </w:r>
          </w:p>
        </w:tc>
        <w:tc>
          <w:tcPr>
            <w:tcW w:w="3744" w:type="pct"/>
          </w:tcPr>
          <w:p w14:paraId="239CB728" w14:textId="1C8996F1" w:rsidR="00B50244" w:rsidRPr="001A00DB" w:rsidRDefault="00817246" w:rsidP="00817246">
            <w:pPr>
              <w:keepNext/>
              <w:keepLines/>
              <w:rPr>
                <w:rFonts w:asciiTheme="majorHAnsi" w:eastAsiaTheme="minorHAnsi" w:hAnsiTheme="majorHAnsi" w:cs="Arial"/>
                <w:sz w:val="20"/>
                <w:szCs w:val="20"/>
                <w:lang w:val="fr-FR" w:eastAsia="en-US"/>
              </w:rPr>
            </w:pPr>
            <w:r w:rsidRPr="001A00DB">
              <w:rPr>
                <w:rFonts w:asciiTheme="majorHAnsi" w:eastAsia="Calibri" w:hAnsiTheme="majorHAnsi" w:cs="Arial"/>
                <w:b w:val="0"/>
                <w:sz w:val="20"/>
                <w:szCs w:val="20"/>
                <w:lang w:val="fr-FR"/>
              </w:rPr>
              <w:t xml:space="preserve">BirdLife International (Zoltan Waliczky), </w:t>
            </w:r>
            <w:r w:rsidR="00B50244" w:rsidRPr="001A00DB">
              <w:rPr>
                <w:rFonts w:asciiTheme="majorHAnsi" w:eastAsia="Calibri" w:hAnsiTheme="majorHAnsi" w:cs="Arial"/>
                <w:b w:val="0"/>
                <w:sz w:val="20"/>
                <w:szCs w:val="20"/>
                <w:lang w:val="fr-FR"/>
              </w:rPr>
              <w:t>Union internationale pour la conservation de la nature (UICN) (Stefano Barchiesi, William Darwall, International Water Management Institute (IWMI) (Sanjiv de Silva), WI</w:t>
            </w:r>
            <w:r w:rsidRPr="001A00DB">
              <w:rPr>
                <w:rFonts w:asciiTheme="majorHAnsi" w:eastAsia="Calibri" w:hAnsiTheme="majorHAnsi" w:cs="Arial"/>
                <w:b w:val="0"/>
                <w:sz w:val="20"/>
                <w:szCs w:val="20"/>
                <w:lang w:val="fr-FR"/>
              </w:rPr>
              <w:t xml:space="preserve"> (Marcel Silvius), WWT (Rob Shore)/Comité technique AEWA (David Stroud),</w:t>
            </w:r>
            <w:r w:rsidR="00855403" w:rsidRPr="001A00DB">
              <w:rPr>
                <w:rFonts w:asciiTheme="majorHAnsi" w:eastAsia="Calibri" w:hAnsiTheme="majorHAnsi" w:cs="Arial"/>
                <w:b w:val="0"/>
                <w:sz w:val="20"/>
                <w:szCs w:val="20"/>
                <w:lang w:val="fr-FR"/>
              </w:rPr>
              <w:t xml:space="preserve"> </w:t>
            </w:r>
            <w:r w:rsidR="00B50244" w:rsidRPr="001A00DB">
              <w:rPr>
                <w:rFonts w:asciiTheme="majorHAnsi" w:eastAsia="Calibri" w:hAnsiTheme="majorHAnsi" w:cs="Arial"/>
                <w:b w:val="0"/>
                <w:sz w:val="20"/>
                <w:szCs w:val="20"/>
                <w:lang w:val="fr-FR"/>
              </w:rPr>
              <w:t>SWS (Nick Davidson), Tour du Valat</w:t>
            </w:r>
            <w:r w:rsidRPr="001A00DB">
              <w:rPr>
                <w:rFonts w:asciiTheme="majorHAnsi" w:eastAsia="Calibri" w:hAnsiTheme="majorHAnsi" w:cs="Arial"/>
                <w:b w:val="0"/>
                <w:sz w:val="20"/>
                <w:szCs w:val="20"/>
                <w:lang w:val="fr-FR"/>
              </w:rPr>
              <w:t>/Observatoire des zones humides méditerranéennes</w:t>
            </w:r>
            <w:r w:rsidR="00B50244"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t>
            </w:r>
            <w:r w:rsidR="00B50244" w:rsidRPr="001A00DB">
              <w:rPr>
                <w:rFonts w:asciiTheme="majorHAnsi" w:eastAsia="Calibri" w:hAnsiTheme="majorHAnsi" w:cs="Arial"/>
                <w:b w:val="0"/>
                <w:sz w:val="20"/>
                <w:szCs w:val="20"/>
                <w:lang w:val="fr-FR"/>
              </w:rPr>
              <w:t>Christian Perennou</w:t>
            </w:r>
            <w:r w:rsidRPr="001A00DB">
              <w:rPr>
                <w:rFonts w:asciiTheme="majorHAnsi" w:eastAsia="Calibri" w:hAnsiTheme="majorHAnsi" w:cs="Arial"/>
                <w:b w:val="0"/>
                <w:sz w:val="20"/>
                <w:szCs w:val="20"/>
                <w:lang w:val="fr-FR"/>
              </w:rPr>
              <w:t>)</w:t>
            </w:r>
            <w:r w:rsidR="00B50244" w:rsidRPr="001A00DB">
              <w:rPr>
                <w:rFonts w:asciiTheme="majorHAnsi" w:eastAsia="Calibri" w:hAnsiTheme="majorHAnsi" w:cs="Arial"/>
                <w:b w:val="0"/>
                <w:sz w:val="20"/>
                <w:szCs w:val="20"/>
                <w:lang w:val="fr-FR"/>
              </w:rPr>
              <w:t xml:space="preserve">, PNUE (Marisol Estrella), ONU-Habitat (Robert McInnes), UNESCO-MAB (Marie Prchlova), Centre du patrimoine mondial </w:t>
            </w:r>
            <w:r w:rsidRPr="001A00DB">
              <w:rPr>
                <w:rFonts w:asciiTheme="majorHAnsi" w:eastAsia="Calibri" w:hAnsiTheme="majorHAnsi" w:cs="Arial"/>
                <w:b w:val="0"/>
                <w:sz w:val="20"/>
                <w:szCs w:val="20"/>
                <w:lang w:val="fr-FR"/>
              </w:rPr>
              <w:t>(</w:t>
            </w:r>
            <w:r w:rsidR="00B50244" w:rsidRPr="001A00DB">
              <w:rPr>
                <w:rFonts w:asciiTheme="majorHAnsi" w:eastAsia="Calibri" w:hAnsiTheme="majorHAnsi" w:cs="Arial"/>
                <w:b w:val="0"/>
                <w:sz w:val="20"/>
                <w:szCs w:val="20"/>
                <w:lang w:val="fr-FR"/>
              </w:rPr>
              <w:t>Tim Badman)/</w:t>
            </w:r>
            <w:r w:rsidR="00B50244" w:rsidRPr="001A00DB">
              <w:rPr>
                <w:rFonts w:asciiTheme="majorHAnsi" w:eastAsiaTheme="minorHAnsi" w:hAnsiTheme="majorHAnsi" w:cs="Arial"/>
                <w:b w:val="0"/>
                <w:sz w:val="20"/>
                <w:szCs w:val="20"/>
                <w:lang w:val="fr-FR" w:eastAsia="en-US"/>
              </w:rPr>
              <w:t xml:space="preserve"> Société internationale de</w:t>
            </w:r>
            <w:r w:rsidR="00255A2D" w:rsidRPr="001A00DB">
              <w:rPr>
                <w:rFonts w:asciiTheme="majorHAnsi" w:eastAsiaTheme="minorHAnsi" w:hAnsiTheme="majorHAnsi" w:cs="Arial"/>
                <w:b w:val="0"/>
                <w:sz w:val="20"/>
                <w:szCs w:val="20"/>
                <w:lang w:val="fr-FR" w:eastAsia="en-US"/>
              </w:rPr>
              <w:t xml:space="preserve"> la tourbe</w:t>
            </w:r>
            <w:r w:rsidR="00B50244" w:rsidRPr="001A00DB">
              <w:rPr>
                <w:rFonts w:asciiTheme="majorHAnsi" w:eastAsiaTheme="minorHAnsi" w:hAnsiTheme="majorHAnsi" w:cs="Arial"/>
                <w:b w:val="0"/>
                <w:sz w:val="20"/>
                <w:szCs w:val="20"/>
                <w:lang w:val="fr-FR" w:eastAsia="en-US"/>
              </w:rPr>
              <w:t xml:space="preserve"> (</w:t>
            </w:r>
            <w:r w:rsidRPr="001A00DB">
              <w:rPr>
                <w:rFonts w:asciiTheme="majorHAnsi" w:eastAsia="Calibri" w:hAnsiTheme="majorHAnsi" w:cs="Arial"/>
                <w:b w:val="0"/>
                <w:sz w:val="20"/>
                <w:szCs w:val="20"/>
                <w:lang w:val="fr-FR"/>
              </w:rPr>
              <w:t>Jack Rieley</w:t>
            </w:r>
            <w:r w:rsidR="00B50244" w:rsidRPr="001A00DB">
              <w:rPr>
                <w:rFonts w:asciiTheme="majorHAnsi" w:eastAsiaTheme="minorHAnsi" w:hAnsiTheme="majorHAnsi" w:cs="Arial"/>
                <w:b w:val="0"/>
                <w:sz w:val="20"/>
                <w:szCs w:val="20"/>
                <w:lang w:val="fr-FR" w:eastAsia="en-US"/>
              </w:rPr>
              <w:t>)</w:t>
            </w:r>
            <w:r w:rsidR="00B50244" w:rsidRPr="001A00DB">
              <w:rPr>
                <w:rFonts w:asciiTheme="majorHAnsi" w:eastAsia="Calibri" w:hAnsiTheme="majorHAnsi" w:cs="Arial"/>
                <w:b w:val="0"/>
                <w:sz w:val="20"/>
                <w:szCs w:val="20"/>
                <w:lang w:val="fr-FR"/>
              </w:rPr>
              <w:t xml:space="preserve"> </w:t>
            </w:r>
          </w:p>
        </w:tc>
      </w:tr>
    </w:tbl>
    <w:p w14:paraId="51772ED4" w14:textId="77777777" w:rsidR="00914A1A" w:rsidRPr="001A00DB" w:rsidRDefault="00914A1A" w:rsidP="00914A1A">
      <w:pPr>
        <w:rPr>
          <w:rFonts w:asciiTheme="majorHAnsi" w:hAnsiTheme="majorHAnsi" w:cs="Arial"/>
          <w:sz w:val="20"/>
          <w:szCs w:val="20"/>
          <w:lang w:val="fr-FR"/>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1498"/>
        <w:gridCol w:w="781"/>
        <w:gridCol w:w="1005"/>
        <w:gridCol w:w="1127"/>
        <w:gridCol w:w="8355"/>
        <w:gridCol w:w="1390"/>
      </w:tblGrid>
      <w:tr w:rsidR="00F52F75" w:rsidRPr="001A00DB" w14:paraId="5CA0F83E" w14:textId="77777777" w:rsidTr="00F02C6F">
        <w:trPr>
          <w:tblHeader/>
        </w:trPr>
        <w:tc>
          <w:tcPr>
            <w:tcW w:w="529" w:type="pct"/>
            <w:shd w:val="clear" w:color="auto" w:fill="D9D9D9" w:themeFill="background1" w:themeFillShade="D9"/>
          </w:tcPr>
          <w:p w14:paraId="74A3D8DF" w14:textId="19A75B90" w:rsidR="007A0789" w:rsidRPr="001A00DB" w:rsidRDefault="00B50244" w:rsidP="00726B77">
            <w:pPr>
              <w:jc w:val="center"/>
              <w:rPr>
                <w:rFonts w:asciiTheme="majorHAnsi" w:hAnsiTheme="majorHAnsi" w:cs="Arial"/>
                <w:sz w:val="20"/>
                <w:szCs w:val="20"/>
                <w:lang w:val="fr-FR"/>
              </w:rPr>
            </w:pPr>
            <w:r w:rsidRPr="001A00DB">
              <w:rPr>
                <w:rFonts w:asciiTheme="majorHAnsi" w:hAnsiTheme="majorHAnsi" w:cs="Arial"/>
                <w:sz w:val="20"/>
                <w:szCs w:val="20"/>
                <w:lang w:val="fr-FR"/>
              </w:rPr>
              <w:t>N</w:t>
            </w:r>
            <w:r w:rsidRPr="001A00DB">
              <w:rPr>
                <w:rFonts w:asciiTheme="majorHAnsi" w:hAnsiTheme="majorHAnsi" w:cs="Arial"/>
                <w:sz w:val="20"/>
                <w:szCs w:val="20"/>
                <w:vertAlign w:val="superscript"/>
                <w:lang w:val="fr-FR"/>
              </w:rPr>
              <w:t>o</w:t>
            </w:r>
            <w:r w:rsidRPr="001A00DB">
              <w:rPr>
                <w:rFonts w:asciiTheme="majorHAnsi" w:hAnsiTheme="majorHAnsi" w:cs="Arial"/>
                <w:sz w:val="20"/>
                <w:szCs w:val="20"/>
                <w:lang w:val="fr-FR"/>
              </w:rPr>
              <w:t xml:space="preserve"> de tâche, titre</w:t>
            </w:r>
          </w:p>
        </w:tc>
        <w:tc>
          <w:tcPr>
            <w:tcW w:w="276" w:type="pct"/>
            <w:shd w:val="clear" w:color="auto" w:fill="D9D9D9" w:themeFill="background1" w:themeFillShade="D9"/>
          </w:tcPr>
          <w:p w14:paraId="4CC3CA56" w14:textId="265F224E" w:rsidR="007A0789" w:rsidRPr="001A00DB" w:rsidRDefault="00B50244" w:rsidP="00726B77">
            <w:pPr>
              <w:jc w:val="center"/>
              <w:rPr>
                <w:rFonts w:asciiTheme="majorHAnsi" w:hAnsiTheme="majorHAnsi" w:cs="Arial"/>
                <w:sz w:val="20"/>
                <w:szCs w:val="20"/>
                <w:lang w:val="fr-FR"/>
              </w:rPr>
            </w:pPr>
            <w:r w:rsidRPr="001A00DB">
              <w:rPr>
                <w:rFonts w:asciiTheme="majorHAnsi" w:hAnsiTheme="majorHAnsi" w:cs="Arial"/>
                <w:sz w:val="20"/>
                <w:szCs w:val="20"/>
                <w:lang w:val="fr-FR"/>
              </w:rPr>
              <w:t>Priorité</w:t>
            </w:r>
          </w:p>
        </w:tc>
        <w:tc>
          <w:tcPr>
            <w:tcW w:w="355" w:type="pct"/>
            <w:shd w:val="clear" w:color="auto" w:fill="D9D9D9" w:themeFill="background1" w:themeFillShade="D9"/>
          </w:tcPr>
          <w:p w14:paraId="0E3631AB" w14:textId="4EE42AF2" w:rsidR="007A0789" w:rsidRPr="001A00DB" w:rsidRDefault="00B50244" w:rsidP="00726B77">
            <w:pPr>
              <w:jc w:val="center"/>
              <w:rPr>
                <w:rFonts w:asciiTheme="majorHAnsi" w:hAnsiTheme="majorHAnsi" w:cs="Arial"/>
                <w:sz w:val="20"/>
                <w:szCs w:val="20"/>
                <w:lang w:val="fr-FR"/>
              </w:rPr>
            </w:pPr>
            <w:r w:rsidRPr="001A00DB">
              <w:rPr>
                <w:rFonts w:asciiTheme="majorHAnsi" w:hAnsiTheme="majorHAnsi" w:cs="Arial"/>
                <w:sz w:val="20"/>
                <w:szCs w:val="20"/>
                <w:lang w:val="fr-FR"/>
              </w:rPr>
              <w:t>Résolution</w:t>
            </w:r>
          </w:p>
        </w:tc>
        <w:tc>
          <w:tcPr>
            <w:tcW w:w="398" w:type="pct"/>
            <w:shd w:val="clear" w:color="auto" w:fill="D9D9D9" w:themeFill="background1" w:themeFillShade="D9"/>
          </w:tcPr>
          <w:p w14:paraId="501C1A3A" w14:textId="02508B73" w:rsidR="007A0789" w:rsidRPr="001A00DB" w:rsidRDefault="00B50244" w:rsidP="00726B77">
            <w:pPr>
              <w:jc w:val="center"/>
              <w:rPr>
                <w:rFonts w:asciiTheme="majorHAnsi" w:hAnsiTheme="majorHAnsi" w:cs="Arial"/>
                <w:sz w:val="20"/>
                <w:szCs w:val="20"/>
                <w:lang w:val="fr-FR"/>
              </w:rPr>
            </w:pPr>
            <w:r w:rsidRPr="001A00DB">
              <w:rPr>
                <w:rFonts w:asciiTheme="majorHAnsi" w:eastAsia="Calibri" w:hAnsiTheme="majorHAnsi" w:cs="Arial"/>
                <w:sz w:val="20"/>
                <w:szCs w:val="20"/>
                <w:lang w:val="fr-FR"/>
              </w:rPr>
              <w:t>But et objectif PS</w:t>
            </w:r>
          </w:p>
        </w:tc>
        <w:tc>
          <w:tcPr>
            <w:tcW w:w="2951" w:type="pct"/>
            <w:shd w:val="clear" w:color="auto" w:fill="D9D9D9" w:themeFill="background1" w:themeFillShade="D9"/>
          </w:tcPr>
          <w:p w14:paraId="61270A3F" w14:textId="6B9FEE8A" w:rsidR="007A0789" w:rsidRPr="001A00DB" w:rsidRDefault="00B50244" w:rsidP="00726B77">
            <w:pPr>
              <w:jc w:val="center"/>
              <w:rPr>
                <w:rFonts w:asciiTheme="majorHAnsi" w:hAnsiTheme="majorHAnsi" w:cs="Arial"/>
                <w:sz w:val="20"/>
                <w:szCs w:val="20"/>
                <w:lang w:val="fr-FR"/>
              </w:rPr>
            </w:pPr>
            <w:r w:rsidRPr="001A00DB">
              <w:rPr>
                <w:rFonts w:asciiTheme="majorHAnsi" w:hAnsiTheme="majorHAnsi" w:cs="Arial"/>
                <w:sz w:val="20"/>
                <w:szCs w:val="20"/>
                <w:lang w:val="fr-FR"/>
              </w:rPr>
              <w:t>Description de tâche, public ciblé et résultats escomptés</w:t>
            </w:r>
          </w:p>
        </w:tc>
        <w:tc>
          <w:tcPr>
            <w:tcW w:w="491" w:type="pct"/>
            <w:shd w:val="clear" w:color="auto" w:fill="D9D9D9" w:themeFill="background1" w:themeFillShade="D9"/>
          </w:tcPr>
          <w:p w14:paraId="31C0F14C" w14:textId="5BA44B85" w:rsidR="007A0789" w:rsidRPr="001A00DB" w:rsidRDefault="00B50244" w:rsidP="00726B77">
            <w:pPr>
              <w:jc w:val="center"/>
              <w:rPr>
                <w:rFonts w:asciiTheme="majorHAnsi" w:hAnsiTheme="majorHAnsi" w:cs="Arial"/>
                <w:sz w:val="20"/>
                <w:szCs w:val="20"/>
                <w:lang w:val="fr-FR"/>
              </w:rPr>
            </w:pPr>
            <w:r w:rsidRPr="001A00DB">
              <w:rPr>
                <w:rFonts w:asciiTheme="majorHAnsi" w:hAnsiTheme="majorHAnsi" w:cs="Arial"/>
                <w:sz w:val="20"/>
                <w:szCs w:val="20"/>
                <w:lang w:val="fr-FR"/>
              </w:rPr>
              <w:t>Coûts</w:t>
            </w:r>
            <w:r w:rsidR="007A0789" w:rsidRPr="001A00DB">
              <w:rPr>
                <w:rFonts w:asciiTheme="majorHAnsi" w:hAnsiTheme="majorHAnsi" w:cs="Arial"/>
                <w:sz w:val="20"/>
                <w:szCs w:val="20"/>
                <w:lang w:val="fr-FR"/>
              </w:rPr>
              <w:t xml:space="preserve"> CHF</w:t>
            </w:r>
          </w:p>
          <w:p w14:paraId="51F5C55A" w14:textId="7327AD0C" w:rsidR="007A0789" w:rsidRPr="001A00DB" w:rsidRDefault="007A0789" w:rsidP="00744912">
            <w:pPr>
              <w:jc w:val="center"/>
              <w:rPr>
                <w:rFonts w:asciiTheme="majorHAnsi" w:hAnsiTheme="majorHAnsi" w:cs="Arial"/>
                <w:sz w:val="20"/>
                <w:szCs w:val="20"/>
                <w:lang w:val="fr-FR"/>
              </w:rPr>
            </w:pPr>
            <w:r w:rsidRPr="001A00DB">
              <w:rPr>
                <w:rFonts w:asciiTheme="majorHAnsi" w:hAnsiTheme="majorHAnsi" w:cs="Arial"/>
                <w:sz w:val="20"/>
                <w:szCs w:val="20"/>
                <w:lang w:val="fr-FR"/>
              </w:rPr>
              <w:t>(indicati</w:t>
            </w:r>
            <w:r w:rsidR="00744912" w:rsidRPr="001A00DB">
              <w:rPr>
                <w:rFonts w:asciiTheme="majorHAnsi" w:hAnsiTheme="majorHAnsi" w:cs="Arial"/>
                <w:sz w:val="20"/>
                <w:szCs w:val="20"/>
                <w:lang w:val="fr-FR"/>
              </w:rPr>
              <w:t>f</w:t>
            </w:r>
            <w:r w:rsidRPr="001A00DB">
              <w:rPr>
                <w:rFonts w:asciiTheme="majorHAnsi" w:hAnsiTheme="majorHAnsi" w:cs="Arial"/>
                <w:sz w:val="20"/>
                <w:szCs w:val="20"/>
                <w:lang w:val="fr-FR"/>
              </w:rPr>
              <w:t>)</w:t>
            </w:r>
          </w:p>
        </w:tc>
      </w:tr>
      <w:tr w:rsidR="00F52F75" w:rsidRPr="00E7362F" w14:paraId="520B7C16" w14:textId="77777777" w:rsidTr="00F02C6F">
        <w:tc>
          <w:tcPr>
            <w:tcW w:w="529" w:type="pct"/>
          </w:tcPr>
          <w:p w14:paraId="2A736BEF" w14:textId="68E6DFDA" w:rsidR="00914A1A" w:rsidRPr="001A00DB" w:rsidRDefault="00914A1A" w:rsidP="00744912">
            <w:pPr>
              <w:rPr>
                <w:rFonts w:asciiTheme="majorHAnsi" w:hAnsiTheme="majorHAnsi" w:cs="Arial"/>
                <w:b w:val="0"/>
                <w:sz w:val="20"/>
                <w:szCs w:val="20"/>
                <w:lang w:val="fr-FR"/>
              </w:rPr>
            </w:pPr>
            <w:r w:rsidRPr="001A00DB">
              <w:rPr>
                <w:rFonts w:asciiTheme="majorHAnsi" w:hAnsiTheme="majorHAnsi" w:cs="Arial"/>
                <w:b w:val="0"/>
                <w:sz w:val="20"/>
                <w:szCs w:val="20"/>
                <w:lang w:val="fr-FR"/>
              </w:rPr>
              <w:t>2.1</w:t>
            </w:r>
            <w:r w:rsidR="00E01336" w:rsidRPr="001A00DB">
              <w:rPr>
                <w:rFonts w:asciiTheme="majorHAnsi" w:hAnsiTheme="majorHAnsi" w:cs="Arial"/>
                <w:b w:val="0"/>
                <w:sz w:val="20"/>
                <w:szCs w:val="20"/>
                <w:lang w:val="fr-FR"/>
              </w:rPr>
              <w:t xml:space="preserve"> </w:t>
            </w:r>
            <w:r w:rsidR="00744912" w:rsidRPr="001A00DB">
              <w:rPr>
                <w:rFonts w:asciiTheme="majorHAnsi" w:hAnsiTheme="majorHAnsi" w:cs="Arial"/>
                <w:b w:val="0"/>
                <w:sz w:val="20"/>
                <w:szCs w:val="20"/>
                <w:lang w:val="fr-FR"/>
              </w:rPr>
              <w:t xml:space="preserve">Outil de gestion des Sites Ramsar </w:t>
            </w:r>
          </w:p>
        </w:tc>
        <w:tc>
          <w:tcPr>
            <w:tcW w:w="276" w:type="pct"/>
          </w:tcPr>
          <w:p w14:paraId="29006C98" w14:textId="74DD2733" w:rsidR="00914A1A" w:rsidRPr="001A00DB" w:rsidRDefault="00C70B86" w:rsidP="00C70B86">
            <w:pPr>
              <w:rPr>
                <w:rFonts w:asciiTheme="majorHAnsi" w:hAnsiTheme="majorHAnsi" w:cs="Arial"/>
                <w:b w:val="0"/>
                <w:sz w:val="20"/>
                <w:szCs w:val="20"/>
                <w:lang w:val="fr-FR"/>
              </w:rPr>
            </w:pPr>
            <w:r w:rsidRPr="001A00DB">
              <w:rPr>
                <w:rFonts w:asciiTheme="majorHAnsi" w:hAnsiTheme="majorHAnsi" w:cs="Arial"/>
                <w:b w:val="0"/>
                <w:sz w:val="20"/>
                <w:szCs w:val="20"/>
                <w:lang w:val="fr-FR"/>
              </w:rPr>
              <w:t>H</w:t>
            </w:r>
            <w:r w:rsidR="008E6B37" w:rsidRPr="001A00DB">
              <w:rPr>
                <w:rFonts w:asciiTheme="majorHAnsi" w:hAnsiTheme="majorHAnsi" w:cs="Arial"/>
                <w:b w:val="0"/>
                <w:sz w:val="20"/>
                <w:szCs w:val="20"/>
                <w:lang w:val="fr-FR"/>
              </w:rPr>
              <w:t>aute</w:t>
            </w:r>
          </w:p>
        </w:tc>
        <w:tc>
          <w:tcPr>
            <w:tcW w:w="355" w:type="pct"/>
          </w:tcPr>
          <w:p w14:paraId="17FD4710" w14:textId="77777777" w:rsidR="00817246" w:rsidRPr="001A00DB" w:rsidRDefault="00817246"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XII.11, ¶28</w:t>
            </w:r>
          </w:p>
          <w:p w14:paraId="1052C29C" w14:textId="6A9BF166" w:rsidR="00914A1A" w:rsidRPr="001A00DB" w:rsidRDefault="00914A1A"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XII.13;</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¶27</w:t>
            </w:r>
            <w:r w:rsidR="00E01336" w:rsidRPr="001A00DB">
              <w:rPr>
                <w:rFonts w:asciiTheme="majorHAnsi" w:hAnsiTheme="majorHAnsi" w:cs="Arial"/>
                <w:b w:val="0"/>
                <w:sz w:val="20"/>
                <w:szCs w:val="20"/>
                <w:lang w:val="fr-FR"/>
              </w:rPr>
              <w:t xml:space="preserve"> </w:t>
            </w:r>
          </w:p>
          <w:p w14:paraId="5200A7C6" w14:textId="17BB5488" w:rsidR="00914A1A" w:rsidRPr="001A00DB" w:rsidRDefault="00914A1A" w:rsidP="00817246">
            <w:pPr>
              <w:rPr>
                <w:rFonts w:asciiTheme="majorHAnsi" w:hAnsiTheme="majorHAnsi" w:cs="Arial"/>
                <w:b w:val="0"/>
                <w:sz w:val="20"/>
                <w:szCs w:val="20"/>
                <w:lang w:val="fr-FR"/>
              </w:rPr>
            </w:pPr>
            <w:r w:rsidRPr="001A00DB">
              <w:rPr>
                <w:rFonts w:asciiTheme="majorHAnsi" w:hAnsiTheme="majorHAnsi" w:cs="Arial"/>
                <w:b w:val="0"/>
                <w:sz w:val="20"/>
                <w:szCs w:val="20"/>
                <w:lang w:val="fr-FR"/>
              </w:rPr>
              <w:t>XII.13;</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w:t>
            </w:r>
            <w:r w:rsidR="00817246" w:rsidRPr="001A00DB">
              <w:rPr>
                <w:rFonts w:asciiTheme="majorHAnsi" w:hAnsiTheme="majorHAnsi" w:cs="Arial"/>
                <w:b w:val="0"/>
                <w:sz w:val="20"/>
                <w:szCs w:val="20"/>
                <w:lang w:val="fr-FR"/>
              </w:rPr>
              <w:t>28</w:t>
            </w:r>
            <w:r w:rsidR="00E01336" w:rsidRPr="001A00DB">
              <w:rPr>
                <w:rFonts w:asciiTheme="majorHAnsi" w:hAnsiTheme="majorHAnsi" w:cs="Arial"/>
                <w:b w:val="0"/>
                <w:sz w:val="20"/>
                <w:szCs w:val="20"/>
                <w:lang w:val="fr-FR"/>
              </w:rPr>
              <w:t xml:space="preserve"> </w:t>
            </w:r>
          </w:p>
        </w:tc>
        <w:tc>
          <w:tcPr>
            <w:tcW w:w="398" w:type="pct"/>
          </w:tcPr>
          <w:p w14:paraId="7E312D3E" w14:textId="5AB979F3" w:rsidR="00914A1A" w:rsidRPr="001A00DB" w:rsidRDefault="00914A1A" w:rsidP="00AD15D6">
            <w:pPr>
              <w:rPr>
                <w:rFonts w:asciiTheme="majorHAnsi" w:hAnsiTheme="majorHAnsi" w:cs="Arial"/>
                <w:b w:val="0"/>
                <w:sz w:val="20"/>
                <w:szCs w:val="20"/>
                <w:lang w:val="fr-FR"/>
              </w:rPr>
            </w:pPr>
            <w:r w:rsidRPr="001A00DB">
              <w:rPr>
                <w:rFonts w:asciiTheme="majorHAnsi" w:hAnsiTheme="majorHAnsi" w:cs="Arial"/>
                <w:b w:val="0"/>
                <w:sz w:val="20"/>
                <w:szCs w:val="20"/>
                <w:lang w:val="fr-FR"/>
              </w:rPr>
              <w:t>3.8,</w:t>
            </w:r>
            <w:r w:rsidR="00E01336" w:rsidRPr="001A00DB">
              <w:rPr>
                <w:rFonts w:asciiTheme="majorHAnsi" w:hAnsiTheme="majorHAnsi" w:cs="Arial"/>
                <w:b w:val="0"/>
                <w:sz w:val="20"/>
                <w:szCs w:val="20"/>
                <w:lang w:val="fr-FR"/>
              </w:rPr>
              <w:t xml:space="preserve"> </w:t>
            </w:r>
            <w:r w:rsidR="00817246" w:rsidRPr="001A00DB">
              <w:rPr>
                <w:rFonts w:asciiTheme="majorHAnsi" w:hAnsiTheme="majorHAnsi" w:cs="Arial"/>
                <w:b w:val="0"/>
                <w:sz w:val="20"/>
                <w:szCs w:val="20"/>
                <w:lang w:val="fr-FR"/>
              </w:rPr>
              <w:t xml:space="preserve">3.9, 3.10, </w:t>
            </w:r>
            <w:r w:rsidRPr="001A00DB">
              <w:rPr>
                <w:rFonts w:asciiTheme="majorHAnsi" w:hAnsiTheme="majorHAnsi" w:cs="Arial"/>
                <w:b w:val="0"/>
                <w:sz w:val="20"/>
                <w:szCs w:val="20"/>
                <w:lang w:val="fr-FR"/>
              </w:rPr>
              <w:t>3.11,</w:t>
            </w:r>
            <w:r w:rsidR="00E01336" w:rsidRPr="001A00DB">
              <w:rPr>
                <w:rFonts w:asciiTheme="majorHAnsi" w:hAnsiTheme="majorHAnsi" w:cs="Arial"/>
                <w:b w:val="0"/>
                <w:sz w:val="20"/>
                <w:szCs w:val="20"/>
                <w:lang w:val="fr-FR"/>
              </w:rPr>
              <w:t xml:space="preserve"> </w:t>
            </w:r>
            <w:r w:rsidR="00817246" w:rsidRPr="001A00DB">
              <w:rPr>
                <w:rFonts w:asciiTheme="majorHAnsi" w:hAnsiTheme="majorHAnsi" w:cs="Arial"/>
                <w:b w:val="0"/>
                <w:sz w:val="20"/>
                <w:szCs w:val="20"/>
                <w:lang w:val="fr-FR"/>
              </w:rPr>
              <w:t xml:space="preserve">3.12; </w:t>
            </w:r>
            <w:r w:rsidRPr="001A00DB">
              <w:rPr>
                <w:rFonts w:asciiTheme="majorHAnsi" w:hAnsiTheme="majorHAnsi" w:cs="Arial"/>
                <w:b w:val="0"/>
                <w:sz w:val="20"/>
                <w:szCs w:val="20"/>
                <w:lang w:val="fr-FR"/>
              </w:rPr>
              <w:t>4.1</w:t>
            </w:r>
            <w:r w:rsidR="00817246" w:rsidRPr="001A00DB">
              <w:rPr>
                <w:rFonts w:asciiTheme="majorHAnsi" w:hAnsiTheme="majorHAnsi" w:cs="Arial"/>
                <w:b w:val="0"/>
                <w:sz w:val="20"/>
                <w:szCs w:val="20"/>
                <w:lang w:val="fr-FR"/>
              </w:rPr>
              <w:t>4</w:t>
            </w:r>
          </w:p>
        </w:tc>
        <w:tc>
          <w:tcPr>
            <w:tcW w:w="2951" w:type="pct"/>
          </w:tcPr>
          <w:p w14:paraId="3FA1AD51" w14:textId="2401EFC9" w:rsidR="00914A1A" w:rsidRPr="001A00DB" w:rsidRDefault="00744912" w:rsidP="00914A1A">
            <w:pPr>
              <w:rPr>
                <w:rFonts w:asciiTheme="majorHAnsi" w:eastAsiaTheme="minorHAnsi" w:hAnsiTheme="majorHAnsi" w:cs="Arial"/>
                <w:b w:val="0"/>
                <w:sz w:val="20"/>
                <w:szCs w:val="20"/>
                <w:lang w:val="fr-FR" w:eastAsia="en-US"/>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w:t>
            </w:r>
            <w:r w:rsidR="00817246" w:rsidRPr="001A00DB">
              <w:rPr>
                <w:rFonts w:asciiTheme="majorHAnsi" w:hAnsiTheme="majorHAnsi" w:cs="Arial"/>
                <w:b w:val="0"/>
                <w:sz w:val="20"/>
                <w:szCs w:val="20"/>
                <w:lang w:val="fr-FR"/>
              </w:rPr>
              <w:t xml:space="preserve"> </w:t>
            </w:r>
            <w:r w:rsidR="00F02C6F" w:rsidRPr="001A00DB">
              <w:rPr>
                <w:rFonts w:asciiTheme="majorHAnsi" w:eastAsiaTheme="minorHAnsi" w:hAnsiTheme="majorHAnsi" w:cs="Arial"/>
                <w:b w:val="0"/>
                <w:sz w:val="20"/>
                <w:szCs w:val="20"/>
                <w:lang w:val="fr-FR" w:eastAsia="en-US"/>
              </w:rPr>
              <w:t xml:space="preserve">Compilation </w:t>
            </w:r>
            <w:r w:rsidR="00AD15D6" w:rsidRPr="001A00DB">
              <w:rPr>
                <w:rFonts w:asciiTheme="majorHAnsi" w:eastAsiaTheme="minorHAnsi" w:hAnsiTheme="majorHAnsi" w:cs="Arial"/>
                <w:b w:val="0"/>
                <w:sz w:val="20"/>
                <w:szCs w:val="20"/>
                <w:lang w:val="fr-FR" w:eastAsia="en-US"/>
              </w:rPr>
              <w:t>d’un « Outil de gestion des Sites Ramsar » en ligne, se composant d’une page dédiée sur le site web de Ramsar avec la traduction appropriée dans les langues de Ramsar.</w:t>
            </w:r>
          </w:p>
          <w:p w14:paraId="3882D7C4" w14:textId="77777777" w:rsidR="00914A1A" w:rsidRPr="001A00DB" w:rsidRDefault="00914A1A" w:rsidP="00914A1A">
            <w:pPr>
              <w:rPr>
                <w:rFonts w:asciiTheme="majorHAnsi" w:eastAsiaTheme="minorHAnsi" w:hAnsiTheme="majorHAnsi" w:cs="Arial"/>
                <w:b w:val="0"/>
                <w:sz w:val="20"/>
                <w:szCs w:val="20"/>
                <w:lang w:val="fr-FR" w:eastAsia="en-US"/>
              </w:rPr>
            </w:pPr>
          </w:p>
          <w:p w14:paraId="0E9C3DCB" w14:textId="0837EAAA" w:rsidR="00914A1A" w:rsidRPr="001A00DB" w:rsidRDefault="00744912" w:rsidP="00914A1A">
            <w:pPr>
              <w:rPr>
                <w:rFonts w:asciiTheme="majorHAnsi" w:eastAsiaTheme="minorHAnsi" w:hAnsiTheme="majorHAnsi" w:cs="Arial"/>
                <w:b w:val="0"/>
                <w:sz w:val="20"/>
                <w:szCs w:val="20"/>
                <w:lang w:val="fr-FR" w:eastAsia="en-US"/>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xml:space="preserve"> : </w:t>
            </w:r>
            <w:r w:rsidR="00B32124" w:rsidRPr="001A00DB">
              <w:rPr>
                <w:rFonts w:asciiTheme="majorHAnsi" w:hAnsiTheme="majorHAnsi" w:cs="Arial"/>
                <w:b w:val="0"/>
                <w:sz w:val="20"/>
                <w:szCs w:val="20"/>
                <w:lang w:val="fr-FR"/>
              </w:rPr>
              <w:t>P</w:t>
            </w:r>
            <w:r w:rsidRPr="001A00DB">
              <w:rPr>
                <w:rFonts w:asciiTheme="majorHAnsi" w:hAnsiTheme="majorHAnsi" w:cs="Arial"/>
                <w:b w:val="0"/>
                <w:sz w:val="20"/>
                <w:szCs w:val="20"/>
                <w:lang w:val="fr-FR"/>
              </w:rPr>
              <w:t>age web</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qui contiendrait les orientations existantes et les produits </w:t>
            </w:r>
            <w:r w:rsidR="0020217E" w:rsidRPr="001A00DB">
              <w:rPr>
                <w:rFonts w:asciiTheme="majorHAnsi" w:hAnsiTheme="majorHAnsi" w:cs="Arial"/>
                <w:b w:val="0"/>
                <w:sz w:val="20"/>
                <w:szCs w:val="20"/>
                <w:lang w:val="fr-FR"/>
              </w:rPr>
              <w:t xml:space="preserve">du GEST </w:t>
            </w:r>
            <w:r w:rsidRPr="001A00DB">
              <w:rPr>
                <w:rFonts w:asciiTheme="majorHAnsi" w:hAnsiTheme="majorHAnsi" w:cs="Arial"/>
                <w:b w:val="0"/>
                <w:sz w:val="20"/>
                <w:szCs w:val="20"/>
                <w:lang w:val="fr-FR"/>
              </w:rPr>
              <w:t>sur la gestion de site</w:t>
            </w:r>
            <w:r w:rsidR="004565C0"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 xml:space="preserve">, y compris les bonnes pratiques </w:t>
            </w:r>
            <w:r w:rsidR="00817246" w:rsidRPr="001A00DB">
              <w:rPr>
                <w:rFonts w:asciiTheme="majorHAnsi" w:hAnsiTheme="majorHAnsi" w:cs="Arial"/>
                <w:b w:val="0"/>
                <w:sz w:val="20"/>
                <w:szCs w:val="20"/>
                <w:lang w:val="fr-FR"/>
              </w:rPr>
              <w:t xml:space="preserve">et des études de cas </w:t>
            </w:r>
            <w:r w:rsidRPr="001A00DB">
              <w:rPr>
                <w:rFonts w:asciiTheme="majorHAnsi" w:hAnsiTheme="majorHAnsi" w:cs="Arial"/>
                <w:b w:val="0"/>
                <w:sz w:val="20"/>
                <w:szCs w:val="20"/>
                <w:lang w:val="fr-FR"/>
              </w:rPr>
              <w:t xml:space="preserve">sur la restauration des </w:t>
            </w:r>
            <w:r w:rsidR="00817246" w:rsidRPr="001A00DB">
              <w:rPr>
                <w:rFonts w:asciiTheme="majorHAnsi" w:hAnsiTheme="majorHAnsi" w:cs="Arial"/>
                <w:b w:val="0"/>
                <w:sz w:val="20"/>
                <w:szCs w:val="20"/>
                <w:lang w:val="fr-FR"/>
              </w:rPr>
              <w:t>zones humides et le savoir traditionnel et local des peuples autochtones et des communautés locales</w:t>
            </w:r>
            <w:r w:rsidRPr="001A00DB">
              <w:rPr>
                <w:rFonts w:asciiTheme="majorHAnsi" w:hAnsiTheme="majorHAnsi" w:cs="Arial"/>
                <w:b w:val="0"/>
                <w:sz w:val="20"/>
                <w:szCs w:val="20"/>
                <w:lang w:val="fr-FR"/>
              </w:rPr>
              <w:t xml:space="preserve"> à compiler par le Secrétariat, ainsi qu’une liste des initiatives </w:t>
            </w:r>
            <w:r w:rsidR="00817246" w:rsidRPr="001A00DB">
              <w:rPr>
                <w:rFonts w:asciiTheme="majorHAnsi" w:hAnsiTheme="majorHAnsi" w:cs="Arial"/>
                <w:b w:val="0"/>
                <w:sz w:val="20"/>
                <w:szCs w:val="20"/>
                <w:lang w:val="fr-FR"/>
              </w:rPr>
              <w:t xml:space="preserve">internationales et/ou </w:t>
            </w:r>
            <w:r w:rsidRPr="001A00DB">
              <w:rPr>
                <w:rFonts w:asciiTheme="majorHAnsi" w:hAnsiTheme="majorHAnsi" w:cs="Arial"/>
                <w:b w:val="0"/>
                <w:sz w:val="20"/>
                <w:szCs w:val="20"/>
                <w:lang w:val="fr-FR"/>
              </w:rPr>
              <w:t>régionales</w:t>
            </w:r>
            <w:r w:rsidR="00817246"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 xml:space="preserve"> </w:t>
            </w:r>
            <w:r w:rsidR="00817246" w:rsidRPr="001A00DB">
              <w:rPr>
                <w:rFonts w:asciiTheme="majorHAnsi" w:hAnsiTheme="majorHAnsi" w:cs="Arial"/>
                <w:b w:val="0"/>
                <w:sz w:val="20"/>
                <w:szCs w:val="20"/>
                <w:lang w:val="fr-FR"/>
              </w:rPr>
              <w:t xml:space="preserve">des </w:t>
            </w:r>
            <w:r w:rsidRPr="001A00DB">
              <w:rPr>
                <w:rFonts w:asciiTheme="majorHAnsi" w:hAnsiTheme="majorHAnsi" w:cs="Arial"/>
                <w:b w:val="0"/>
                <w:sz w:val="20"/>
                <w:szCs w:val="20"/>
                <w:lang w:val="fr-FR"/>
              </w:rPr>
              <w:t xml:space="preserve">ressources de renforcement des capacités et des sources de référence pertinentes. Le site serait mis à jour et tenu de manière régulière par le Secrétariat. Le GEST fournirait le matériel </w:t>
            </w:r>
            <w:r w:rsidR="00817246" w:rsidRPr="001A00DB">
              <w:rPr>
                <w:rFonts w:asciiTheme="majorHAnsi" w:hAnsiTheme="majorHAnsi" w:cs="Arial"/>
                <w:b w:val="0"/>
                <w:sz w:val="20"/>
                <w:szCs w:val="20"/>
                <w:lang w:val="fr-FR"/>
              </w:rPr>
              <w:t xml:space="preserve">et les </w:t>
            </w:r>
            <w:r w:rsidR="00817246" w:rsidRPr="001A00DB">
              <w:rPr>
                <w:rFonts w:asciiTheme="majorHAnsi" w:hAnsiTheme="majorHAnsi" w:cs="Arial"/>
                <w:b w:val="0"/>
                <w:sz w:val="20"/>
                <w:szCs w:val="20"/>
                <w:lang w:val="fr-FR"/>
              </w:rPr>
              <w:lastRenderedPageBreak/>
              <w:t xml:space="preserve">orientations techniques </w:t>
            </w:r>
            <w:r w:rsidRPr="001A00DB">
              <w:rPr>
                <w:rFonts w:asciiTheme="majorHAnsi" w:hAnsiTheme="majorHAnsi" w:cs="Arial"/>
                <w:b w:val="0"/>
                <w:sz w:val="20"/>
                <w:szCs w:val="20"/>
                <w:lang w:val="fr-FR"/>
              </w:rPr>
              <w:t>pertinent</w:t>
            </w:r>
            <w:r w:rsidR="003552EC"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 xml:space="preserve"> avec des annotations</w:t>
            </w:r>
            <w:r w:rsidR="00817246"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 xml:space="preserve"> à inclure dans </w:t>
            </w:r>
            <w:r w:rsidR="004565C0" w:rsidRPr="001A00DB">
              <w:rPr>
                <w:rFonts w:asciiTheme="majorHAnsi" w:hAnsiTheme="majorHAnsi" w:cs="Arial"/>
                <w:b w:val="0"/>
                <w:sz w:val="20"/>
                <w:szCs w:val="20"/>
                <w:lang w:val="fr-FR"/>
              </w:rPr>
              <w:t>la panoplie</w:t>
            </w:r>
            <w:r w:rsidRPr="001A00DB">
              <w:rPr>
                <w:rFonts w:asciiTheme="majorHAnsi" w:hAnsiTheme="majorHAnsi" w:cs="Arial"/>
                <w:b w:val="0"/>
                <w:sz w:val="20"/>
                <w:szCs w:val="20"/>
                <w:lang w:val="fr-FR"/>
              </w:rPr>
              <w:t xml:space="preserve"> d’outils. </w:t>
            </w:r>
          </w:p>
          <w:p w14:paraId="1AFB4215" w14:textId="77777777" w:rsidR="00914A1A" w:rsidRPr="001A00DB" w:rsidRDefault="00914A1A" w:rsidP="00914A1A">
            <w:pPr>
              <w:rPr>
                <w:rFonts w:asciiTheme="majorHAnsi" w:hAnsiTheme="majorHAnsi" w:cs="Arial"/>
                <w:b w:val="0"/>
                <w:sz w:val="20"/>
                <w:szCs w:val="20"/>
                <w:lang w:val="fr-FR"/>
              </w:rPr>
            </w:pPr>
          </w:p>
          <w:p w14:paraId="3422CEFC" w14:textId="0E469263" w:rsidR="00914A1A" w:rsidRPr="001A00DB" w:rsidRDefault="00744912" w:rsidP="00817246">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B32124" w:rsidRPr="001A00DB">
              <w:rPr>
                <w:rFonts w:asciiTheme="majorHAnsi" w:hAnsiTheme="majorHAnsi" w:cs="Arial"/>
                <w:b w:val="0"/>
                <w:sz w:val="20"/>
                <w:szCs w:val="20"/>
                <w:lang w:val="fr-FR"/>
              </w:rPr>
              <w:t>P</w:t>
            </w:r>
            <w:r w:rsidRPr="001A00DB">
              <w:rPr>
                <w:rFonts w:asciiTheme="majorHAnsi" w:hAnsiTheme="majorHAnsi" w:cs="Arial"/>
                <w:b w:val="0"/>
                <w:sz w:val="20"/>
                <w:szCs w:val="20"/>
                <w:lang w:val="fr-FR"/>
              </w:rPr>
              <w:t xml:space="preserve">raticiens (administrateurs de </w:t>
            </w:r>
            <w:r w:rsidR="00817246" w:rsidRPr="001A00DB">
              <w:rPr>
                <w:rFonts w:asciiTheme="majorHAnsi" w:hAnsiTheme="majorHAnsi" w:cs="Arial"/>
                <w:b w:val="0"/>
                <w:sz w:val="20"/>
                <w:szCs w:val="20"/>
                <w:lang w:val="fr-FR"/>
              </w:rPr>
              <w:t>Si</w:t>
            </w:r>
            <w:r w:rsidRPr="001A00DB">
              <w:rPr>
                <w:rFonts w:asciiTheme="majorHAnsi" w:hAnsiTheme="majorHAnsi" w:cs="Arial"/>
                <w:b w:val="0"/>
                <w:sz w:val="20"/>
                <w:szCs w:val="20"/>
                <w:lang w:val="fr-FR"/>
              </w:rPr>
              <w:t>te</w:t>
            </w:r>
            <w:r w:rsidR="00817246" w:rsidRPr="001A00DB">
              <w:rPr>
                <w:rFonts w:asciiTheme="majorHAnsi" w:hAnsiTheme="majorHAnsi" w:cs="Arial"/>
                <w:b w:val="0"/>
                <w:sz w:val="20"/>
                <w:szCs w:val="20"/>
                <w:lang w:val="fr-FR"/>
              </w:rPr>
              <w:t>s Ramsar</w:t>
            </w:r>
            <w:r w:rsidRPr="001A00DB">
              <w:rPr>
                <w:rFonts w:asciiTheme="majorHAnsi" w:hAnsiTheme="majorHAnsi" w:cs="Arial"/>
                <w:b w:val="0"/>
                <w:sz w:val="20"/>
                <w:szCs w:val="20"/>
                <w:lang w:val="fr-FR"/>
              </w:rPr>
              <w:t>).</w:t>
            </w:r>
          </w:p>
        </w:tc>
        <w:tc>
          <w:tcPr>
            <w:tcW w:w="491" w:type="pct"/>
          </w:tcPr>
          <w:p w14:paraId="7600E8DD" w14:textId="77777777" w:rsidR="00914A1A" w:rsidRPr="001A00DB" w:rsidRDefault="00536C73" w:rsidP="00536C73">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Fourniture d’avis sans incidences financières sur le budget du GEST</w:t>
            </w:r>
          </w:p>
          <w:p w14:paraId="1BF25183" w14:textId="77777777" w:rsidR="00536C73" w:rsidRPr="001A00DB" w:rsidRDefault="00536C73" w:rsidP="00536C73">
            <w:pPr>
              <w:rPr>
                <w:rFonts w:asciiTheme="majorHAnsi" w:hAnsiTheme="majorHAnsi" w:cs="Arial"/>
                <w:b w:val="0"/>
                <w:sz w:val="20"/>
                <w:szCs w:val="20"/>
                <w:lang w:val="fr-FR"/>
              </w:rPr>
            </w:pPr>
          </w:p>
          <w:p w14:paraId="366B6B98" w14:textId="1A6D6596" w:rsidR="00536C73" w:rsidRPr="001A00DB" w:rsidRDefault="00536C73" w:rsidP="00F02C6F">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Coûts de traduction possibles, à </w:t>
            </w:r>
            <w:r w:rsidRPr="001A00DB">
              <w:rPr>
                <w:rFonts w:asciiTheme="majorHAnsi" w:hAnsiTheme="majorHAnsi" w:cs="Arial"/>
                <w:b w:val="0"/>
                <w:sz w:val="20"/>
                <w:szCs w:val="20"/>
                <w:lang w:val="fr-FR"/>
              </w:rPr>
              <w:lastRenderedPageBreak/>
              <w:t>d</w:t>
            </w:r>
            <w:r w:rsidR="00F02C6F" w:rsidRPr="001A00DB">
              <w:rPr>
                <w:rFonts w:asciiTheme="majorHAnsi" w:hAnsiTheme="majorHAnsi" w:cs="Arial"/>
                <w:b w:val="0"/>
                <w:sz w:val="20"/>
                <w:szCs w:val="20"/>
                <w:lang w:val="fr-FR"/>
              </w:rPr>
              <w:t>é</w:t>
            </w:r>
            <w:r w:rsidRPr="001A00DB">
              <w:rPr>
                <w:rFonts w:asciiTheme="majorHAnsi" w:hAnsiTheme="majorHAnsi" w:cs="Arial"/>
                <w:b w:val="0"/>
                <w:sz w:val="20"/>
                <w:szCs w:val="20"/>
                <w:lang w:val="fr-FR"/>
              </w:rPr>
              <w:t>terminer</w:t>
            </w:r>
          </w:p>
        </w:tc>
      </w:tr>
      <w:tr w:rsidR="00E177FA" w:rsidRPr="00E7362F" w14:paraId="51BEEBB7" w14:textId="77777777" w:rsidTr="00E177FA">
        <w:tc>
          <w:tcPr>
            <w:tcW w:w="529" w:type="pct"/>
          </w:tcPr>
          <w:p w14:paraId="2644ED58" w14:textId="64D0DA65" w:rsidR="00E177FA" w:rsidRPr="001A00DB" w:rsidRDefault="00E177FA" w:rsidP="0028201E">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 xml:space="preserve">2.2. </w:t>
            </w:r>
            <w:r w:rsidRPr="001A00DB">
              <w:rPr>
                <w:rFonts w:asciiTheme="majorHAnsi" w:eastAsia="Calibri" w:hAnsiTheme="majorHAnsi" w:cs="Calibri"/>
                <w:b w:val="0"/>
                <w:sz w:val="20"/>
                <w:szCs w:val="20"/>
                <w:lang w:val="fr-FR"/>
              </w:rPr>
              <w:t>Gestion des zones humides pour réduire le risque de maladies</w:t>
            </w:r>
            <w:r w:rsidR="004F5BD1" w:rsidRPr="001A00DB">
              <w:rPr>
                <w:rFonts w:asciiTheme="majorHAnsi" w:eastAsia="Calibri" w:hAnsiTheme="majorHAnsi" w:cs="Calibri"/>
                <w:b w:val="0"/>
                <w:sz w:val="20"/>
                <w:szCs w:val="20"/>
                <w:lang w:val="fr-FR"/>
              </w:rPr>
              <w:t xml:space="preserve"> </w:t>
            </w:r>
            <w:r w:rsidR="0028201E">
              <w:rPr>
                <w:rFonts w:asciiTheme="majorHAnsi" w:eastAsia="Calibri" w:hAnsiTheme="majorHAnsi" w:cs="Calibri"/>
                <w:b w:val="0"/>
                <w:sz w:val="20"/>
                <w:szCs w:val="20"/>
                <w:lang w:val="fr-FR"/>
              </w:rPr>
              <w:t>liées à l’eau et les maladies transmises par des vecteurs liées a l’eau</w:t>
            </w:r>
          </w:p>
        </w:tc>
        <w:tc>
          <w:tcPr>
            <w:tcW w:w="276" w:type="pct"/>
          </w:tcPr>
          <w:p w14:paraId="3D51FF11" w14:textId="77777777" w:rsidR="00E177FA" w:rsidRPr="001A00DB" w:rsidRDefault="00E177FA" w:rsidP="00E177FA">
            <w:pPr>
              <w:keepNext/>
              <w:keepLines/>
              <w:rPr>
                <w:rFonts w:asciiTheme="majorHAnsi" w:hAnsiTheme="majorHAnsi" w:cs="Arial"/>
                <w:b w:val="0"/>
                <w:sz w:val="20"/>
                <w:szCs w:val="20"/>
                <w:lang w:val="fr-FR"/>
              </w:rPr>
            </w:pPr>
          </w:p>
        </w:tc>
        <w:tc>
          <w:tcPr>
            <w:tcW w:w="355" w:type="pct"/>
          </w:tcPr>
          <w:p w14:paraId="0DB30E90" w14:textId="37F42591" w:rsidR="00E177FA" w:rsidRPr="001A00DB" w:rsidRDefault="00E177FA" w:rsidP="00E177FA">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XII.5, annexe 1, ¶¶ 1 et 2; 15 (ii); 38</w:t>
            </w:r>
          </w:p>
        </w:tc>
        <w:tc>
          <w:tcPr>
            <w:tcW w:w="398" w:type="pct"/>
          </w:tcPr>
          <w:p w14:paraId="2942668E" w14:textId="77777777" w:rsidR="00E177FA" w:rsidRPr="001A00DB" w:rsidRDefault="00E177FA" w:rsidP="00E177FA">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3.8, 3.9, 3.11, 3.12; 4.14</w:t>
            </w:r>
          </w:p>
        </w:tc>
        <w:tc>
          <w:tcPr>
            <w:tcW w:w="2951" w:type="pct"/>
          </w:tcPr>
          <w:p w14:paraId="736530EC" w14:textId="1BAC3D0E" w:rsidR="00E177FA" w:rsidRPr="001A00DB" w:rsidRDefault="00E177FA" w:rsidP="00E177FA">
            <w:pPr>
              <w:keepNext/>
              <w:keepLines/>
              <w:ind w:left="34"/>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4F5BD1" w:rsidRPr="001A00DB">
              <w:rPr>
                <w:rFonts w:asciiTheme="majorHAnsi" w:hAnsiTheme="majorHAnsi" w:cs="Arial"/>
                <w:b w:val="0"/>
                <w:sz w:val="20"/>
                <w:szCs w:val="20"/>
                <w:lang w:val="fr-FR"/>
              </w:rPr>
              <w:t>Fournir des avis sur la gestion des zones humides pour réduire les risques de maladies</w:t>
            </w:r>
            <w:r w:rsidR="0028201E">
              <w:rPr>
                <w:rFonts w:asciiTheme="majorHAnsi" w:hAnsiTheme="majorHAnsi" w:cs="Arial"/>
                <w:b w:val="0"/>
                <w:sz w:val="20"/>
                <w:szCs w:val="20"/>
                <w:lang w:val="fr-FR"/>
              </w:rPr>
              <w:t xml:space="preserve"> </w:t>
            </w:r>
            <w:r w:rsidR="0028201E">
              <w:rPr>
                <w:rFonts w:asciiTheme="majorHAnsi" w:eastAsia="Calibri" w:hAnsiTheme="majorHAnsi" w:cs="Calibri"/>
                <w:b w:val="0"/>
                <w:sz w:val="20"/>
                <w:szCs w:val="20"/>
                <w:lang w:val="fr-FR"/>
              </w:rPr>
              <w:t>liées à l’eau et les maladies transmises par des vecteurs liées a l’eau</w:t>
            </w:r>
            <w:r w:rsidRPr="001A00DB">
              <w:rPr>
                <w:rFonts w:asciiTheme="majorHAnsi" w:hAnsiTheme="majorHAnsi" w:cs="Arial"/>
                <w:b w:val="0"/>
                <w:sz w:val="20"/>
                <w:szCs w:val="20"/>
                <w:lang w:val="fr-FR"/>
              </w:rPr>
              <w:t xml:space="preserve">, </w:t>
            </w:r>
            <w:r w:rsidR="004F5BD1" w:rsidRPr="001A00DB">
              <w:rPr>
                <w:rFonts w:asciiTheme="majorHAnsi" w:hAnsiTheme="majorHAnsi" w:cs="Arial"/>
                <w:b w:val="0"/>
                <w:sz w:val="20"/>
                <w:szCs w:val="20"/>
                <w:lang w:val="fr-FR"/>
              </w:rPr>
              <w:t>en s’appuyant sur le Rapport technique Ramsar N° 6</w:t>
            </w:r>
            <w:r w:rsidRPr="001A00DB">
              <w:rPr>
                <w:rFonts w:asciiTheme="majorHAnsi" w:hAnsiTheme="majorHAnsi" w:cs="Arial"/>
                <w:b w:val="0"/>
                <w:sz w:val="20"/>
                <w:szCs w:val="20"/>
                <w:lang w:val="fr-FR"/>
              </w:rPr>
              <w:t xml:space="preserve"> </w:t>
            </w:r>
            <w:r w:rsidRPr="001A00DB">
              <w:rPr>
                <w:rFonts w:asciiTheme="majorHAnsi" w:hAnsiTheme="majorHAnsi" w:cs="Arial"/>
                <w:b w:val="0"/>
                <w:i/>
                <w:sz w:val="20"/>
                <w:szCs w:val="20"/>
                <w:lang w:val="fr-FR"/>
              </w:rPr>
              <w:t>Healthy Wetlands, Healthy People</w:t>
            </w:r>
            <w:r w:rsidRPr="001A00DB">
              <w:rPr>
                <w:rFonts w:asciiTheme="majorHAnsi" w:hAnsiTheme="majorHAnsi" w:cs="Arial"/>
                <w:b w:val="0"/>
                <w:sz w:val="20"/>
                <w:szCs w:val="20"/>
                <w:lang w:val="fr-FR"/>
              </w:rPr>
              <w:t xml:space="preserve"> </w:t>
            </w:r>
            <w:r w:rsidR="004F5BD1" w:rsidRPr="001A00DB">
              <w:rPr>
                <w:rFonts w:asciiTheme="majorHAnsi" w:hAnsiTheme="majorHAnsi" w:cs="Arial"/>
                <w:b w:val="0"/>
                <w:sz w:val="20"/>
                <w:szCs w:val="20"/>
                <w:lang w:val="fr-FR"/>
              </w:rPr>
              <w:t>et les meilleures pratiques actuelles</w:t>
            </w:r>
            <w:r w:rsidRPr="001A00DB">
              <w:rPr>
                <w:rFonts w:asciiTheme="majorHAnsi" w:hAnsiTheme="majorHAnsi" w:cs="Arial"/>
                <w:b w:val="0"/>
                <w:sz w:val="20"/>
                <w:szCs w:val="20"/>
                <w:lang w:val="fr-FR"/>
              </w:rPr>
              <w:t>.</w:t>
            </w:r>
          </w:p>
          <w:p w14:paraId="0C12B7B0" w14:textId="77777777" w:rsidR="00E177FA" w:rsidRPr="001A00DB" w:rsidRDefault="00E177FA" w:rsidP="00E177FA">
            <w:pPr>
              <w:keepNext/>
              <w:keepLines/>
              <w:ind w:left="34"/>
              <w:rPr>
                <w:rFonts w:asciiTheme="majorHAnsi" w:hAnsiTheme="majorHAnsi" w:cs="Arial"/>
                <w:b w:val="0"/>
                <w:sz w:val="20"/>
                <w:szCs w:val="20"/>
                <w:lang w:val="fr-FR"/>
              </w:rPr>
            </w:pPr>
          </w:p>
          <w:p w14:paraId="451D886B" w14:textId="16DB1072" w:rsidR="00E177FA" w:rsidRPr="001A00DB" w:rsidRDefault="00E177FA" w:rsidP="00E177FA">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xml:space="preserve"> : </w:t>
            </w:r>
          </w:p>
          <w:p w14:paraId="3F51083D" w14:textId="5F5F642E" w:rsidR="00E177FA" w:rsidRPr="001A00DB" w:rsidRDefault="00E177FA" w:rsidP="00E177FA">
            <w:pPr>
              <w:rPr>
                <w:rFonts w:asciiTheme="majorHAnsi" w:hAnsiTheme="majorHAnsi" w:cs="Arial"/>
                <w:b w:val="0"/>
                <w:sz w:val="20"/>
                <w:szCs w:val="20"/>
                <w:lang w:val="fr-FR"/>
              </w:rPr>
            </w:pPr>
            <w:r w:rsidRPr="001A00DB">
              <w:rPr>
                <w:rFonts w:asciiTheme="majorHAnsi" w:hAnsiTheme="majorHAnsi" w:cs="Arial"/>
                <w:b w:val="0"/>
                <w:sz w:val="20"/>
                <w:szCs w:val="20"/>
                <w:lang w:val="fr-FR"/>
              </w:rPr>
              <w:t>1) Note d’information adressée aux praticiens (administrateurs de zones humides) et</w:t>
            </w:r>
          </w:p>
          <w:p w14:paraId="19075487" w14:textId="63A8410B" w:rsidR="00E177FA" w:rsidRPr="001A00DB" w:rsidRDefault="00E177FA" w:rsidP="00E177FA">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2) Document </w:t>
            </w:r>
            <w:r w:rsidR="00D62FF3" w:rsidRPr="001A00DB">
              <w:rPr>
                <w:rFonts w:asciiTheme="majorHAnsi" w:hAnsiTheme="majorHAnsi" w:cs="Arial"/>
                <w:b w:val="0"/>
                <w:sz w:val="20"/>
                <w:szCs w:val="20"/>
                <w:lang w:val="fr-FR"/>
              </w:rPr>
              <w:t>d’orientation</w:t>
            </w:r>
            <w:r w:rsidRPr="001A00DB">
              <w:rPr>
                <w:rFonts w:asciiTheme="majorHAnsi" w:hAnsiTheme="majorHAnsi" w:cs="Arial"/>
                <w:b w:val="0"/>
                <w:sz w:val="20"/>
                <w:szCs w:val="20"/>
                <w:lang w:val="fr-FR"/>
              </w:rPr>
              <w:t xml:space="preserve"> replaçant le contrôle des vecteurs dans un contexte général, soulignant l’importance d’une gestion appropriée des zones humides pour réduire</w:t>
            </w:r>
            <w:r w:rsidR="004F5BD1"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les risques de maladies</w:t>
            </w:r>
            <w:r w:rsidR="0028201E">
              <w:rPr>
                <w:rFonts w:asciiTheme="majorHAnsi" w:hAnsiTheme="majorHAnsi" w:cs="Arial"/>
                <w:b w:val="0"/>
                <w:sz w:val="20"/>
                <w:szCs w:val="20"/>
                <w:lang w:val="fr-FR"/>
              </w:rPr>
              <w:t xml:space="preserve"> </w:t>
            </w:r>
            <w:r w:rsidR="0028201E">
              <w:rPr>
                <w:rFonts w:asciiTheme="majorHAnsi" w:eastAsia="Calibri" w:hAnsiTheme="majorHAnsi" w:cs="Calibri"/>
                <w:b w:val="0"/>
                <w:sz w:val="20"/>
                <w:szCs w:val="20"/>
                <w:lang w:val="fr-FR"/>
              </w:rPr>
              <w:t>liées à l’eau et les maladies transmises par des vecteurs liées a l’eau</w:t>
            </w:r>
            <w:r w:rsidRPr="001A00DB">
              <w:rPr>
                <w:rFonts w:asciiTheme="majorHAnsi" w:hAnsiTheme="majorHAnsi" w:cs="Arial"/>
                <w:b w:val="0"/>
                <w:sz w:val="20"/>
                <w:szCs w:val="20"/>
                <w:lang w:val="fr-FR"/>
              </w:rPr>
              <w:t>.</w:t>
            </w:r>
          </w:p>
          <w:p w14:paraId="37E9384D" w14:textId="77777777" w:rsidR="00E177FA" w:rsidRPr="001A00DB" w:rsidRDefault="00E177FA" w:rsidP="00E177FA">
            <w:pPr>
              <w:keepNext/>
              <w:keepLines/>
              <w:rPr>
                <w:rFonts w:asciiTheme="majorHAnsi" w:hAnsiTheme="majorHAnsi" w:cs="Arial"/>
                <w:b w:val="0"/>
                <w:sz w:val="20"/>
                <w:szCs w:val="20"/>
                <w:lang w:val="fr-FR"/>
              </w:rPr>
            </w:pPr>
          </w:p>
          <w:p w14:paraId="494288D9" w14:textId="5CE885E5" w:rsidR="00E177FA" w:rsidRPr="001A00DB" w:rsidRDefault="00E177FA" w:rsidP="004F5BD1">
            <w:pPr>
              <w:keepNext/>
              <w:keepLines/>
              <w:ind w:left="720" w:hanging="720"/>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Praticiens (administrateurs de zones humides) et </w:t>
            </w:r>
            <w:r w:rsidR="004F5BD1" w:rsidRPr="001A00DB">
              <w:rPr>
                <w:rFonts w:asciiTheme="majorHAnsi" w:hAnsiTheme="majorHAnsi" w:cs="Arial"/>
                <w:b w:val="0"/>
                <w:sz w:val="20"/>
                <w:szCs w:val="20"/>
                <w:lang w:val="fr-FR"/>
              </w:rPr>
              <w:t>d</w:t>
            </w:r>
            <w:r w:rsidRPr="001A00DB">
              <w:rPr>
                <w:rFonts w:asciiTheme="majorHAnsi" w:hAnsiTheme="majorHAnsi" w:cs="Arial"/>
                <w:b w:val="0"/>
                <w:sz w:val="20"/>
                <w:szCs w:val="20"/>
                <w:lang w:val="fr-FR"/>
              </w:rPr>
              <w:t xml:space="preserve">écideurs. </w:t>
            </w:r>
          </w:p>
        </w:tc>
        <w:tc>
          <w:tcPr>
            <w:tcW w:w="491" w:type="pct"/>
          </w:tcPr>
          <w:p w14:paraId="1888C374" w14:textId="1C4004F5" w:rsidR="00E177FA" w:rsidRPr="001A00DB" w:rsidRDefault="00E177FA" w:rsidP="00C70B86">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Jusqu’à </w:t>
            </w:r>
            <w:r w:rsidR="00C70B86" w:rsidRPr="001A00DB">
              <w:rPr>
                <w:rFonts w:asciiTheme="majorHAnsi" w:hAnsiTheme="majorHAnsi" w:cs="Arial"/>
                <w:b w:val="0"/>
                <w:sz w:val="20"/>
                <w:szCs w:val="20"/>
                <w:lang w:val="fr-FR"/>
              </w:rPr>
              <w:t xml:space="preserve">22 </w:t>
            </w:r>
            <w:r w:rsidRPr="001A00DB">
              <w:rPr>
                <w:rFonts w:asciiTheme="majorHAnsi" w:hAnsiTheme="majorHAnsi" w:cs="Arial"/>
                <w:b w:val="0"/>
                <w:sz w:val="20"/>
                <w:szCs w:val="20"/>
                <w:lang w:val="fr-FR"/>
              </w:rPr>
              <w:t>000</w:t>
            </w:r>
            <w:r w:rsidR="00C70B86" w:rsidRPr="001A00DB">
              <w:rPr>
                <w:rFonts w:asciiTheme="majorHAnsi" w:hAnsiTheme="majorHAnsi" w:cs="Arial"/>
                <w:b w:val="0"/>
                <w:sz w:val="20"/>
                <w:szCs w:val="20"/>
                <w:lang w:val="fr-FR"/>
              </w:rPr>
              <w:t xml:space="preserve"> (13 000 pour une Note d’information et 9000 pour une note d’orientation)</w:t>
            </w:r>
          </w:p>
        </w:tc>
      </w:tr>
      <w:tr w:rsidR="00F52F75" w:rsidRPr="001A00DB" w14:paraId="7CE3CBE2" w14:textId="77777777" w:rsidTr="00F02C6F">
        <w:tc>
          <w:tcPr>
            <w:tcW w:w="529" w:type="pct"/>
          </w:tcPr>
          <w:p w14:paraId="1DA437FA" w14:textId="0921B6A5" w:rsidR="00914A1A" w:rsidRPr="001A00DB" w:rsidRDefault="00914A1A" w:rsidP="00E177FA">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2.</w:t>
            </w:r>
            <w:r w:rsidR="00E177FA" w:rsidRPr="001A00DB">
              <w:rPr>
                <w:rFonts w:asciiTheme="majorHAnsi" w:hAnsiTheme="majorHAnsi" w:cs="Arial"/>
                <w:b w:val="0"/>
                <w:sz w:val="20"/>
                <w:szCs w:val="20"/>
                <w:lang w:val="fr-FR"/>
              </w:rPr>
              <w:t>3</w:t>
            </w:r>
            <w:r w:rsidRPr="001A00DB">
              <w:rPr>
                <w:rFonts w:asciiTheme="majorHAnsi" w:hAnsiTheme="majorHAnsi" w:cs="Arial"/>
                <w:b w:val="0"/>
                <w:sz w:val="20"/>
                <w:szCs w:val="20"/>
                <w:lang w:val="fr-FR"/>
              </w:rPr>
              <w:t>.</w:t>
            </w:r>
            <w:r w:rsidR="00E01336" w:rsidRPr="001A00DB">
              <w:rPr>
                <w:rFonts w:asciiTheme="majorHAnsi" w:hAnsiTheme="majorHAnsi" w:cs="Arial"/>
                <w:b w:val="0"/>
                <w:sz w:val="20"/>
                <w:szCs w:val="20"/>
                <w:lang w:val="fr-FR"/>
              </w:rPr>
              <w:t xml:space="preserve"> </w:t>
            </w:r>
            <w:r w:rsidR="00536C73" w:rsidRPr="001A00DB">
              <w:rPr>
                <w:rFonts w:asciiTheme="majorHAnsi" w:eastAsia="Calibri" w:hAnsiTheme="majorHAnsi" w:cs="Calibri"/>
                <w:b w:val="0"/>
                <w:sz w:val="20"/>
                <w:szCs w:val="20"/>
                <w:lang w:val="fr-FR"/>
              </w:rPr>
              <w:t>Gestion des zones humides transfrontières</w:t>
            </w:r>
          </w:p>
        </w:tc>
        <w:tc>
          <w:tcPr>
            <w:tcW w:w="276" w:type="pct"/>
          </w:tcPr>
          <w:p w14:paraId="40043F72" w14:textId="7CC64C4A" w:rsidR="00914A1A" w:rsidRPr="001A00DB" w:rsidRDefault="00914A1A" w:rsidP="00744912">
            <w:pPr>
              <w:keepNext/>
              <w:keepLines/>
              <w:rPr>
                <w:rFonts w:asciiTheme="majorHAnsi" w:hAnsiTheme="majorHAnsi" w:cs="Arial"/>
                <w:b w:val="0"/>
                <w:sz w:val="20"/>
                <w:szCs w:val="20"/>
                <w:lang w:val="fr-FR"/>
              </w:rPr>
            </w:pPr>
          </w:p>
        </w:tc>
        <w:tc>
          <w:tcPr>
            <w:tcW w:w="355" w:type="pct"/>
          </w:tcPr>
          <w:p w14:paraId="7E02D925" w14:textId="5447AC4A" w:rsidR="00914A1A" w:rsidRPr="001A00DB" w:rsidRDefault="00914A1A" w:rsidP="00536C73">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XII.</w:t>
            </w:r>
            <w:r w:rsidR="00536C73" w:rsidRPr="001A00DB">
              <w:rPr>
                <w:rFonts w:asciiTheme="majorHAnsi" w:hAnsiTheme="majorHAnsi" w:cs="Arial"/>
                <w:b w:val="0"/>
                <w:sz w:val="20"/>
                <w:szCs w:val="20"/>
                <w:lang w:val="fr-FR"/>
              </w:rPr>
              <w:t xml:space="preserve">5, </w:t>
            </w:r>
            <w:r w:rsidR="004B32FB" w:rsidRPr="001A00DB">
              <w:rPr>
                <w:rFonts w:asciiTheme="majorHAnsi" w:hAnsiTheme="majorHAnsi" w:cs="Arial"/>
                <w:b w:val="0"/>
                <w:sz w:val="20"/>
                <w:szCs w:val="20"/>
                <w:lang w:val="fr-FR"/>
              </w:rPr>
              <w:t>annexe</w:t>
            </w:r>
            <w:r w:rsidR="00536C73" w:rsidRPr="001A00DB">
              <w:rPr>
                <w:rFonts w:asciiTheme="majorHAnsi" w:hAnsiTheme="majorHAnsi" w:cs="Arial"/>
                <w:b w:val="0"/>
                <w:sz w:val="20"/>
                <w:szCs w:val="20"/>
                <w:lang w:val="fr-FR"/>
              </w:rPr>
              <w:t xml:space="preserve"> 1,</w:t>
            </w:r>
            <w:r w:rsidR="00E01336" w:rsidRPr="001A00DB">
              <w:rPr>
                <w:rFonts w:asciiTheme="majorHAnsi" w:hAnsiTheme="majorHAnsi" w:cs="Arial"/>
                <w:b w:val="0"/>
                <w:sz w:val="20"/>
                <w:szCs w:val="20"/>
                <w:lang w:val="fr-FR"/>
              </w:rPr>
              <w:t xml:space="preserve"> </w:t>
            </w:r>
            <w:r w:rsidR="00536C73" w:rsidRPr="001A00DB">
              <w:rPr>
                <w:rFonts w:asciiTheme="majorHAnsi" w:hAnsiTheme="majorHAnsi" w:cs="Arial"/>
                <w:b w:val="0"/>
                <w:sz w:val="20"/>
                <w:szCs w:val="20"/>
                <w:lang w:val="fr-FR"/>
              </w:rPr>
              <w:t>¶¶ 1 et 2</w:t>
            </w:r>
          </w:p>
        </w:tc>
        <w:tc>
          <w:tcPr>
            <w:tcW w:w="398" w:type="pct"/>
          </w:tcPr>
          <w:p w14:paraId="4E514D63" w14:textId="3F1DA3EB" w:rsidR="00914A1A" w:rsidRPr="001A00DB" w:rsidRDefault="00536C73" w:rsidP="00744912">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3.8, 3.9, 3.11, </w:t>
            </w:r>
            <w:r w:rsidR="00914A1A" w:rsidRPr="001A00DB">
              <w:rPr>
                <w:rFonts w:asciiTheme="majorHAnsi" w:hAnsiTheme="majorHAnsi" w:cs="Arial"/>
                <w:b w:val="0"/>
                <w:sz w:val="20"/>
                <w:szCs w:val="20"/>
                <w:lang w:val="fr-FR"/>
              </w:rPr>
              <w:t>3.12</w:t>
            </w:r>
            <w:r w:rsidRPr="001A00DB">
              <w:rPr>
                <w:rFonts w:asciiTheme="majorHAnsi" w:hAnsiTheme="majorHAnsi" w:cs="Arial"/>
                <w:b w:val="0"/>
                <w:sz w:val="20"/>
                <w:szCs w:val="20"/>
                <w:lang w:val="fr-FR"/>
              </w:rPr>
              <w:t>; 4.14</w:t>
            </w:r>
          </w:p>
        </w:tc>
        <w:tc>
          <w:tcPr>
            <w:tcW w:w="2951" w:type="pct"/>
          </w:tcPr>
          <w:p w14:paraId="2012AD01" w14:textId="5C979F5B" w:rsidR="00914A1A" w:rsidRPr="001A00DB" w:rsidRDefault="00744912" w:rsidP="00744912">
            <w:pPr>
              <w:keepNext/>
              <w:keepLines/>
              <w:ind w:left="34"/>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w:t>
            </w:r>
            <w:r w:rsidR="00F02C6F" w:rsidRPr="001A00DB">
              <w:rPr>
                <w:rFonts w:asciiTheme="majorHAnsi" w:hAnsiTheme="majorHAnsi" w:cs="Arial"/>
                <w:b w:val="0"/>
                <w:sz w:val="20"/>
                <w:szCs w:val="20"/>
                <w:lang w:val="fr-FR"/>
              </w:rPr>
              <w:t xml:space="preserve"> </w:t>
            </w:r>
            <w:r w:rsidR="00AD15D6" w:rsidRPr="001A00DB">
              <w:rPr>
                <w:rFonts w:asciiTheme="majorHAnsi" w:hAnsiTheme="majorHAnsi" w:cs="Arial"/>
                <w:b w:val="0"/>
                <w:sz w:val="20"/>
                <w:szCs w:val="20"/>
                <w:lang w:val="fr-FR"/>
              </w:rPr>
              <w:t xml:space="preserve">Produire un document d’orientation qui souligne les approches et les meilleures pratiques pour élaborer et appliquer des plans de gestion des zones humides transfrontières et autres outils, ainsi que les leçons tirées, l’accent étant mis sur les ressources d’eau partagées, la gestion des bassins </w:t>
            </w:r>
            <w:r w:rsidR="003552EC" w:rsidRPr="001A00DB">
              <w:rPr>
                <w:rFonts w:asciiTheme="majorHAnsi" w:hAnsiTheme="majorHAnsi" w:cs="Arial"/>
                <w:b w:val="0"/>
                <w:sz w:val="20"/>
                <w:szCs w:val="20"/>
                <w:lang w:val="fr-FR"/>
              </w:rPr>
              <w:t xml:space="preserve">versants </w:t>
            </w:r>
            <w:r w:rsidR="00AD15D6" w:rsidRPr="001A00DB">
              <w:rPr>
                <w:rFonts w:asciiTheme="majorHAnsi" w:hAnsiTheme="majorHAnsi" w:cs="Arial"/>
                <w:b w:val="0"/>
                <w:sz w:val="20"/>
                <w:szCs w:val="20"/>
                <w:lang w:val="fr-FR"/>
              </w:rPr>
              <w:t xml:space="preserve">et le maintien des caractéristiques écologiques des zones humides transfrontières, y compris une introduction sur les initiatives internationales/régionales pertinentes. </w:t>
            </w:r>
          </w:p>
          <w:p w14:paraId="0783B145" w14:textId="77777777" w:rsidR="00914A1A" w:rsidRPr="001A00DB" w:rsidRDefault="00914A1A" w:rsidP="00744912">
            <w:pPr>
              <w:keepNext/>
              <w:keepLines/>
              <w:ind w:left="34"/>
              <w:rPr>
                <w:rFonts w:asciiTheme="majorHAnsi" w:hAnsiTheme="majorHAnsi" w:cs="Arial"/>
                <w:b w:val="0"/>
                <w:sz w:val="20"/>
                <w:szCs w:val="20"/>
                <w:lang w:val="fr-FR"/>
              </w:rPr>
            </w:pPr>
          </w:p>
          <w:p w14:paraId="0CE702FB" w14:textId="3789E197" w:rsidR="00914A1A" w:rsidRPr="001A00DB" w:rsidRDefault="00744912" w:rsidP="00744912">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r w:rsidR="00E01336" w:rsidRPr="001A00DB">
              <w:rPr>
                <w:rFonts w:asciiTheme="majorHAnsi" w:hAnsiTheme="majorHAnsi" w:cs="Arial"/>
                <w:b w:val="0"/>
                <w:sz w:val="20"/>
                <w:szCs w:val="20"/>
                <w:lang w:val="fr-FR"/>
              </w:rPr>
              <w:t xml:space="preserve"> </w:t>
            </w:r>
            <w:r w:rsidR="00F02C6F" w:rsidRPr="001A00DB">
              <w:rPr>
                <w:rFonts w:asciiTheme="majorHAnsi" w:hAnsiTheme="majorHAnsi" w:cs="Arial"/>
                <w:b w:val="0"/>
                <w:sz w:val="20"/>
                <w:szCs w:val="20"/>
                <w:lang w:val="fr-FR"/>
              </w:rPr>
              <w:t>Document</w:t>
            </w:r>
            <w:r w:rsidR="00B32124" w:rsidRPr="001A00DB">
              <w:rPr>
                <w:rFonts w:asciiTheme="majorHAnsi" w:hAnsiTheme="majorHAnsi" w:cs="Arial"/>
                <w:b w:val="0"/>
                <w:sz w:val="20"/>
                <w:szCs w:val="20"/>
                <w:lang w:val="fr-FR"/>
              </w:rPr>
              <w:t xml:space="preserve"> </w:t>
            </w:r>
            <w:r w:rsidR="00F02C6F" w:rsidRPr="001A00DB">
              <w:rPr>
                <w:rFonts w:asciiTheme="majorHAnsi" w:hAnsiTheme="majorHAnsi" w:cs="Arial"/>
                <w:b w:val="0"/>
                <w:sz w:val="20"/>
                <w:szCs w:val="20"/>
                <w:lang w:val="fr-FR"/>
              </w:rPr>
              <w:t>d’orientation</w:t>
            </w:r>
            <w:r w:rsidR="00B32124" w:rsidRPr="001A00DB">
              <w:rPr>
                <w:rFonts w:asciiTheme="majorHAnsi" w:hAnsiTheme="majorHAnsi" w:cs="Arial"/>
                <w:b w:val="0"/>
                <w:sz w:val="20"/>
                <w:szCs w:val="20"/>
                <w:lang w:val="fr-FR"/>
              </w:rPr>
              <w:t xml:space="preserve">. </w:t>
            </w:r>
          </w:p>
          <w:p w14:paraId="156A1D8B" w14:textId="77777777" w:rsidR="00914A1A" w:rsidRPr="001A00DB" w:rsidRDefault="00914A1A" w:rsidP="00744912">
            <w:pPr>
              <w:keepNext/>
              <w:keepLines/>
              <w:rPr>
                <w:rFonts w:asciiTheme="majorHAnsi" w:hAnsiTheme="majorHAnsi" w:cs="Arial"/>
                <w:b w:val="0"/>
                <w:sz w:val="20"/>
                <w:szCs w:val="20"/>
                <w:lang w:val="fr-FR"/>
              </w:rPr>
            </w:pPr>
          </w:p>
          <w:p w14:paraId="0DFD6C00" w14:textId="59E36588" w:rsidR="00914A1A" w:rsidRPr="001A00DB" w:rsidRDefault="00744912" w:rsidP="00F02C6F">
            <w:pPr>
              <w:keepNext/>
              <w:keepLines/>
              <w:ind w:left="720" w:hanging="720"/>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B32124" w:rsidRPr="001A00DB">
              <w:rPr>
                <w:rFonts w:asciiTheme="majorHAnsi" w:hAnsiTheme="majorHAnsi" w:cs="Arial"/>
                <w:b w:val="0"/>
                <w:sz w:val="20"/>
                <w:szCs w:val="20"/>
                <w:lang w:val="fr-FR"/>
              </w:rPr>
              <w:t xml:space="preserve">Décideurs. </w:t>
            </w:r>
          </w:p>
        </w:tc>
        <w:tc>
          <w:tcPr>
            <w:tcW w:w="491" w:type="pct"/>
          </w:tcPr>
          <w:p w14:paraId="4E2502A8" w14:textId="7149486F" w:rsidR="00914A1A" w:rsidRPr="001A00DB" w:rsidRDefault="00F02C6F" w:rsidP="00B32124">
            <w:pPr>
              <w:rPr>
                <w:rFonts w:asciiTheme="majorHAnsi" w:hAnsiTheme="majorHAnsi" w:cs="Arial"/>
                <w:b w:val="0"/>
                <w:sz w:val="20"/>
                <w:szCs w:val="20"/>
                <w:lang w:val="fr-FR"/>
              </w:rPr>
            </w:pPr>
            <w:r w:rsidRPr="001A00DB">
              <w:rPr>
                <w:rFonts w:asciiTheme="majorHAnsi" w:hAnsiTheme="majorHAnsi" w:cs="Arial"/>
                <w:b w:val="0"/>
                <w:sz w:val="20"/>
                <w:szCs w:val="20"/>
                <w:lang w:val="fr-FR"/>
              </w:rPr>
              <w:t>Jusqu’à 9000</w:t>
            </w:r>
          </w:p>
        </w:tc>
      </w:tr>
      <w:tr w:rsidR="00F52F75" w:rsidRPr="001A00DB" w14:paraId="0073FC0D" w14:textId="77777777" w:rsidTr="00F02C6F">
        <w:tc>
          <w:tcPr>
            <w:tcW w:w="529" w:type="pct"/>
          </w:tcPr>
          <w:p w14:paraId="0FD70CB8" w14:textId="065EA8F6" w:rsidR="00E01336" w:rsidRPr="001A00DB" w:rsidRDefault="009D1F5A" w:rsidP="00BE63FD">
            <w:pPr>
              <w:rPr>
                <w:rFonts w:asciiTheme="majorHAnsi" w:hAnsiTheme="majorHAnsi" w:cs="Arial"/>
                <w:b w:val="0"/>
                <w:sz w:val="20"/>
                <w:szCs w:val="20"/>
                <w:lang w:val="fr-FR"/>
              </w:rPr>
            </w:pPr>
            <w:r w:rsidRPr="001A00DB">
              <w:rPr>
                <w:rFonts w:asciiTheme="majorHAnsi" w:hAnsiTheme="majorHAnsi" w:cs="Arial"/>
                <w:b w:val="0"/>
                <w:sz w:val="20"/>
                <w:szCs w:val="20"/>
                <w:lang w:val="fr-FR"/>
              </w:rPr>
              <w:t>2.</w:t>
            </w:r>
            <w:r w:rsidR="00BE63FD" w:rsidRPr="001A00DB">
              <w:rPr>
                <w:rFonts w:asciiTheme="majorHAnsi" w:hAnsiTheme="majorHAnsi" w:cs="Arial"/>
                <w:b w:val="0"/>
                <w:sz w:val="20"/>
                <w:szCs w:val="20"/>
                <w:lang w:val="fr-FR"/>
              </w:rPr>
              <w:t>4</w:t>
            </w:r>
            <w:r w:rsidRPr="001A00DB">
              <w:rPr>
                <w:rFonts w:asciiTheme="majorHAnsi" w:hAnsiTheme="majorHAnsi" w:cs="Arial"/>
                <w:b w:val="0"/>
                <w:sz w:val="20"/>
                <w:szCs w:val="20"/>
                <w:lang w:val="fr-FR"/>
              </w:rPr>
              <w:t xml:space="preserve"> Évaluation des progrès réalisés dans l’application des « Lignes directrices </w:t>
            </w:r>
            <w:r w:rsidR="00244D7B" w:rsidRPr="001A00DB">
              <w:rPr>
                <w:rFonts w:asciiTheme="majorHAnsi" w:hAnsiTheme="majorHAnsi" w:cs="Arial"/>
                <w:b w:val="0"/>
                <w:sz w:val="20"/>
                <w:szCs w:val="20"/>
                <w:lang w:val="fr-FR"/>
              </w:rPr>
              <w:t>relatives à</w:t>
            </w:r>
            <w:r w:rsidRPr="001A00DB">
              <w:rPr>
                <w:rFonts w:asciiTheme="majorHAnsi" w:hAnsiTheme="majorHAnsi" w:cs="Arial"/>
                <w:b w:val="0"/>
                <w:sz w:val="20"/>
                <w:szCs w:val="20"/>
                <w:lang w:val="fr-FR"/>
              </w:rPr>
              <w:t xml:space="preserve"> une </w:t>
            </w:r>
            <w:r w:rsidRPr="001A00DB">
              <w:rPr>
                <w:rFonts w:asciiTheme="majorHAnsi" w:hAnsiTheme="majorHAnsi" w:cs="Arial"/>
                <w:b w:val="0"/>
                <w:sz w:val="20"/>
                <w:szCs w:val="20"/>
                <w:lang w:val="fr-FR"/>
              </w:rPr>
              <w:lastRenderedPageBreak/>
              <w:t xml:space="preserve">action mondiale </w:t>
            </w:r>
            <w:r w:rsidR="00244D7B" w:rsidRPr="001A00DB">
              <w:rPr>
                <w:rFonts w:asciiTheme="majorHAnsi" w:hAnsiTheme="majorHAnsi" w:cs="Arial"/>
                <w:b w:val="0"/>
                <w:sz w:val="20"/>
                <w:szCs w:val="20"/>
                <w:lang w:val="fr-FR"/>
              </w:rPr>
              <w:t>pour les tourbières</w:t>
            </w:r>
            <w:r w:rsidRPr="001A00DB">
              <w:rPr>
                <w:rFonts w:asciiTheme="majorHAnsi" w:hAnsiTheme="majorHAnsi" w:cs="Arial"/>
                <w:b w:val="0"/>
                <w:sz w:val="20"/>
                <w:szCs w:val="20"/>
                <w:lang w:val="fr-FR"/>
              </w:rPr>
              <w:t xml:space="preserve"> » </w:t>
            </w:r>
          </w:p>
        </w:tc>
        <w:tc>
          <w:tcPr>
            <w:tcW w:w="276" w:type="pct"/>
          </w:tcPr>
          <w:p w14:paraId="480F9701" w14:textId="77777777" w:rsidR="00E01336" w:rsidRPr="001A00DB" w:rsidRDefault="00E01336" w:rsidP="00914A1A">
            <w:pPr>
              <w:rPr>
                <w:rFonts w:asciiTheme="majorHAnsi" w:hAnsiTheme="majorHAnsi" w:cs="Arial"/>
                <w:b w:val="0"/>
                <w:sz w:val="20"/>
                <w:szCs w:val="20"/>
                <w:lang w:val="fr-FR"/>
              </w:rPr>
            </w:pPr>
          </w:p>
        </w:tc>
        <w:tc>
          <w:tcPr>
            <w:tcW w:w="355" w:type="pct"/>
          </w:tcPr>
          <w:p w14:paraId="1920E8FE" w14:textId="0A4AB5B8" w:rsidR="00E01336" w:rsidRPr="001A00DB" w:rsidRDefault="00E01336" w:rsidP="00F02C6F">
            <w:pPr>
              <w:rPr>
                <w:rFonts w:asciiTheme="majorHAnsi" w:hAnsiTheme="majorHAnsi" w:cs="Arial"/>
                <w:b w:val="0"/>
                <w:sz w:val="20"/>
                <w:szCs w:val="20"/>
                <w:lang w:val="fr-FR"/>
              </w:rPr>
            </w:pPr>
            <w:r w:rsidRPr="001A00DB">
              <w:rPr>
                <w:rFonts w:asciiTheme="majorHAnsi" w:hAnsiTheme="majorHAnsi" w:cs="Arial"/>
                <w:b w:val="0"/>
                <w:sz w:val="20"/>
                <w:szCs w:val="20"/>
                <w:lang w:val="fr-FR"/>
              </w:rPr>
              <w:t>XI.11, ¶24</w:t>
            </w:r>
            <w:r w:rsidR="00F02C6F" w:rsidRPr="001A00DB">
              <w:rPr>
                <w:rFonts w:asciiTheme="majorHAnsi" w:hAnsiTheme="majorHAnsi" w:cs="Arial"/>
                <w:b w:val="0"/>
                <w:sz w:val="20"/>
                <w:szCs w:val="20"/>
                <w:lang w:val="fr-FR"/>
              </w:rPr>
              <w:t xml:space="preserve"> (c) et ¶27</w:t>
            </w:r>
          </w:p>
        </w:tc>
        <w:tc>
          <w:tcPr>
            <w:tcW w:w="398" w:type="pct"/>
          </w:tcPr>
          <w:p w14:paraId="1E9713C5" w14:textId="3A8A24E9" w:rsidR="00E01336" w:rsidRPr="001A00DB" w:rsidRDefault="00F02C6F"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2.6, 3.8, 3.9, 3.11, 3.12; </w:t>
            </w:r>
            <w:r w:rsidR="00E01336" w:rsidRPr="001A00DB">
              <w:rPr>
                <w:rFonts w:asciiTheme="majorHAnsi" w:hAnsiTheme="majorHAnsi" w:cs="Arial"/>
                <w:b w:val="0"/>
                <w:sz w:val="20"/>
                <w:szCs w:val="20"/>
                <w:lang w:val="fr-FR"/>
              </w:rPr>
              <w:t>4.14</w:t>
            </w:r>
            <w:r w:rsidRPr="001A00DB">
              <w:rPr>
                <w:rFonts w:asciiTheme="majorHAnsi" w:hAnsiTheme="majorHAnsi" w:cs="Arial"/>
                <w:b w:val="0"/>
                <w:sz w:val="20"/>
                <w:szCs w:val="20"/>
                <w:lang w:val="fr-FR"/>
              </w:rPr>
              <w:t>, 4.18</w:t>
            </w:r>
          </w:p>
        </w:tc>
        <w:tc>
          <w:tcPr>
            <w:tcW w:w="2951" w:type="pct"/>
          </w:tcPr>
          <w:p w14:paraId="5022C39D" w14:textId="0C36B09C" w:rsidR="00E01336" w:rsidRPr="001A00DB" w:rsidRDefault="00744912" w:rsidP="00E01336">
            <w:pPr>
              <w:pStyle w:val="Default"/>
              <w:rPr>
                <w:rFonts w:asciiTheme="majorHAnsi" w:hAnsiTheme="majorHAnsi" w:cs="Arial"/>
                <w:b w:val="0"/>
                <w:color w:val="auto"/>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9746C1" w:rsidRPr="001A00DB">
              <w:rPr>
                <w:rFonts w:asciiTheme="majorHAnsi" w:hAnsiTheme="majorHAnsi" w:cs="Arial"/>
                <w:b w:val="0"/>
                <w:color w:val="auto"/>
                <w:sz w:val="20"/>
                <w:szCs w:val="20"/>
                <w:lang w:val="fr-FR"/>
              </w:rPr>
              <w:t xml:space="preserve">Élaboration et diffusion d’un </w:t>
            </w:r>
            <w:r w:rsidR="00E01336" w:rsidRPr="001A00DB">
              <w:rPr>
                <w:rFonts w:asciiTheme="majorHAnsi" w:hAnsiTheme="majorHAnsi" w:cs="Arial"/>
                <w:b w:val="0"/>
                <w:color w:val="auto"/>
                <w:sz w:val="20"/>
                <w:szCs w:val="20"/>
                <w:lang w:val="fr-FR"/>
              </w:rPr>
              <w:t xml:space="preserve">questionnaire </w:t>
            </w:r>
            <w:r w:rsidR="009746C1" w:rsidRPr="001A00DB">
              <w:rPr>
                <w:rFonts w:asciiTheme="majorHAnsi" w:hAnsiTheme="majorHAnsi" w:cs="Arial"/>
                <w:b w:val="0"/>
                <w:color w:val="auto"/>
                <w:sz w:val="20"/>
                <w:szCs w:val="20"/>
                <w:lang w:val="fr-FR"/>
              </w:rPr>
              <w:t xml:space="preserve">à des Parties </w:t>
            </w:r>
            <w:r w:rsidR="00244D7B" w:rsidRPr="001A00DB">
              <w:rPr>
                <w:rFonts w:asciiTheme="majorHAnsi" w:hAnsiTheme="majorHAnsi" w:cs="Arial"/>
                <w:b w:val="0"/>
                <w:color w:val="auto"/>
                <w:sz w:val="20"/>
                <w:szCs w:val="20"/>
                <w:lang w:val="fr-FR"/>
              </w:rPr>
              <w:t>sélectionnées</w:t>
            </w:r>
            <w:r w:rsidR="009746C1" w:rsidRPr="001A00DB">
              <w:rPr>
                <w:rFonts w:asciiTheme="majorHAnsi" w:hAnsiTheme="majorHAnsi" w:cs="Arial"/>
                <w:b w:val="0"/>
                <w:color w:val="auto"/>
                <w:sz w:val="20"/>
                <w:szCs w:val="20"/>
                <w:lang w:val="fr-FR"/>
              </w:rPr>
              <w:t>, par l’intermédiaire de leurs Correspondants nationaux GEST, fondé sur la superficie des tourbières et autres critères</w:t>
            </w:r>
            <w:r w:rsidR="00F02C6F" w:rsidRPr="001A00DB">
              <w:rPr>
                <w:rFonts w:asciiTheme="majorHAnsi" w:hAnsiTheme="majorHAnsi" w:cs="Arial"/>
                <w:b w:val="0"/>
                <w:color w:val="auto"/>
                <w:sz w:val="20"/>
                <w:szCs w:val="20"/>
                <w:lang w:val="fr-FR"/>
              </w:rPr>
              <w:t xml:space="preserve"> en vue d’identifier les meilleures pratiques pour la mise en œuvre d’un plan d’action pour les zones humides</w:t>
            </w:r>
            <w:r w:rsidR="009746C1" w:rsidRPr="001A00DB">
              <w:rPr>
                <w:rFonts w:asciiTheme="majorHAnsi" w:hAnsiTheme="majorHAnsi" w:cs="Arial"/>
                <w:b w:val="0"/>
                <w:color w:val="auto"/>
                <w:sz w:val="20"/>
                <w:szCs w:val="20"/>
                <w:lang w:val="fr-FR"/>
              </w:rPr>
              <w:t>.</w:t>
            </w:r>
          </w:p>
          <w:p w14:paraId="60B74BF4" w14:textId="2252547D" w:rsidR="00E01336" w:rsidRPr="001A00DB" w:rsidRDefault="00E01336" w:rsidP="00E01336">
            <w:pPr>
              <w:pStyle w:val="Default"/>
              <w:rPr>
                <w:rFonts w:asciiTheme="majorHAnsi" w:hAnsiTheme="majorHAnsi" w:cs="Arial"/>
                <w:b w:val="0"/>
                <w:color w:val="auto"/>
                <w:sz w:val="20"/>
                <w:szCs w:val="20"/>
                <w:lang w:val="fr-FR"/>
              </w:rPr>
            </w:pPr>
            <w:r w:rsidRPr="001A00DB">
              <w:rPr>
                <w:rFonts w:asciiTheme="majorHAnsi" w:hAnsiTheme="majorHAnsi" w:cs="Arial"/>
                <w:b w:val="0"/>
                <w:color w:val="auto"/>
                <w:sz w:val="20"/>
                <w:szCs w:val="20"/>
                <w:lang w:val="fr-FR"/>
              </w:rPr>
              <w:t xml:space="preserve"> </w:t>
            </w:r>
          </w:p>
          <w:p w14:paraId="72E9BB62" w14:textId="042C187F" w:rsidR="00E01336" w:rsidRPr="001A00DB" w:rsidRDefault="00744912" w:rsidP="00E01336">
            <w:pPr>
              <w:pStyle w:val="Default"/>
              <w:rPr>
                <w:rFonts w:asciiTheme="majorHAnsi" w:hAnsiTheme="majorHAnsi" w:cs="Arial"/>
                <w:b w:val="0"/>
                <w:color w:val="auto"/>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xml:space="preserve"> : </w:t>
            </w:r>
            <w:r w:rsidR="009746C1" w:rsidRPr="001A00DB">
              <w:rPr>
                <w:rFonts w:asciiTheme="majorHAnsi" w:hAnsiTheme="majorHAnsi" w:cs="Arial"/>
                <w:b w:val="0"/>
                <w:color w:val="auto"/>
                <w:sz w:val="20"/>
                <w:szCs w:val="20"/>
                <w:lang w:val="fr-FR"/>
              </w:rPr>
              <w:t xml:space="preserve">Rapport résumé </w:t>
            </w:r>
            <w:r w:rsidR="00970842" w:rsidRPr="001A00DB">
              <w:rPr>
                <w:rFonts w:asciiTheme="majorHAnsi" w:hAnsiTheme="majorHAnsi" w:cs="Arial"/>
                <w:b w:val="0"/>
                <w:color w:val="auto"/>
                <w:sz w:val="20"/>
                <w:szCs w:val="20"/>
                <w:lang w:val="fr-FR"/>
              </w:rPr>
              <w:t xml:space="preserve">et webinaire </w:t>
            </w:r>
            <w:r w:rsidR="009746C1" w:rsidRPr="001A00DB">
              <w:rPr>
                <w:rFonts w:asciiTheme="majorHAnsi" w:hAnsiTheme="majorHAnsi" w:cs="Arial"/>
                <w:b w:val="0"/>
                <w:color w:val="auto"/>
                <w:sz w:val="20"/>
                <w:szCs w:val="20"/>
                <w:lang w:val="fr-FR"/>
              </w:rPr>
              <w:t>sur les progrès d’application d</w:t>
            </w:r>
            <w:r w:rsidR="00244D7B" w:rsidRPr="001A00DB">
              <w:rPr>
                <w:rFonts w:asciiTheme="majorHAnsi" w:hAnsiTheme="majorHAnsi" w:cs="Arial"/>
                <w:b w:val="0"/>
                <w:color w:val="auto"/>
                <w:sz w:val="20"/>
                <w:szCs w:val="20"/>
                <w:lang w:val="fr-FR"/>
              </w:rPr>
              <w:t>e l’Action mondiale pour les tourbières</w:t>
            </w:r>
            <w:r w:rsidR="009746C1" w:rsidRPr="001A00DB">
              <w:rPr>
                <w:rFonts w:asciiTheme="majorHAnsi" w:hAnsiTheme="majorHAnsi" w:cs="Arial"/>
                <w:b w:val="0"/>
                <w:color w:val="auto"/>
                <w:sz w:val="20"/>
                <w:szCs w:val="20"/>
                <w:lang w:val="fr-FR"/>
              </w:rPr>
              <w:t xml:space="preserve">. </w:t>
            </w:r>
            <w:r w:rsidR="00970842" w:rsidRPr="001A00DB">
              <w:rPr>
                <w:rFonts w:asciiTheme="majorHAnsi" w:hAnsiTheme="majorHAnsi" w:cs="Arial"/>
                <w:b w:val="0"/>
                <w:color w:val="auto"/>
                <w:sz w:val="20"/>
                <w:szCs w:val="20"/>
                <w:lang w:val="fr-FR"/>
              </w:rPr>
              <w:t>Les autres résultats sont tributaires des conclusions.</w:t>
            </w:r>
          </w:p>
          <w:p w14:paraId="5EEC4964" w14:textId="77777777" w:rsidR="00E01336" w:rsidRPr="001A00DB" w:rsidRDefault="00E01336" w:rsidP="00E01336">
            <w:pPr>
              <w:pStyle w:val="Default"/>
              <w:rPr>
                <w:rFonts w:asciiTheme="majorHAnsi" w:hAnsiTheme="majorHAnsi" w:cs="Arial"/>
                <w:b w:val="0"/>
                <w:color w:val="auto"/>
                <w:sz w:val="20"/>
                <w:szCs w:val="20"/>
                <w:lang w:val="fr-FR"/>
              </w:rPr>
            </w:pPr>
          </w:p>
          <w:p w14:paraId="24DE2896" w14:textId="5811BAAF" w:rsidR="00E01336" w:rsidRPr="001A00DB" w:rsidRDefault="00744912" w:rsidP="009746C1">
            <w:pPr>
              <w:rPr>
                <w:rFonts w:asciiTheme="majorHAnsi" w:hAnsiTheme="majorHAnsi" w:cs="Arial"/>
                <w:b w:val="0"/>
                <w:sz w:val="20"/>
                <w:szCs w:val="20"/>
                <w:u w:val="single"/>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9746C1" w:rsidRPr="001A00DB">
              <w:rPr>
                <w:rFonts w:asciiTheme="majorHAnsi" w:hAnsiTheme="majorHAnsi" w:cs="Arial"/>
                <w:b w:val="0"/>
                <w:sz w:val="20"/>
                <w:szCs w:val="20"/>
                <w:lang w:val="fr-FR"/>
              </w:rPr>
              <w:t>Décideurs et praticiens.</w:t>
            </w:r>
            <w:r w:rsidR="00E01336" w:rsidRPr="001A00DB">
              <w:rPr>
                <w:rFonts w:asciiTheme="majorHAnsi" w:hAnsiTheme="majorHAnsi" w:cs="Arial"/>
                <w:b w:val="0"/>
                <w:sz w:val="20"/>
                <w:szCs w:val="20"/>
                <w:lang w:val="fr-FR"/>
              </w:rPr>
              <w:t xml:space="preserve"> </w:t>
            </w:r>
          </w:p>
        </w:tc>
        <w:tc>
          <w:tcPr>
            <w:tcW w:w="491" w:type="pct"/>
          </w:tcPr>
          <w:p w14:paraId="79C7C8EC" w14:textId="585FD792" w:rsidR="00E01336" w:rsidRPr="001A00DB" w:rsidRDefault="00970842"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 xml:space="preserve">Jusqu’à </w:t>
            </w:r>
            <w:r w:rsidR="004623F8" w:rsidRPr="001A00DB">
              <w:rPr>
                <w:rFonts w:asciiTheme="majorHAnsi" w:hAnsiTheme="majorHAnsi" w:cs="Arial"/>
                <w:b w:val="0"/>
                <w:sz w:val="20"/>
                <w:szCs w:val="20"/>
                <w:lang w:val="fr-FR"/>
              </w:rPr>
              <w:t>9</w:t>
            </w:r>
            <w:r w:rsidR="00E01336" w:rsidRPr="001A00DB">
              <w:rPr>
                <w:rFonts w:asciiTheme="majorHAnsi" w:hAnsiTheme="majorHAnsi" w:cs="Arial"/>
                <w:b w:val="0"/>
                <w:sz w:val="20"/>
                <w:szCs w:val="20"/>
                <w:lang w:val="fr-FR"/>
              </w:rPr>
              <w:t xml:space="preserve">000 </w:t>
            </w:r>
          </w:p>
        </w:tc>
      </w:tr>
      <w:tr w:rsidR="00970842" w:rsidRPr="001A00DB" w14:paraId="4D1D5D67" w14:textId="77777777" w:rsidTr="007A5771">
        <w:tc>
          <w:tcPr>
            <w:tcW w:w="529" w:type="pct"/>
          </w:tcPr>
          <w:p w14:paraId="0EBF05E4" w14:textId="13A0345B" w:rsidR="00970842" w:rsidRPr="001A00DB" w:rsidRDefault="00970842" w:rsidP="00BE63FD">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2.</w:t>
            </w:r>
            <w:r w:rsidR="00BE63FD" w:rsidRPr="001A00DB">
              <w:rPr>
                <w:rFonts w:asciiTheme="majorHAnsi" w:hAnsiTheme="majorHAnsi" w:cs="Arial"/>
                <w:b w:val="0"/>
                <w:sz w:val="20"/>
                <w:szCs w:val="20"/>
                <w:lang w:val="fr-FR"/>
              </w:rPr>
              <w:t>5</w:t>
            </w:r>
            <w:r w:rsidRPr="001A00DB">
              <w:rPr>
                <w:rFonts w:asciiTheme="majorHAnsi" w:hAnsiTheme="majorHAnsi" w:cs="Arial"/>
                <w:b w:val="0"/>
                <w:sz w:val="20"/>
                <w:szCs w:val="20"/>
                <w:lang w:val="fr-FR"/>
              </w:rPr>
              <w:t xml:space="preserve"> Meilleures pratiques pour l’élaboration et l’application de plans d’action pour la gestion des espèces exotiques envahissantes dans les Sites Ramsar et autres zones humides : un guide des orientations disponibles</w:t>
            </w:r>
          </w:p>
        </w:tc>
        <w:tc>
          <w:tcPr>
            <w:tcW w:w="276" w:type="pct"/>
          </w:tcPr>
          <w:p w14:paraId="5151BFA3" w14:textId="77777777" w:rsidR="00970842" w:rsidRPr="001A00DB" w:rsidRDefault="00970842" w:rsidP="007A5771">
            <w:pPr>
              <w:rPr>
                <w:rFonts w:asciiTheme="majorHAnsi" w:hAnsiTheme="majorHAnsi" w:cs="Arial"/>
                <w:b w:val="0"/>
                <w:sz w:val="20"/>
                <w:szCs w:val="20"/>
                <w:lang w:val="fr-FR"/>
              </w:rPr>
            </w:pPr>
          </w:p>
        </w:tc>
        <w:tc>
          <w:tcPr>
            <w:tcW w:w="355" w:type="pct"/>
          </w:tcPr>
          <w:p w14:paraId="4831B8D1" w14:textId="458A2C9B" w:rsidR="00970842" w:rsidRPr="001A00DB" w:rsidRDefault="00970842"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XII.2, </w:t>
            </w:r>
            <w:r w:rsidR="004B32FB" w:rsidRPr="001A00DB">
              <w:rPr>
                <w:rFonts w:asciiTheme="majorHAnsi" w:hAnsiTheme="majorHAnsi" w:cs="Arial"/>
                <w:b w:val="0"/>
                <w:sz w:val="20"/>
                <w:szCs w:val="20"/>
                <w:lang w:val="fr-FR"/>
              </w:rPr>
              <w:t>annexe</w:t>
            </w:r>
            <w:r w:rsidR="001979B9"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¶30, </w:t>
            </w:r>
          </w:p>
        </w:tc>
        <w:tc>
          <w:tcPr>
            <w:tcW w:w="398" w:type="pct"/>
          </w:tcPr>
          <w:p w14:paraId="368BF348" w14:textId="77777777" w:rsidR="00970842" w:rsidRPr="001A00DB" w:rsidRDefault="00970842"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1.4; 2.5, 2.7; 3.8, 3.9, 3.11, 3.12; 4.14</w:t>
            </w:r>
          </w:p>
        </w:tc>
        <w:tc>
          <w:tcPr>
            <w:tcW w:w="2951" w:type="pct"/>
          </w:tcPr>
          <w:p w14:paraId="3200E454" w14:textId="216667C7" w:rsidR="00970842" w:rsidRPr="001A00DB" w:rsidRDefault="00970842" w:rsidP="007A5771">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 Publier une note d’information</w:t>
            </w:r>
            <w:r w:rsidR="00855403"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fournissant un guide des orientations disponibles sur les meilleures pratiques pour l’élaboration et l’application de plans d’action pour la gestion des espèces exotiques envahissantes dans les Sites Ramsar et autres zones humides (en collaboration avec l’AEWA). </w:t>
            </w:r>
          </w:p>
          <w:p w14:paraId="674435D1" w14:textId="77777777" w:rsidR="00970842" w:rsidRPr="001A00DB" w:rsidRDefault="00970842"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 </w:t>
            </w:r>
          </w:p>
          <w:p w14:paraId="3ED181D2" w14:textId="77777777" w:rsidR="00970842" w:rsidRPr="001A00DB" w:rsidRDefault="00970842" w:rsidP="007A5771">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 Note d’information.</w:t>
            </w:r>
          </w:p>
          <w:p w14:paraId="066E288A" w14:textId="77777777" w:rsidR="00970842" w:rsidRPr="001A00DB" w:rsidRDefault="00970842" w:rsidP="007A5771">
            <w:pPr>
              <w:rPr>
                <w:rFonts w:asciiTheme="majorHAnsi" w:hAnsiTheme="majorHAnsi" w:cs="Arial"/>
                <w:b w:val="0"/>
                <w:sz w:val="20"/>
                <w:szCs w:val="20"/>
                <w:lang w:val="fr-FR"/>
              </w:rPr>
            </w:pPr>
          </w:p>
          <w:p w14:paraId="4B15E20A" w14:textId="77777777" w:rsidR="00970842" w:rsidRPr="001A00DB" w:rsidRDefault="00970842" w:rsidP="007A5771">
            <w:pPr>
              <w:rPr>
                <w:rFonts w:asciiTheme="majorHAnsi" w:hAnsiTheme="majorHAnsi" w:cs="Arial"/>
                <w:b w:val="0"/>
                <w:sz w:val="20"/>
                <w:szCs w:val="20"/>
                <w:u w:val="single"/>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 Praticiens (administrateurs de zones humides).</w:t>
            </w:r>
          </w:p>
        </w:tc>
        <w:tc>
          <w:tcPr>
            <w:tcW w:w="491" w:type="pct"/>
          </w:tcPr>
          <w:p w14:paraId="218D8468" w14:textId="77777777" w:rsidR="00970842" w:rsidRPr="001A00DB" w:rsidRDefault="00970842" w:rsidP="007A5771">
            <w:pPr>
              <w:rPr>
                <w:rFonts w:asciiTheme="majorHAnsi" w:hAnsiTheme="majorHAnsi" w:cs="Arial"/>
                <w:b w:val="0"/>
                <w:sz w:val="20"/>
                <w:szCs w:val="20"/>
                <w:lang w:val="fr-FR"/>
              </w:rPr>
            </w:pPr>
            <w:r w:rsidRPr="001A00DB">
              <w:rPr>
                <w:rFonts w:asciiTheme="majorHAnsi" w:hAnsiTheme="majorHAnsi" w:cs="Arial"/>
                <w:b w:val="0"/>
                <w:sz w:val="20"/>
                <w:szCs w:val="20"/>
                <w:lang w:val="fr-FR"/>
              </w:rPr>
              <w:t>Jusqu’à 13 000</w:t>
            </w:r>
          </w:p>
        </w:tc>
      </w:tr>
      <w:tr w:rsidR="00F52F75" w:rsidRPr="00E7362F" w14:paraId="14F0558C" w14:textId="77777777" w:rsidTr="00F02C6F">
        <w:tc>
          <w:tcPr>
            <w:tcW w:w="529" w:type="pct"/>
          </w:tcPr>
          <w:p w14:paraId="0BD88450" w14:textId="78D2243A" w:rsidR="00E01336" w:rsidRPr="001A00DB" w:rsidRDefault="00E01336" w:rsidP="00D62FF3">
            <w:pPr>
              <w:rPr>
                <w:rFonts w:asciiTheme="majorHAnsi" w:hAnsiTheme="majorHAnsi" w:cs="Arial"/>
                <w:b w:val="0"/>
                <w:sz w:val="20"/>
                <w:szCs w:val="20"/>
                <w:lang w:val="fr-FR"/>
              </w:rPr>
            </w:pPr>
            <w:r w:rsidRPr="001A00DB">
              <w:rPr>
                <w:rFonts w:asciiTheme="majorHAnsi" w:hAnsiTheme="majorHAnsi" w:cs="Arial"/>
                <w:b w:val="0"/>
                <w:sz w:val="20"/>
                <w:szCs w:val="20"/>
                <w:lang w:val="fr-FR"/>
              </w:rPr>
              <w:t>2.</w:t>
            </w:r>
            <w:r w:rsidR="00D62FF3" w:rsidRPr="001A00DB">
              <w:rPr>
                <w:rFonts w:asciiTheme="majorHAnsi" w:hAnsiTheme="majorHAnsi" w:cs="Arial"/>
                <w:b w:val="0"/>
                <w:sz w:val="20"/>
                <w:szCs w:val="20"/>
                <w:lang w:val="fr-FR"/>
              </w:rPr>
              <w:t>6</w:t>
            </w:r>
            <w:r w:rsidRPr="001A00DB">
              <w:rPr>
                <w:rFonts w:asciiTheme="majorHAnsi" w:hAnsiTheme="majorHAnsi" w:cs="Arial"/>
                <w:b w:val="0"/>
                <w:sz w:val="20"/>
                <w:szCs w:val="20"/>
                <w:lang w:val="fr-FR"/>
              </w:rPr>
              <w:t xml:space="preserve"> </w:t>
            </w:r>
            <w:r w:rsidR="00F52F75" w:rsidRPr="001A00DB">
              <w:rPr>
                <w:rFonts w:asciiTheme="majorHAnsi" w:hAnsiTheme="majorHAnsi" w:cs="Arial"/>
                <w:b w:val="0"/>
                <w:sz w:val="20"/>
                <w:szCs w:val="20"/>
                <w:lang w:val="fr-FR"/>
              </w:rPr>
              <w:t>Registre de Montreux</w:t>
            </w:r>
          </w:p>
        </w:tc>
        <w:tc>
          <w:tcPr>
            <w:tcW w:w="276" w:type="pct"/>
          </w:tcPr>
          <w:p w14:paraId="0C5898B4" w14:textId="7C24DDDE" w:rsidR="00E01336" w:rsidRPr="001A00DB" w:rsidRDefault="00E01336" w:rsidP="00914A1A">
            <w:pPr>
              <w:rPr>
                <w:rFonts w:asciiTheme="majorHAnsi" w:hAnsiTheme="majorHAnsi" w:cs="Arial"/>
                <w:b w:val="0"/>
                <w:sz w:val="20"/>
                <w:szCs w:val="20"/>
                <w:lang w:val="fr-FR"/>
              </w:rPr>
            </w:pPr>
          </w:p>
        </w:tc>
        <w:tc>
          <w:tcPr>
            <w:tcW w:w="355" w:type="pct"/>
          </w:tcPr>
          <w:p w14:paraId="3DE6E83D" w14:textId="3F69A9A6" w:rsidR="00E01336" w:rsidRPr="001A00DB" w:rsidRDefault="00E01336" w:rsidP="001979B9">
            <w:pPr>
              <w:rPr>
                <w:rFonts w:asciiTheme="majorHAnsi" w:hAnsiTheme="majorHAnsi" w:cs="Arial"/>
                <w:b w:val="0"/>
                <w:sz w:val="20"/>
                <w:szCs w:val="20"/>
                <w:lang w:val="fr-FR"/>
              </w:rPr>
            </w:pPr>
            <w:r w:rsidRPr="001A00DB">
              <w:rPr>
                <w:rFonts w:asciiTheme="majorHAnsi" w:hAnsiTheme="majorHAnsi" w:cs="Arial"/>
                <w:b w:val="0"/>
                <w:sz w:val="20"/>
                <w:szCs w:val="20"/>
                <w:lang w:val="fr-FR"/>
              </w:rPr>
              <w:t>XII.</w:t>
            </w:r>
            <w:r w:rsidR="00970842" w:rsidRPr="001A00DB">
              <w:rPr>
                <w:rFonts w:asciiTheme="majorHAnsi" w:hAnsiTheme="majorHAnsi" w:cs="Arial"/>
                <w:b w:val="0"/>
                <w:sz w:val="20"/>
                <w:szCs w:val="20"/>
                <w:lang w:val="fr-FR"/>
              </w:rPr>
              <w:t>5</w:t>
            </w:r>
            <w:r w:rsidRPr="001A00DB">
              <w:rPr>
                <w:rFonts w:asciiTheme="majorHAnsi" w:hAnsiTheme="majorHAnsi" w:cs="Arial"/>
                <w:b w:val="0"/>
                <w:sz w:val="20"/>
                <w:szCs w:val="20"/>
                <w:lang w:val="fr-FR"/>
              </w:rPr>
              <w:t>,</w:t>
            </w:r>
            <w:r w:rsidR="00970842" w:rsidRPr="001A00DB">
              <w:rPr>
                <w:rFonts w:asciiTheme="majorHAnsi" w:hAnsiTheme="majorHAnsi" w:cs="Arial"/>
                <w:b w:val="0"/>
                <w:sz w:val="20"/>
                <w:szCs w:val="20"/>
                <w:lang w:val="fr-FR"/>
              </w:rPr>
              <w:t xml:space="preserve"> </w:t>
            </w:r>
            <w:r w:rsidR="004B32FB" w:rsidRPr="001A00DB">
              <w:rPr>
                <w:rFonts w:asciiTheme="majorHAnsi" w:hAnsiTheme="majorHAnsi" w:cs="Arial"/>
                <w:b w:val="0"/>
                <w:sz w:val="20"/>
                <w:szCs w:val="20"/>
                <w:lang w:val="fr-FR"/>
              </w:rPr>
              <w:t>annexe</w:t>
            </w:r>
            <w:r w:rsidR="00970842" w:rsidRPr="001A00DB">
              <w:rPr>
                <w:rFonts w:asciiTheme="majorHAnsi" w:hAnsiTheme="majorHAnsi" w:cs="Arial"/>
                <w:b w:val="0"/>
                <w:sz w:val="20"/>
                <w:szCs w:val="20"/>
                <w:lang w:val="fr-FR"/>
              </w:rPr>
              <w:t xml:space="preserve"> 1, ¶¶ 1 et 2; </w:t>
            </w:r>
            <w:r w:rsidR="00F52F75" w:rsidRPr="001A00DB">
              <w:rPr>
                <w:rFonts w:asciiTheme="majorHAnsi" w:hAnsiTheme="majorHAnsi" w:cs="Arial"/>
                <w:b w:val="0"/>
                <w:sz w:val="20"/>
                <w:szCs w:val="20"/>
                <w:lang w:val="fr-FR"/>
              </w:rPr>
              <w:t>12 (v); 15</w:t>
            </w:r>
            <w:r w:rsidR="00970842" w:rsidRPr="001A00DB">
              <w:rPr>
                <w:rFonts w:asciiTheme="majorHAnsi" w:hAnsiTheme="majorHAnsi" w:cs="Arial"/>
                <w:b w:val="0"/>
                <w:sz w:val="20"/>
                <w:szCs w:val="20"/>
                <w:lang w:val="fr-FR"/>
              </w:rPr>
              <w:t>; 38</w:t>
            </w:r>
            <w:r w:rsidRPr="001A00DB">
              <w:rPr>
                <w:rFonts w:asciiTheme="majorHAnsi" w:hAnsiTheme="majorHAnsi" w:cs="Arial"/>
                <w:b w:val="0"/>
                <w:sz w:val="20"/>
                <w:szCs w:val="20"/>
                <w:lang w:val="fr-FR"/>
              </w:rPr>
              <w:t xml:space="preserve"> </w:t>
            </w:r>
          </w:p>
        </w:tc>
        <w:tc>
          <w:tcPr>
            <w:tcW w:w="398" w:type="pct"/>
          </w:tcPr>
          <w:p w14:paraId="5E684480" w14:textId="1A88EBE0" w:rsidR="00E01336" w:rsidRPr="001A00DB" w:rsidRDefault="00970842" w:rsidP="00970842">
            <w:pPr>
              <w:rPr>
                <w:rFonts w:asciiTheme="majorHAnsi" w:hAnsiTheme="majorHAnsi" w:cs="Arial"/>
                <w:b w:val="0"/>
                <w:sz w:val="20"/>
                <w:szCs w:val="20"/>
                <w:lang w:val="fr-FR"/>
              </w:rPr>
            </w:pPr>
            <w:r w:rsidRPr="001A00DB">
              <w:rPr>
                <w:rFonts w:asciiTheme="majorHAnsi" w:hAnsiTheme="majorHAnsi" w:cs="Arial"/>
                <w:b w:val="0"/>
                <w:sz w:val="20"/>
                <w:szCs w:val="20"/>
                <w:lang w:val="fr-FR"/>
              </w:rPr>
              <w:t>2.5, 2.7; 3.8, 3.9, 3.11, 3.12; 4.14</w:t>
            </w:r>
          </w:p>
        </w:tc>
        <w:tc>
          <w:tcPr>
            <w:tcW w:w="2951" w:type="pct"/>
          </w:tcPr>
          <w:p w14:paraId="64906C9D" w14:textId="39FB4546" w:rsidR="00E01336" w:rsidRPr="001A00DB" w:rsidRDefault="00744912" w:rsidP="00E01336">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0A039D" w:rsidRPr="001A00DB">
              <w:rPr>
                <w:rFonts w:asciiTheme="majorHAnsi" w:hAnsiTheme="majorHAnsi"/>
                <w:b w:val="0"/>
                <w:sz w:val="20"/>
                <w:szCs w:val="20"/>
                <w:shd w:val="clear" w:color="auto" w:fill="FFFFFF"/>
                <w:lang w:val="fr-FR"/>
              </w:rPr>
              <w:t>Fournir des avis sur l’utilité du Registre de Montreux en tant qu’outil pour les Sites Ramsar.</w:t>
            </w:r>
          </w:p>
          <w:p w14:paraId="13A3B049" w14:textId="508E987E" w:rsidR="00E01336" w:rsidRPr="001A00DB" w:rsidRDefault="00E01336" w:rsidP="00E01336">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 </w:t>
            </w:r>
          </w:p>
          <w:p w14:paraId="7BF0DF26" w14:textId="5970A50D" w:rsidR="00F52F75" w:rsidRPr="001A00DB" w:rsidRDefault="00744912" w:rsidP="00807F64">
            <w:pPr>
              <w:spacing w:after="20"/>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r w:rsidR="00F52F75" w:rsidRPr="001A00DB">
              <w:rPr>
                <w:rFonts w:asciiTheme="majorHAnsi" w:hAnsiTheme="majorHAnsi" w:cs="Arial"/>
                <w:b w:val="0"/>
                <w:sz w:val="20"/>
                <w:szCs w:val="20"/>
                <w:lang w:val="fr-FR"/>
              </w:rPr>
              <w:t xml:space="preserve"> Publi</w:t>
            </w:r>
            <w:r w:rsidR="000A039D" w:rsidRPr="001A00DB">
              <w:rPr>
                <w:rFonts w:asciiTheme="majorHAnsi" w:hAnsiTheme="majorHAnsi" w:cs="Arial"/>
                <w:b w:val="0"/>
                <w:sz w:val="20"/>
                <w:szCs w:val="20"/>
                <w:lang w:val="fr-FR"/>
              </w:rPr>
              <w:t>er le rapport sur les « changements dans les caractéristiques écologiques des zones humides – une étude des orientations et mécanismes Ramsar » qui discute du Registre de Montreux, sur le site web de Ramsar, dans le cadre de l’outil de gestion des Sites Ramsar (voir tâche n</w:t>
            </w:r>
            <w:r w:rsidR="000A039D" w:rsidRPr="001A00DB">
              <w:rPr>
                <w:rFonts w:asciiTheme="majorHAnsi" w:hAnsiTheme="majorHAnsi" w:cs="Arial"/>
                <w:b w:val="0"/>
                <w:sz w:val="20"/>
                <w:szCs w:val="20"/>
                <w:vertAlign w:val="superscript"/>
                <w:lang w:val="fr-FR"/>
              </w:rPr>
              <w:t>o</w:t>
            </w:r>
            <w:r w:rsidR="000A039D" w:rsidRPr="001A00DB">
              <w:rPr>
                <w:rFonts w:asciiTheme="majorHAnsi" w:hAnsiTheme="majorHAnsi" w:cs="Arial"/>
                <w:b w:val="0"/>
                <w:sz w:val="20"/>
                <w:szCs w:val="20"/>
                <w:lang w:val="fr-FR"/>
              </w:rPr>
              <w:t> 2.1 ci</w:t>
            </w:r>
            <w:r w:rsidR="000A039D" w:rsidRPr="001A00DB">
              <w:rPr>
                <w:rFonts w:asciiTheme="majorHAnsi" w:hAnsiTheme="majorHAnsi" w:cs="Arial"/>
                <w:b w:val="0"/>
                <w:sz w:val="20"/>
                <w:szCs w:val="20"/>
                <w:lang w:val="fr-FR"/>
              </w:rPr>
              <w:noBreakHyphen/>
              <w:t>dessus et produire un webinaire pour discuter de l’utilité possible du Registre de Montre</w:t>
            </w:r>
            <w:r w:rsidR="00807F64" w:rsidRPr="001A00DB">
              <w:rPr>
                <w:rFonts w:asciiTheme="majorHAnsi" w:hAnsiTheme="majorHAnsi" w:cs="Arial"/>
                <w:b w:val="0"/>
                <w:sz w:val="20"/>
                <w:szCs w:val="20"/>
                <w:lang w:val="fr-FR"/>
              </w:rPr>
              <w:t xml:space="preserve">ux pour attirer une attention positive, nationale et internationale, </w:t>
            </w:r>
            <w:r w:rsidR="003552EC" w:rsidRPr="001A00DB">
              <w:rPr>
                <w:rFonts w:asciiTheme="majorHAnsi" w:hAnsiTheme="majorHAnsi" w:cs="Arial"/>
                <w:b w:val="0"/>
                <w:sz w:val="20"/>
                <w:szCs w:val="20"/>
                <w:lang w:val="fr-FR"/>
              </w:rPr>
              <w:t>du point de vue de la</w:t>
            </w:r>
            <w:r w:rsidR="00807F64" w:rsidRPr="001A00DB">
              <w:rPr>
                <w:rFonts w:asciiTheme="majorHAnsi" w:hAnsiTheme="majorHAnsi" w:cs="Arial"/>
                <w:b w:val="0"/>
                <w:sz w:val="20"/>
                <w:szCs w:val="20"/>
                <w:lang w:val="fr-FR"/>
              </w:rPr>
              <w:t xml:space="preserve"> conservation, sur les Sites Ramsar.</w:t>
            </w:r>
          </w:p>
          <w:p w14:paraId="08793A6F" w14:textId="77777777" w:rsidR="00E01336" w:rsidRPr="001A00DB" w:rsidRDefault="00E01336" w:rsidP="00E01336">
            <w:pPr>
              <w:rPr>
                <w:rFonts w:asciiTheme="majorHAnsi" w:hAnsiTheme="majorHAnsi" w:cs="Arial"/>
                <w:b w:val="0"/>
                <w:sz w:val="20"/>
                <w:szCs w:val="20"/>
                <w:lang w:val="fr-FR"/>
              </w:rPr>
            </w:pPr>
          </w:p>
          <w:p w14:paraId="6118C242" w14:textId="0637396B" w:rsidR="00E01336" w:rsidRPr="001A00DB" w:rsidRDefault="00744912" w:rsidP="00F52F75">
            <w:pPr>
              <w:rPr>
                <w:rFonts w:asciiTheme="majorHAnsi" w:hAnsiTheme="majorHAnsi" w:cs="Arial"/>
                <w:b w:val="0"/>
                <w:sz w:val="20"/>
                <w:szCs w:val="20"/>
                <w:u w:val="single"/>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9746C1" w:rsidRPr="001A00DB">
              <w:rPr>
                <w:rFonts w:asciiTheme="majorHAnsi" w:hAnsiTheme="majorHAnsi" w:cs="Arial"/>
                <w:b w:val="0"/>
                <w:sz w:val="20"/>
                <w:szCs w:val="20"/>
                <w:lang w:val="fr-FR"/>
              </w:rPr>
              <w:t>Praticiens</w:t>
            </w:r>
            <w:r w:rsidR="00E01336" w:rsidRPr="001A00DB">
              <w:rPr>
                <w:rFonts w:asciiTheme="majorHAnsi" w:hAnsiTheme="majorHAnsi" w:cs="Arial"/>
                <w:b w:val="0"/>
                <w:sz w:val="20"/>
                <w:szCs w:val="20"/>
                <w:lang w:val="fr-FR"/>
              </w:rPr>
              <w:t xml:space="preserve"> (</w:t>
            </w:r>
            <w:r w:rsidR="009746C1" w:rsidRPr="001A00DB">
              <w:rPr>
                <w:rFonts w:asciiTheme="majorHAnsi" w:hAnsiTheme="majorHAnsi" w:cs="Arial"/>
                <w:b w:val="0"/>
                <w:sz w:val="20"/>
                <w:szCs w:val="20"/>
                <w:lang w:val="fr-FR"/>
              </w:rPr>
              <w:t xml:space="preserve">administrateurs de </w:t>
            </w:r>
            <w:r w:rsidR="00F52F75" w:rsidRPr="001A00DB">
              <w:rPr>
                <w:rFonts w:asciiTheme="majorHAnsi" w:hAnsiTheme="majorHAnsi" w:cs="Arial"/>
                <w:b w:val="0"/>
                <w:sz w:val="20"/>
                <w:szCs w:val="20"/>
                <w:lang w:val="fr-FR"/>
              </w:rPr>
              <w:t>Sites Ramsar</w:t>
            </w:r>
            <w:r w:rsidR="00E01336" w:rsidRPr="001A00DB">
              <w:rPr>
                <w:rFonts w:asciiTheme="majorHAnsi" w:hAnsiTheme="majorHAnsi" w:cs="Arial"/>
                <w:b w:val="0"/>
                <w:sz w:val="20"/>
                <w:szCs w:val="20"/>
                <w:lang w:val="fr-FR"/>
              </w:rPr>
              <w:t>)</w:t>
            </w:r>
            <w:r w:rsidR="00F52F75" w:rsidRPr="001A00DB">
              <w:rPr>
                <w:rFonts w:asciiTheme="majorHAnsi" w:hAnsiTheme="majorHAnsi" w:cs="Arial"/>
                <w:b w:val="0"/>
                <w:sz w:val="20"/>
                <w:szCs w:val="20"/>
                <w:lang w:val="fr-FR"/>
              </w:rPr>
              <w:t xml:space="preserve"> et décideurs</w:t>
            </w:r>
            <w:r w:rsidR="009746C1" w:rsidRPr="001A00DB">
              <w:rPr>
                <w:rFonts w:asciiTheme="majorHAnsi" w:hAnsiTheme="majorHAnsi" w:cs="Arial"/>
                <w:b w:val="0"/>
                <w:sz w:val="20"/>
                <w:szCs w:val="20"/>
                <w:lang w:val="fr-FR"/>
              </w:rPr>
              <w:t>.</w:t>
            </w:r>
          </w:p>
        </w:tc>
        <w:tc>
          <w:tcPr>
            <w:tcW w:w="491" w:type="pct"/>
          </w:tcPr>
          <w:p w14:paraId="0DE13D10" w14:textId="779D5695" w:rsidR="00E01336" w:rsidRPr="001A00DB" w:rsidRDefault="00807F64" w:rsidP="00807F64">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Pas d’incidences financières pour le budget du GEST car le rapport a déjà été préparé et le Secrétariat possède le logiciel de webinaire requis. </w:t>
            </w:r>
          </w:p>
        </w:tc>
      </w:tr>
    </w:tbl>
    <w:p w14:paraId="6B0D7C76" w14:textId="188A0664" w:rsidR="00914A1A" w:rsidRPr="001A00DB" w:rsidRDefault="00914A1A" w:rsidP="00914A1A">
      <w:pPr>
        <w:rPr>
          <w:rFonts w:asciiTheme="majorHAnsi" w:hAnsiTheme="majorHAnsi" w:cs="Arial"/>
          <w:sz w:val="20"/>
          <w:szCs w:val="20"/>
          <w:lang w:val="fr-FR"/>
        </w:rPr>
      </w:pPr>
    </w:p>
    <w:p w14:paraId="6E0B71A2" w14:textId="77777777" w:rsidR="00836984" w:rsidRPr="001A00DB" w:rsidRDefault="00836984" w:rsidP="00836984">
      <w:pPr>
        <w:rPr>
          <w:rFonts w:asciiTheme="majorHAnsi" w:hAnsiTheme="majorHAnsi" w:cs="Arial"/>
          <w:sz w:val="20"/>
          <w:szCs w:val="20"/>
          <w:lang w:val="fr-FR"/>
        </w:rPr>
      </w:pPr>
    </w:p>
    <w:tbl>
      <w:tblPr>
        <w:tblStyle w:val="TableGrid"/>
        <w:tblW w:w="5000" w:type="pct"/>
        <w:tblLook w:val="04A0" w:firstRow="1" w:lastRow="0" w:firstColumn="1" w:lastColumn="0" w:noHBand="0" w:noVBand="1"/>
      </w:tblPr>
      <w:tblGrid>
        <w:gridCol w:w="14174"/>
      </w:tblGrid>
      <w:tr w:rsidR="00836984" w:rsidRPr="00E7362F" w14:paraId="23C3E5ED" w14:textId="77777777" w:rsidTr="007A0789">
        <w:trPr>
          <w:trHeight w:val="271"/>
        </w:trPr>
        <w:tc>
          <w:tcPr>
            <w:tcW w:w="5000" w:type="pct"/>
            <w:shd w:val="clear" w:color="auto" w:fill="000000" w:themeFill="text1"/>
          </w:tcPr>
          <w:p w14:paraId="48133422" w14:textId="7024C868" w:rsidR="00836984" w:rsidRPr="00F8475A" w:rsidRDefault="009746C1" w:rsidP="00F8475A">
            <w:pPr>
              <w:pStyle w:val="Heading1"/>
              <w:spacing w:before="0"/>
              <w:outlineLvl w:val="0"/>
              <w:rPr>
                <w:rFonts w:asciiTheme="majorHAnsi" w:hAnsiTheme="majorHAnsi"/>
                <w:b/>
                <w:color w:val="FFFFFF" w:themeColor="background1"/>
                <w:sz w:val="20"/>
                <w:szCs w:val="20"/>
                <w:lang w:val="fr-CH"/>
              </w:rPr>
            </w:pPr>
            <w:bookmarkStart w:id="6" w:name="_Toc455995960"/>
            <w:r w:rsidRPr="00F8475A">
              <w:rPr>
                <w:rFonts w:asciiTheme="majorHAnsi" w:hAnsiTheme="majorHAnsi"/>
                <w:b/>
                <w:color w:val="FFFFFF" w:themeColor="background1"/>
                <w:sz w:val="20"/>
                <w:szCs w:val="20"/>
                <w:lang w:val="fr-CH"/>
              </w:rPr>
              <w:lastRenderedPageBreak/>
              <w:t>Domaine de travail thématique n</w:t>
            </w:r>
            <w:r w:rsidRPr="00F8475A">
              <w:rPr>
                <w:rFonts w:asciiTheme="majorHAnsi" w:hAnsiTheme="majorHAnsi"/>
                <w:b/>
                <w:color w:val="FFFFFF" w:themeColor="background1"/>
                <w:sz w:val="20"/>
                <w:szCs w:val="20"/>
                <w:vertAlign w:val="superscript"/>
                <w:lang w:val="fr-CH"/>
              </w:rPr>
              <w:t>o</w:t>
            </w:r>
            <w:r w:rsidRPr="00F8475A">
              <w:rPr>
                <w:rFonts w:asciiTheme="majorHAnsi" w:hAnsiTheme="majorHAnsi"/>
                <w:b/>
                <w:color w:val="FFFFFF" w:themeColor="background1"/>
                <w:sz w:val="20"/>
                <w:szCs w:val="20"/>
                <w:lang w:val="fr-CH"/>
              </w:rPr>
              <w:t xml:space="preserve"> </w:t>
            </w:r>
            <w:r w:rsidR="00836984" w:rsidRPr="00F8475A">
              <w:rPr>
                <w:rFonts w:asciiTheme="majorHAnsi" w:hAnsiTheme="majorHAnsi"/>
                <w:b/>
                <w:color w:val="FFFFFF" w:themeColor="background1"/>
                <w:sz w:val="20"/>
                <w:szCs w:val="20"/>
                <w:lang w:val="fr-CH"/>
              </w:rPr>
              <w:t>3</w:t>
            </w:r>
            <w:r w:rsidRPr="00F8475A">
              <w:rPr>
                <w:rFonts w:asciiTheme="majorHAnsi" w:hAnsiTheme="majorHAnsi"/>
                <w:b/>
                <w:color w:val="FFFFFF" w:themeColor="background1"/>
                <w:sz w:val="20"/>
                <w:szCs w:val="20"/>
                <w:lang w:val="fr-CH"/>
              </w:rPr>
              <w:t> </w:t>
            </w:r>
            <w:r w:rsidR="00836984" w:rsidRPr="00F8475A">
              <w:rPr>
                <w:rFonts w:asciiTheme="majorHAnsi" w:hAnsiTheme="majorHAnsi"/>
                <w:b/>
                <w:color w:val="FFFFFF" w:themeColor="background1"/>
                <w:sz w:val="20"/>
                <w:szCs w:val="20"/>
                <w:lang w:val="fr-CH"/>
              </w:rPr>
              <w:t>: M</w:t>
            </w:r>
            <w:r w:rsidRPr="00F8475A">
              <w:rPr>
                <w:rFonts w:asciiTheme="majorHAnsi" w:hAnsiTheme="majorHAnsi"/>
                <w:b/>
                <w:color w:val="FFFFFF" w:themeColor="background1"/>
                <w:sz w:val="20"/>
                <w:szCs w:val="20"/>
                <w:lang w:val="fr-CH"/>
              </w:rPr>
              <w:t xml:space="preserve">éthodologies </w:t>
            </w:r>
            <w:r w:rsidR="00D62FF3" w:rsidRPr="00F8475A">
              <w:rPr>
                <w:rFonts w:asciiTheme="majorHAnsi" w:hAnsiTheme="majorHAnsi"/>
                <w:b/>
                <w:color w:val="FFFFFF" w:themeColor="background1"/>
                <w:sz w:val="20"/>
                <w:szCs w:val="20"/>
                <w:lang w:val="fr-CH"/>
              </w:rPr>
              <w:t>d</w:t>
            </w:r>
            <w:r w:rsidR="00224C7A" w:rsidRPr="00F8475A">
              <w:rPr>
                <w:rFonts w:asciiTheme="majorHAnsi" w:hAnsiTheme="majorHAnsi"/>
                <w:b/>
                <w:color w:val="FFFFFF" w:themeColor="background1"/>
                <w:sz w:val="20"/>
                <w:szCs w:val="20"/>
                <w:lang w:val="fr-CH"/>
              </w:rPr>
              <w:t>e valorisation</w:t>
            </w:r>
            <w:r w:rsidRPr="00F8475A">
              <w:rPr>
                <w:rFonts w:asciiTheme="majorHAnsi" w:hAnsiTheme="majorHAnsi"/>
                <w:b/>
                <w:color w:val="FFFFFF" w:themeColor="background1"/>
                <w:sz w:val="20"/>
                <w:szCs w:val="20"/>
                <w:lang w:val="fr-CH"/>
              </w:rPr>
              <w:t xml:space="preserve"> économique et non économique des biens et services fournis par les zones humides</w:t>
            </w:r>
            <w:bookmarkEnd w:id="6"/>
            <w:r w:rsidRPr="00F8475A">
              <w:rPr>
                <w:rFonts w:asciiTheme="majorHAnsi" w:hAnsiTheme="majorHAnsi"/>
                <w:b/>
                <w:color w:val="FFFFFF" w:themeColor="background1"/>
                <w:sz w:val="20"/>
                <w:szCs w:val="20"/>
                <w:lang w:val="fr-CH"/>
              </w:rPr>
              <w:t xml:space="preserve"> </w:t>
            </w:r>
          </w:p>
        </w:tc>
      </w:tr>
    </w:tbl>
    <w:p w14:paraId="0223EBAB" w14:textId="77777777" w:rsidR="00501577" w:rsidRPr="001A00DB" w:rsidRDefault="00501577" w:rsidP="009746C1">
      <w:pPr>
        <w:keepNext/>
        <w:keepLines/>
        <w:rPr>
          <w:rFonts w:asciiTheme="majorHAnsi" w:hAnsiTheme="majorHAnsi" w:cs="Arial"/>
          <w:sz w:val="20"/>
          <w:szCs w:val="20"/>
          <w:lang w:val="fr-FR"/>
        </w:rPr>
      </w:pPr>
    </w:p>
    <w:tbl>
      <w:tblPr>
        <w:tblStyle w:val="TableGrid2"/>
        <w:tblW w:w="5000" w:type="pct"/>
        <w:jc w:val="center"/>
        <w:tblLook w:val="04A0" w:firstRow="1" w:lastRow="0" w:firstColumn="1" w:lastColumn="0" w:noHBand="0" w:noVBand="1"/>
      </w:tblPr>
      <w:tblGrid>
        <w:gridCol w:w="3561"/>
        <w:gridCol w:w="10613"/>
      </w:tblGrid>
      <w:tr w:rsidR="00914A1A" w:rsidRPr="00E7362F" w14:paraId="06758AA7" w14:textId="77777777" w:rsidTr="00914A1A">
        <w:trPr>
          <w:jc w:val="center"/>
        </w:trPr>
        <w:tc>
          <w:tcPr>
            <w:tcW w:w="1256" w:type="pct"/>
          </w:tcPr>
          <w:p w14:paraId="0B5ED6CD" w14:textId="4A27BADF" w:rsidR="00914A1A" w:rsidRPr="001A00DB" w:rsidRDefault="00A1768B" w:rsidP="009746C1">
            <w:pPr>
              <w:keepNext/>
              <w:keepLines/>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Leader</w:t>
            </w:r>
            <w:r w:rsidR="00C139E4" w:rsidRPr="001A00DB">
              <w:rPr>
                <w:rFonts w:asciiTheme="majorHAnsi" w:eastAsia="Calibri" w:hAnsiTheme="majorHAnsi" w:cs="Arial"/>
                <w:sz w:val="20"/>
                <w:szCs w:val="20"/>
                <w:lang w:val="fr-FR"/>
              </w:rPr>
              <w:t>(s) de groupe de travail et participants :</w:t>
            </w:r>
          </w:p>
        </w:tc>
        <w:tc>
          <w:tcPr>
            <w:tcW w:w="3744" w:type="pct"/>
          </w:tcPr>
          <w:p w14:paraId="50632454" w14:textId="43608DD3" w:rsidR="00914A1A" w:rsidRPr="001A00DB" w:rsidRDefault="00914A1A" w:rsidP="00BB7725">
            <w:pPr>
              <w:keepNext/>
              <w:keepLines/>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Channa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Bambaradeniya,</w:t>
            </w:r>
            <w:r w:rsidR="00E01336" w:rsidRPr="001A00DB">
              <w:rPr>
                <w:rFonts w:asciiTheme="majorHAnsi" w:eastAsia="Calibri" w:hAnsiTheme="majorHAnsi" w:cs="Arial"/>
                <w:b w:val="0"/>
                <w:sz w:val="20"/>
                <w:szCs w:val="20"/>
                <w:lang w:val="fr-FR"/>
              </w:rPr>
              <w:t xml:space="preserve"> </w:t>
            </w:r>
            <w:r w:rsidR="007A5771" w:rsidRPr="001A00DB">
              <w:rPr>
                <w:rFonts w:asciiTheme="majorHAnsi" w:eastAsia="Calibri" w:hAnsiTheme="majorHAnsi" w:cs="Arial"/>
                <w:b w:val="0"/>
                <w:sz w:val="20"/>
                <w:szCs w:val="20"/>
                <w:lang w:val="fr-FR"/>
              </w:rPr>
              <w:t xml:space="preserve">Ruth Cromie, </w:t>
            </w:r>
            <w:r w:rsidRPr="001A00DB">
              <w:rPr>
                <w:rFonts w:asciiTheme="majorHAnsi" w:eastAsia="Calibri" w:hAnsiTheme="majorHAnsi" w:cs="Arial"/>
                <w:b w:val="0"/>
                <w:sz w:val="20"/>
                <w:szCs w:val="20"/>
                <w:lang w:val="fr-FR"/>
              </w:rPr>
              <w:t>Lars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Dinesen,</w:t>
            </w:r>
            <w:r w:rsidR="00E01336" w:rsidRPr="001A00DB">
              <w:rPr>
                <w:rFonts w:asciiTheme="majorHAnsi" w:eastAsia="Calibri" w:hAnsiTheme="majorHAnsi" w:cs="Arial"/>
                <w:b w:val="0"/>
                <w:sz w:val="20"/>
                <w:szCs w:val="20"/>
                <w:lang w:val="fr-FR"/>
              </w:rPr>
              <w:t xml:space="preserve"> </w:t>
            </w:r>
            <w:r w:rsidR="007A5771" w:rsidRPr="001A00DB">
              <w:rPr>
                <w:rFonts w:asciiTheme="majorHAnsi" w:eastAsia="Calibri" w:hAnsiTheme="majorHAnsi" w:cs="Arial"/>
                <w:b w:val="0"/>
                <w:sz w:val="20"/>
                <w:szCs w:val="20"/>
                <w:lang w:val="fr-FR"/>
              </w:rPr>
              <w:t xml:space="preserve">Siobhan Fennessy, Max Finlayson, </w:t>
            </w:r>
            <w:r w:rsidRPr="001A00DB">
              <w:rPr>
                <w:rFonts w:asciiTheme="majorHAnsi" w:eastAsia="Calibri" w:hAnsiTheme="majorHAnsi" w:cs="Arial"/>
                <w:b w:val="0"/>
                <w:sz w:val="20"/>
                <w:szCs w:val="20"/>
                <w:lang w:val="fr-FR"/>
              </w:rPr>
              <w:t>Vincent</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V.</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Hilomen,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Kassim</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Kulindwa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007A5771" w:rsidRPr="001A00DB">
              <w:rPr>
                <w:rFonts w:asciiTheme="majorHAnsi" w:eastAsia="Calibri" w:hAnsiTheme="majorHAnsi" w:cs="Arial"/>
                <w:b w:val="0"/>
                <w:sz w:val="20"/>
                <w:szCs w:val="20"/>
                <w:lang w:val="fr-FR"/>
              </w:rPr>
              <w:t xml:space="preserve">Ritesh Kumar (leader), </w:t>
            </w:r>
            <w:r w:rsidRPr="001A00DB">
              <w:rPr>
                <w:rFonts w:asciiTheme="majorHAnsi" w:eastAsia="Calibri" w:hAnsiTheme="majorHAnsi" w:cs="Arial"/>
                <w:b w:val="0"/>
                <w:sz w:val="20"/>
                <w:szCs w:val="20"/>
                <w:lang w:val="fr-FR"/>
              </w:rPr>
              <w:t>Guangchun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Lei,</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Laura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Martinez</w:t>
            </w:r>
            <w:r w:rsidR="00BB7725" w:rsidRPr="001A00DB">
              <w:rPr>
                <w:rFonts w:asciiTheme="majorHAnsi" w:eastAsia="Calibri" w:hAnsiTheme="majorHAnsi" w:cs="Arial"/>
                <w:b w:val="0"/>
                <w:sz w:val="20"/>
                <w:szCs w:val="20"/>
                <w:lang w:val="fr-FR"/>
              </w:rPr>
              <w:t>, Dulce Infante Mata</w:t>
            </w:r>
            <w:r w:rsidR="007A5771" w:rsidRPr="001A00DB">
              <w:rPr>
                <w:rFonts w:asciiTheme="majorHAnsi" w:eastAsia="Calibri" w:hAnsiTheme="majorHAnsi" w:cs="Arial"/>
                <w:b w:val="0"/>
                <w:sz w:val="20"/>
                <w:szCs w:val="20"/>
                <w:lang w:val="fr-FR"/>
              </w:rPr>
              <w:t>, Matt Walpole</w:t>
            </w:r>
          </w:p>
        </w:tc>
      </w:tr>
      <w:tr w:rsidR="00914A1A" w:rsidRPr="00E7362F" w14:paraId="72ECF21B" w14:textId="77777777" w:rsidTr="00914A1A">
        <w:trPr>
          <w:jc w:val="center"/>
        </w:trPr>
        <w:tc>
          <w:tcPr>
            <w:tcW w:w="1256" w:type="pct"/>
          </w:tcPr>
          <w:p w14:paraId="1C2CA4FD" w14:textId="1223FAEE" w:rsidR="00914A1A" w:rsidRPr="001A00DB" w:rsidRDefault="009746C1" w:rsidP="009746C1">
            <w:pPr>
              <w:keepNext/>
              <w:keepLines/>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Organisations participantes : [OIP/observateurs/autres]</w:t>
            </w:r>
          </w:p>
        </w:tc>
        <w:tc>
          <w:tcPr>
            <w:tcW w:w="3744" w:type="pct"/>
          </w:tcPr>
          <w:p w14:paraId="77C24563" w14:textId="797DA428" w:rsidR="00914A1A" w:rsidRPr="001A00DB" w:rsidRDefault="007A5771" w:rsidP="006F08A3">
            <w:pPr>
              <w:keepNext/>
              <w:keepLines/>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 xml:space="preserve">BirdLife International (Zoltan Waliczky), </w:t>
            </w:r>
            <w:r w:rsidR="00206E7C" w:rsidRPr="001A00DB">
              <w:rPr>
                <w:rFonts w:asciiTheme="majorHAnsi" w:eastAsia="Calibri" w:hAnsiTheme="majorHAnsi" w:cs="Arial"/>
                <w:b w:val="0"/>
                <w:sz w:val="20"/>
                <w:szCs w:val="20"/>
                <w:lang w:val="fr-FR"/>
              </w:rPr>
              <w:t>UICN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t>
            </w:r>
            <w:r w:rsidR="00914A1A" w:rsidRPr="001A00DB">
              <w:rPr>
                <w:rFonts w:asciiTheme="majorHAnsi" w:eastAsia="Calibri" w:hAnsiTheme="majorHAnsi" w:cs="Arial"/>
                <w:b w:val="0"/>
                <w:sz w:val="20"/>
                <w:szCs w:val="20"/>
                <w:lang w:val="fr-FR"/>
              </w:rPr>
              <w:t>Stefano</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Barchiesi</w:t>
            </w:r>
            <w:r w:rsidRPr="001A00DB">
              <w:rPr>
                <w:rFonts w:asciiTheme="majorHAnsi" w:eastAsia="Calibri" w:hAnsiTheme="majorHAnsi" w:cs="Arial"/>
                <w:b w:val="0"/>
                <w:sz w:val="20"/>
                <w:szCs w:val="20"/>
                <w:lang w:val="fr-FR"/>
              </w:rPr>
              <w:t>)</w:t>
            </w:r>
            <w:r w:rsidR="00914A1A" w:rsidRPr="001A00DB">
              <w:rPr>
                <w:rFonts w:asciiTheme="majorHAnsi" w:eastAsia="Calibri" w:hAnsiTheme="majorHAnsi" w:cs="Arial"/>
                <w:b w:val="0"/>
                <w:sz w:val="20"/>
                <w:szCs w:val="20"/>
                <w:lang w:val="fr-FR"/>
              </w:rPr>
              <w:t>,</w:t>
            </w:r>
            <w:r w:rsidRPr="001A00DB">
              <w:rPr>
                <w:rFonts w:asciiTheme="majorHAnsi" w:eastAsia="Calibri" w:hAnsiTheme="majorHAnsi" w:cs="Arial"/>
                <w:b w:val="0"/>
                <w:sz w:val="20"/>
                <w:szCs w:val="20"/>
                <w:lang w:val="fr-FR"/>
              </w:rPr>
              <w:t xml:space="preserve"> IWMI (Sanjiv De Silva)</w:t>
            </w:r>
            <w:r w:rsidR="006F08A3"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WI</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(Marcel</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Silvius),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WWF</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International</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(Denis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Landerbergue),</w:t>
            </w:r>
            <w:r w:rsidR="00E01336" w:rsidRPr="001A00DB">
              <w:rPr>
                <w:rFonts w:asciiTheme="majorHAnsi" w:eastAsia="Calibri" w:hAnsiTheme="majorHAnsi" w:cs="Arial"/>
                <w:b w:val="0"/>
                <w:sz w:val="20"/>
                <w:szCs w:val="20"/>
                <w:lang w:val="fr-FR"/>
              </w:rPr>
              <w:t xml:space="preserve"> </w:t>
            </w:r>
            <w:r w:rsidR="006F08A3" w:rsidRPr="001A00DB">
              <w:rPr>
                <w:rFonts w:asciiTheme="majorHAnsi" w:eastAsia="Calibri" w:hAnsiTheme="majorHAnsi" w:cs="Arial"/>
                <w:b w:val="0"/>
                <w:sz w:val="20"/>
                <w:szCs w:val="20"/>
                <w:lang w:val="fr-FR"/>
              </w:rPr>
              <w:t>WWT (Rob Shore)/</w:t>
            </w:r>
            <w:r w:rsidR="00914A1A" w:rsidRPr="001A00DB">
              <w:rPr>
                <w:rFonts w:asciiTheme="majorHAnsi" w:eastAsia="Calibri" w:hAnsiTheme="majorHAnsi" w:cs="Arial"/>
                <w:b w:val="0"/>
                <w:sz w:val="20"/>
                <w:szCs w:val="20"/>
                <w:lang w:val="fr-FR"/>
              </w:rPr>
              <w:t>Tour</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Du</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Valat</w:t>
            </w:r>
            <w:r w:rsidR="006F08A3" w:rsidRPr="001A00DB">
              <w:rPr>
                <w:rFonts w:asciiTheme="majorHAnsi" w:eastAsia="Calibri" w:hAnsiTheme="majorHAnsi" w:cs="Arial"/>
                <w:b w:val="0"/>
                <w:sz w:val="20"/>
                <w:szCs w:val="20"/>
                <w:lang w:val="fr-FR"/>
              </w:rPr>
              <w:t>/Observatoire des zones humides méditerranéennes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(Christian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Perennou),</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SWS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Society</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for</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Wetland</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Scientists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(Nick</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Davidson),</w:t>
            </w:r>
            <w:r w:rsidR="00E01336" w:rsidRPr="001A00DB">
              <w:rPr>
                <w:rFonts w:asciiTheme="majorHAnsi" w:eastAsia="Calibri" w:hAnsiTheme="majorHAnsi" w:cs="Arial"/>
                <w:b w:val="0"/>
                <w:sz w:val="20"/>
                <w:szCs w:val="20"/>
                <w:lang w:val="fr-FR"/>
              </w:rPr>
              <w:t xml:space="preserve"> </w:t>
            </w:r>
            <w:r w:rsidR="00D8361B" w:rsidRPr="001A00DB">
              <w:rPr>
                <w:rFonts w:asciiTheme="majorHAnsi" w:eastAsia="Calibri" w:hAnsiTheme="majorHAnsi" w:cs="Arial"/>
                <w:b w:val="0"/>
                <w:sz w:val="20"/>
                <w:szCs w:val="20"/>
                <w:lang w:val="fr-FR"/>
              </w:rPr>
              <w:t>ONU</w:t>
            </w:r>
            <w:r w:rsidR="00914A1A" w:rsidRPr="001A00DB">
              <w:rPr>
                <w:rFonts w:asciiTheme="majorHAnsi" w:eastAsia="Calibri" w:hAnsiTheme="majorHAnsi" w:cs="Arial"/>
                <w:b w:val="0"/>
                <w:sz w:val="20"/>
                <w:szCs w:val="20"/>
                <w:lang w:val="fr-FR"/>
              </w:rPr>
              <w:t>-Habitat</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(Rob</w:t>
            </w:r>
            <w:r w:rsidR="00D8361B" w:rsidRPr="001A00DB">
              <w:rPr>
                <w:rFonts w:asciiTheme="majorHAnsi" w:eastAsia="Calibri" w:hAnsiTheme="majorHAnsi" w:cs="Arial"/>
                <w:b w:val="0"/>
                <w:sz w:val="20"/>
                <w:szCs w:val="20"/>
                <w:lang w:val="fr-FR"/>
              </w:rPr>
              <w:t> </w:t>
            </w:r>
            <w:r w:rsidR="00914A1A" w:rsidRPr="001A00DB">
              <w:rPr>
                <w:rFonts w:asciiTheme="majorHAnsi" w:eastAsia="Calibri" w:hAnsiTheme="majorHAnsi" w:cs="Arial"/>
                <w:b w:val="0"/>
                <w:sz w:val="20"/>
                <w:szCs w:val="20"/>
                <w:lang w:val="fr-FR"/>
              </w:rPr>
              <w:t>McInnes),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UNESCO-IHE</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(Anne</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van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Dam),</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UNESCO-MAB</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(Marie</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Prchalova),</w:t>
            </w:r>
            <w:r w:rsidR="00E01336" w:rsidRPr="001A00DB">
              <w:rPr>
                <w:rFonts w:asciiTheme="majorHAnsi" w:eastAsia="Calibri" w:hAnsiTheme="majorHAnsi" w:cs="Arial"/>
                <w:b w:val="0"/>
                <w:sz w:val="20"/>
                <w:szCs w:val="20"/>
                <w:lang w:val="fr-FR"/>
              </w:rPr>
              <w:t xml:space="preserve"> </w:t>
            </w:r>
            <w:r w:rsidR="00D8361B" w:rsidRPr="001A00DB">
              <w:rPr>
                <w:rFonts w:asciiTheme="majorHAnsi" w:eastAsia="Calibri" w:hAnsiTheme="majorHAnsi" w:cs="Arial"/>
                <w:b w:val="0"/>
                <w:sz w:val="20"/>
                <w:szCs w:val="20"/>
                <w:lang w:val="fr-FR"/>
              </w:rPr>
              <w:t>Centre du patrimoine mondial</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(Tim</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Badman)/</w:t>
            </w:r>
            <w:r w:rsidR="00E01336" w:rsidRPr="001A00DB">
              <w:rPr>
                <w:rFonts w:asciiTheme="majorHAnsi" w:eastAsia="Calibri" w:hAnsiTheme="majorHAnsi" w:cs="Arial"/>
                <w:b w:val="0"/>
                <w:sz w:val="20"/>
                <w:szCs w:val="20"/>
                <w:lang w:val="fr-FR"/>
              </w:rPr>
              <w:t xml:space="preserve"> </w:t>
            </w:r>
            <w:r w:rsidR="00D8361B" w:rsidRPr="001A00DB">
              <w:rPr>
                <w:rFonts w:asciiTheme="majorHAnsi" w:eastAsia="Calibri" w:hAnsiTheme="majorHAnsi" w:cs="Arial"/>
                <w:b w:val="0"/>
                <w:sz w:val="20"/>
                <w:szCs w:val="20"/>
                <w:lang w:val="fr-FR"/>
              </w:rPr>
              <w:t>CN GEST Malaisie</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(Abdul</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Rahman</w:t>
            </w:r>
            <w:r w:rsidR="006F08A3" w:rsidRPr="001A00DB">
              <w:rPr>
                <w:rFonts w:asciiTheme="majorHAnsi" w:eastAsia="Calibri" w:hAnsiTheme="majorHAnsi" w:cs="Arial"/>
                <w:b w:val="0"/>
                <w:sz w:val="20"/>
                <w:szCs w:val="20"/>
                <w:lang w:val="fr-FR"/>
              </w:rPr>
              <w:t xml:space="preserve"> Kassim</w:t>
            </w:r>
            <w:r w:rsidR="00914A1A"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p>
        </w:tc>
      </w:tr>
    </w:tbl>
    <w:p w14:paraId="36CB8D7B" w14:textId="77777777" w:rsidR="00914A1A" w:rsidRPr="001A00DB" w:rsidRDefault="00914A1A" w:rsidP="00914A1A">
      <w:pPr>
        <w:rPr>
          <w:rFonts w:asciiTheme="majorHAnsi" w:hAnsiTheme="majorHAnsi" w:cs="Arial"/>
          <w:sz w:val="20"/>
          <w:szCs w:val="20"/>
          <w:lang w:val="fr-FR"/>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842"/>
        <w:gridCol w:w="1021"/>
        <w:gridCol w:w="1092"/>
        <w:gridCol w:w="8347"/>
        <w:gridCol w:w="1418"/>
      </w:tblGrid>
      <w:tr w:rsidR="00501577" w:rsidRPr="001A00DB" w14:paraId="786A0390" w14:textId="77777777" w:rsidTr="00931645">
        <w:trPr>
          <w:tblHeader/>
        </w:trPr>
        <w:tc>
          <w:tcPr>
            <w:tcW w:w="514" w:type="pct"/>
            <w:shd w:val="clear" w:color="auto" w:fill="D9D9D9" w:themeFill="background1" w:themeFillShade="D9"/>
          </w:tcPr>
          <w:p w14:paraId="00ECE3C6" w14:textId="424BDAE6" w:rsidR="00914A1A" w:rsidRPr="001A00DB" w:rsidRDefault="00D8361B"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N</w:t>
            </w:r>
            <w:r w:rsidRPr="001A00DB">
              <w:rPr>
                <w:rFonts w:asciiTheme="majorHAnsi" w:hAnsiTheme="majorHAnsi" w:cs="Arial"/>
                <w:sz w:val="20"/>
                <w:szCs w:val="20"/>
                <w:vertAlign w:val="superscript"/>
                <w:lang w:val="fr-FR"/>
              </w:rPr>
              <w:t>o</w:t>
            </w:r>
            <w:r w:rsidRPr="001A00DB">
              <w:rPr>
                <w:rFonts w:asciiTheme="majorHAnsi" w:hAnsiTheme="majorHAnsi" w:cs="Arial"/>
                <w:sz w:val="20"/>
                <w:szCs w:val="20"/>
                <w:lang w:val="fr-FR"/>
              </w:rPr>
              <w:t xml:space="preserve"> de tâche, titre</w:t>
            </w:r>
          </w:p>
        </w:tc>
        <w:tc>
          <w:tcPr>
            <w:tcW w:w="297" w:type="pct"/>
            <w:shd w:val="clear" w:color="auto" w:fill="D9D9D9" w:themeFill="background1" w:themeFillShade="D9"/>
          </w:tcPr>
          <w:p w14:paraId="1AEADBBA" w14:textId="3A1D3F42" w:rsidR="00914A1A" w:rsidRPr="001A00DB" w:rsidRDefault="001637EC"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Priorité</w:t>
            </w:r>
          </w:p>
        </w:tc>
        <w:tc>
          <w:tcPr>
            <w:tcW w:w="360" w:type="pct"/>
            <w:shd w:val="clear" w:color="auto" w:fill="D9D9D9" w:themeFill="background1" w:themeFillShade="D9"/>
          </w:tcPr>
          <w:p w14:paraId="3EFC3C46" w14:textId="5D04260F" w:rsidR="00914A1A" w:rsidRPr="001A00DB" w:rsidRDefault="001637EC" w:rsidP="001637EC">
            <w:pPr>
              <w:jc w:val="center"/>
              <w:rPr>
                <w:rFonts w:asciiTheme="majorHAnsi" w:hAnsiTheme="majorHAnsi" w:cs="Arial"/>
                <w:sz w:val="20"/>
                <w:szCs w:val="20"/>
                <w:lang w:val="fr-FR"/>
              </w:rPr>
            </w:pPr>
            <w:r w:rsidRPr="001A00DB">
              <w:rPr>
                <w:rFonts w:asciiTheme="majorHAnsi" w:hAnsiTheme="majorHAnsi" w:cs="Arial"/>
                <w:sz w:val="20"/>
                <w:szCs w:val="20"/>
                <w:lang w:val="fr-FR"/>
              </w:rPr>
              <w:t>Résolution</w:t>
            </w:r>
          </w:p>
        </w:tc>
        <w:tc>
          <w:tcPr>
            <w:tcW w:w="385" w:type="pct"/>
            <w:shd w:val="clear" w:color="auto" w:fill="D9D9D9" w:themeFill="background1" w:themeFillShade="D9"/>
          </w:tcPr>
          <w:p w14:paraId="6DA11644" w14:textId="21B63B3E" w:rsidR="00914A1A" w:rsidRPr="001A00DB" w:rsidRDefault="001637EC" w:rsidP="00914A1A">
            <w:pPr>
              <w:jc w:val="center"/>
              <w:rPr>
                <w:rFonts w:asciiTheme="majorHAnsi" w:hAnsiTheme="majorHAnsi" w:cs="Arial"/>
                <w:sz w:val="20"/>
                <w:szCs w:val="20"/>
                <w:lang w:val="fr-FR"/>
              </w:rPr>
            </w:pPr>
            <w:r w:rsidRPr="001A00DB">
              <w:rPr>
                <w:rFonts w:asciiTheme="majorHAnsi" w:eastAsia="Calibri" w:hAnsiTheme="majorHAnsi" w:cs="Arial"/>
                <w:sz w:val="20"/>
                <w:szCs w:val="20"/>
                <w:lang w:val="fr-FR"/>
              </w:rPr>
              <w:t>But et objectif PS</w:t>
            </w:r>
          </w:p>
        </w:tc>
        <w:tc>
          <w:tcPr>
            <w:tcW w:w="2944" w:type="pct"/>
            <w:shd w:val="clear" w:color="auto" w:fill="D9D9D9" w:themeFill="background1" w:themeFillShade="D9"/>
          </w:tcPr>
          <w:p w14:paraId="57E02623" w14:textId="17068B5C" w:rsidR="00914A1A" w:rsidRPr="001A00DB" w:rsidRDefault="001637EC"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Description de tâche, public ciblé et résultats escomptés</w:t>
            </w:r>
          </w:p>
        </w:tc>
        <w:tc>
          <w:tcPr>
            <w:tcW w:w="500" w:type="pct"/>
            <w:shd w:val="clear" w:color="auto" w:fill="D9D9D9" w:themeFill="background1" w:themeFillShade="D9"/>
          </w:tcPr>
          <w:p w14:paraId="4D23FB3C" w14:textId="2B0BA84F" w:rsidR="00914A1A" w:rsidRPr="001A00DB" w:rsidRDefault="001637EC"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Coûts</w:t>
            </w:r>
            <w:r w:rsidR="00E01336" w:rsidRPr="001A00DB">
              <w:rPr>
                <w:rFonts w:asciiTheme="majorHAnsi" w:hAnsiTheme="majorHAnsi" w:cs="Arial"/>
                <w:sz w:val="20"/>
                <w:szCs w:val="20"/>
                <w:lang w:val="fr-FR"/>
              </w:rPr>
              <w:t xml:space="preserve"> </w:t>
            </w:r>
            <w:r w:rsidR="00914A1A" w:rsidRPr="001A00DB">
              <w:rPr>
                <w:rFonts w:asciiTheme="majorHAnsi" w:hAnsiTheme="majorHAnsi" w:cs="Arial"/>
                <w:sz w:val="20"/>
                <w:szCs w:val="20"/>
                <w:lang w:val="fr-FR"/>
              </w:rPr>
              <w:t>CHF</w:t>
            </w:r>
          </w:p>
        </w:tc>
      </w:tr>
      <w:tr w:rsidR="00501577" w:rsidRPr="001A00DB" w14:paraId="1C8065C7" w14:textId="77777777" w:rsidTr="001637EC">
        <w:tc>
          <w:tcPr>
            <w:tcW w:w="514" w:type="pct"/>
          </w:tcPr>
          <w:p w14:paraId="16179231" w14:textId="73C56C73" w:rsidR="00914A1A" w:rsidRPr="001A00DB" w:rsidRDefault="00914A1A" w:rsidP="00D5078D">
            <w:pPr>
              <w:rPr>
                <w:rFonts w:asciiTheme="majorHAnsi" w:hAnsiTheme="majorHAnsi" w:cs="Arial"/>
                <w:b w:val="0"/>
                <w:sz w:val="20"/>
                <w:szCs w:val="20"/>
                <w:lang w:val="fr-FR"/>
              </w:rPr>
            </w:pPr>
            <w:r w:rsidRPr="001A00DB">
              <w:rPr>
                <w:rFonts w:asciiTheme="majorHAnsi" w:eastAsiaTheme="minorHAnsi" w:hAnsiTheme="majorHAnsi" w:cs="Arial"/>
                <w:b w:val="0"/>
                <w:sz w:val="20"/>
                <w:szCs w:val="20"/>
                <w:lang w:val="fr-FR" w:eastAsia="en-US"/>
              </w:rPr>
              <w:t>3.1</w:t>
            </w:r>
            <w:r w:rsidR="00E01336" w:rsidRPr="001A00DB">
              <w:rPr>
                <w:rFonts w:asciiTheme="majorHAnsi" w:eastAsiaTheme="minorHAnsi" w:hAnsiTheme="majorHAnsi" w:cs="Arial"/>
                <w:b w:val="0"/>
                <w:sz w:val="20"/>
                <w:szCs w:val="20"/>
                <w:lang w:val="fr-FR" w:eastAsia="en-US"/>
              </w:rPr>
              <w:t xml:space="preserve"> </w:t>
            </w:r>
            <w:r w:rsidR="00D5078D" w:rsidRPr="001A00DB">
              <w:rPr>
                <w:rFonts w:asciiTheme="majorHAnsi" w:eastAsiaTheme="minorHAnsi" w:hAnsiTheme="majorHAnsi" w:cs="Arial"/>
                <w:b w:val="0"/>
                <w:sz w:val="20"/>
                <w:szCs w:val="20"/>
                <w:lang w:val="fr-FR" w:eastAsia="en-US"/>
              </w:rPr>
              <w:t>Document d’orientation</w:t>
            </w:r>
            <w:r w:rsidR="00D62FF3" w:rsidRPr="001A00DB">
              <w:rPr>
                <w:rFonts w:asciiTheme="majorHAnsi" w:eastAsiaTheme="minorHAnsi" w:hAnsiTheme="majorHAnsi" w:cs="Arial"/>
                <w:b w:val="0"/>
                <w:sz w:val="20"/>
                <w:szCs w:val="20"/>
                <w:lang w:val="fr-FR" w:eastAsia="en-US"/>
              </w:rPr>
              <w:t xml:space="preserve"> et outils</w:t>
            </w:r>
            <w:r w:rsidR="00EE2AAD" w:rsidRPr="001A00DB">
              <w:rPr>
                <w:rFonts w:asciiTheme="majorHAnsi" w:eastAsiaTheme="minorHAnsi" w:hAnsiTheme="majorHAnsi" w:cs="Arial"/>
                <w:b w:val="0"/>
                <w:sz w:val="20"/>
                <w:szCs w:val="20"/>
                <w:lang w:val="fr-FR" w:eastAsia="en-US"/>
              </w:rPr>
              <w:t xml:space="preserve"> sur l’évaluation et la valorisation des services écosystémiques des zones humides</w:t>
            </w:r>
          </w:p>
        </w:tc>
        <w:tc>
          <w:tcPr>
            <w:tcW w:w="297" w:type="pct"/>
          </w:tcPr>
          <w:p w14:paraId="2150246A" w14:textId="46C86BB2" w:rsidR="00914A1A" w:rsidRPr="001A00DB" w:rsidRDefault="00D62FF3" w:rsidP="00D62FF3">
            <w:pPr>
              <w:rPr>
                <w:rFonts w:asciiTheme="majorHAnsi" w:hAnsiTheme="majorHAnsi" w:cs="Arial"/>
                <w:b w:val="0"/>
                <w:sz w:val="20"/>
                <w:szCs w:val="20"/>
                <w:lang w:val="fr-FR"/>
              </w:rPr>
            </w:pPr>
            <w:r w:rsidRPr="001A00DB">
              <w:rPr>
                <w:rFonts w:asciiTheme="majorHAnsi" w:hAnsiTheme="majorHAnsi" w:cs="Arial"/>
                <w:b w:val="0"/>
                <w:sz w:val="20"/>
                <w:szCs w:val="20"/>
                <w:lang w:val="fr-FR"/>
              </w:rPr>
              <w:t>H</w:t>
            </w:r>
            <w:r w:rsidR="008E6B37" w:rsidRPr="001A00DB">
              <w:rPr>
                <w:rFonts w:asciiTheme="majorHAnsi" w:hAnsiTheme="majorHAnsi" w:cs="Arial"/>
                <w:b w:val="0"/>
                <w:sz w:val="20"/>
                <w:szCs w:val="20"/>
                <w:lang w:val="fr-FR"/>
              </w:rPr>
              <w:t>aute</w:t>
            </w:r>
          </w:p>
        </w:tc>
        <w:tc>
          <w:tcPr>
            <w:tcW w:w="360" w:type="pct"/>
          </w:tcPr>
          <w:p w14:paraId="1A91BC58" w14:textId="6E2CC8E7" w:rsidR="00914A1A" w:rsidRPr="001A00DB" w:rsidRDefault="00914A1A"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XII.13</w:t>
            </w:r>
            <w:r w:rsidR="00D5078D" w:rsidRPr="001A00DB">
              <w:rPr>
                <w:rFonts w:asciiTheme="majorHAnsi" w:hAnsiTheme="majorHAnsi" w:cs="Arial"/>
                <w:b w:val="0"/>
                <w:sz w:val="20"/>
                <w:szCs w:val="20"/>
                <w:lang w:val="fr-FR"/>
              </w:rPr>
              <w:t>¶</w:t>
            </w:r>
            <w:r w:rsidR="00D5078D" w:rsidRPr="001A00DB">
              <w:rPr>
                <w:rFonts w:ascii="Calibri" w:hAnsi="Calibri" w:cs="Arial"/>
                <w:b w:val="0"/>
                <w:sz w:val="20"/>
                <w:szCs w:val="20"/>
                <w:lang w:val="fr-FR"/>
              </w:rPr>
              <w:t>¶</w:t>
            </w:r>
            <w:r w:rsidR="00D5078D" w:rsidRPr="001A00DB">
              <w:rPr>
                <w:rFonts w:asciiTheme="majorHAnsi" w:hAnsiTheme="majorHAnsi" w:cs="Arial"/>
                <w:b w:val="0"/>
                <w:sz w:val="20"/>
                <w:szCs w:val="20"/>
                <w:lang w:val="fr-FR"/>
              </w:rPr>
              <w:t xml:space="preserve"> 27; XII.15</w:t>
            </w:r>
          </w:p>
        </w:tc>
        <w:tc>
          <w:tcPr>
            <w:tcW w:w="385" w:type="pct"/>
          </w:tcPr>
          <w:p w14:paraId="63F33A88" w14:textId="5F795E1F" w:rsidR="00914A1A" w:rsidRPr="001A00DB" w:rsidRDefault="00E01336" w:rsidP="00914A1A">
            <w:pPr>
              <w:rPr>
                <w:rFonts w:asciiTheme="majorHAnsi" w:eastAsia="Calibri" w:hAnsiTheme="majorHAnsi" w:cs="Arial"/>
                <w:b w:val="0"/>
                <w:sz w:val="20"/>
                <w:szCs w:val="20"/>
                <w:lang w:val="fr-FR"/>
              </w:rPr>
            </w:pPr>
            <w:r w:rsidRPr="001A00DB">
              <w:rPr>
                <w:rFonts w:asciiTheme="majorHAnsi" w:eastAsia="Calibri" w:hAnsiTheme="majorHAnsi" w:cs="Arial"/>
                <w:b w:val="0"/>
                <w:bCs/>
                <w:sz w:val="20"/>
                <w:szCs w:val="20"/>
                <w:lang w:val="fr-FR"/>
              </w:rPr>
              <w:t xml:space="preserve"> </w:t>
            </w:r>
            <w:r w:rsidR="00D5078D" w:rsidRPr="001A00DB">
              <w:rPr>
                <w:rFonts w:asciiTheme="majorHAnsi" w:eastAsia="Calibri" w:hAnsiTheme="majorHAnsi" w:cs="Arial"/>
                <w:b w:val="0"/>
                <w:bCs/>
                <w:sz w:val="20"/>
                <w:szCs w:val="20"/>
                <w:lang w:val="fr-FR"/>
              </w:rPr>
              <w:t>1.1, 1.3; 3.8, 3.9, 3.10, 3.11, 3.12; 4.14</w:t>
            </w:r>
          </w:p>
          <w:p w14:paraId="051966F3" w14:textId="77777777" w:rsidR="00914A1A" w:rsidRPr="001A00DB" w:rsidRDefault="00914A1A" w:rsidP="00914A1A">
            <w:pPr>
              <w:rPr>
                <w:rFonts w:asciiTheme="majorHAnsi" w:hAnsiTheme="majorHAnsi" w:cs="Arial"/>
                <w:b w:val="0"/>
                <w:sz w:val="20"/>
                <w:szCs w:val="20"/>
                <w:lang w:val="fr-FR"/>
              </w:rPr>
            </w:pPr>
          </w:p>
        </w:tc>
        <w:tc>
          <w:tcPr>
            <w:tcW w:w="2944" w:type="pct"/>
          </w:tcPr>
          <w:p w14:paraId="11D87012" w14:textId="77777777" w:rsidR="00D62FF3" w:rsidRPr="001A00DB" w:rsidRDefault="00931645" w:rsidP="00914A1A">
            <w:pPr>
              <w:rPr>
                <w:rFonts w:asciiTheme="majorHAnsi" w:hAnsiTheme="majorHAnsi" w:cs="Arial"/>
                <w:b w:val="0"/>
                <w:color w:val="222222"/>
                <w:sz w:val="20"/>
                <w:szCs w:val="20"/>
                <w:shd w:val="clear" w:color="auto" w:fill="FFFFFF"/>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357CE7" w:rsidRPr="001A00DB">
              <w:rPr>
                <w:rFonts w:asciiTheme="majorHAnsi" w:hAnsiTheme="majorHAnsi" w:cs="Arial"/>
                <w:b w:val="0"/>
                <w:sz w:val="20"/>
                <w:szCs w:val="20"/>
                <w:lang w:val="fr-FR"/>
              </w:rPr>
              <w:t>Informer</w:t>
            </w:r>
            <w:r w:rsidR="00EE2AAD" w:rsidRPr="001A00DB">
              <w:rPr>
                <w:rFonts w:asciiTheme="majorHAnsi" w:hAnsiTheme="majorHAnsi" w:cs="Arial"/>
                <w:b w:val="0"/>
                <w:sz w:val="20"/>
                <w:szCs w:val="20"/>
                <w:lang w:val="fr-FR"/>
              </w:rPr>
              <w:t xml:space="preserve"> les décideurs</w:t>
            </w:r>
            <w:r w:rsidR="00357CE7" w:rsidRPr="001A00DB">
              <w:rPr>
                <w:rFonts w:asciiTheme="majorHAnsi" w:hAnsiTheme="majorHAnsi" w:cs="Arial"/>
                <w:b w:val="0"/>
                <w:sz w:val="20"/>
                <w:szCs w:val="20"/>
                <w:lang w:val="fr-FR"/>
              </w:rPr>
              <w:t xml:space="preserve">, par le biais </w:t>
            </w:r>
            <w:r w:rsidR="00D5078D" w:rsidRPr="001A00DB">
              <w:rPr>
                <w:rFonts w:asciiTheme="majorHAnsi" w:hAnsiTheme="majorHAnsi" w:cs="Arial"/>
                <w:b w:val="0"/>
                <w:sz w:val="20"/>
                <w:szCs w:val="20"/>
                <w:lang w:val="fr-FR"/>
              </w:rPr>
              <w:t>d’un document d’orientation</w:t>
            </w:r>
            <w:r w:rsidR="00357CE7" w:rsidRPr="001A00DB">
              <w:rPr>
                <w:rFonts w:asciiTheme="majorHAnsi" w:hAnsiTheme="majorHAnsi" w:cs="Arial"/>
                <w:b w:val="0"/>
                <w:sz w:val="20"/>
                <w:szCs w:val="20"/>
                <w:lang w:val="fr-FR"/>
              </w:rPr>
              <w:t>,</w:t>
            </w:r>
            <w:r w:rsidR="00EE2AAD" w:rsidRPr="001A00DB">
              <w:rPr>
                <w:rFonts w:asciiTheme="majorHAnsi" w:hAnsiTheme="majorHAnsi" w:cs="Arial"/>
                <w:b w:val="0"/>
                <w:sz w:val="20"/>
                <w:szCs w:val="20"/>
                <w:lang w:val="fr-FR"/>
              </w:rPr>
              <w:t xml:space="preserve"> sur les moyens les plus modernes de reconnaître et d’évaluer les multiples valeurs des zones humides et leur application pour une gestion </w:t>
            </w:r>
            <w:r w:rsidR="00D5078D" w:rsidRPr="001A00DB">
              <w:rPr>
                <w:rFonts w:asciiTheme="majorHAnsi" w:hAnsiTheme="majorHAnsi" w:cs="Arial"/>
                <w:b w:val="0"/>
                <w:sz w:val="20"/>
                <w:szCs w:val="20"/>
                <w:lang w:val="fr-FR"/>
              </w:rPr>
              <w:t>intégrée</w:t>
            </w:r>
            <w:r w:rsidR="00EE2AAD" w:rsidRPr="001A00DB">
              <w:rPr>
                <w:rFonts w:asciiTheme="majorHAnsi" w:hAnsiTheme="majorHAnsi" w:cs="Arial"/>
                <w:b w:val="0"/>
                <w:sz w:val="20"/>
                <w:szCs w:val="20"/>
                <w:lang w:val="fr-FR"/>
              </w:rPr>
              <w:t xml:space="preserve">. La portée </w:t>
            </w:r>
            <w:r w:rsidR="00D5078D" w:rsidRPr="001A00DB">
              <w:rPr>
                <w:rFonts w:asciiTheme="majorHAnsi" w:hAnsiTheme="majorHAnsi" w:cs="Arial"/>
                <w:b w:val="0"/>
                <w:sz w:val="20"/>
                <w:szCs w:val="20"/>
                <w:lang w:val="fr-FR"/>
              </w:rPr>
              <w:t>du</w:t>
            </w:r>
            <w:r w:rsidR="00EE2AAD" w:rsidRPr="001A00DB">
              <w:rPr>
                <w:rFonts w:asciiTheme="majorHAnsi" w:hAnsiTheme="majorHAnsi" w:cs="Arial"/>
                <w:b w:val="0"/>
                <w:sz w:val="20"/>
                <w:szCs w:val="20"/>
                <w:lang w:val="fr-FR"/>
              </w:rPr>
              <w:t xml:space="preserve"> </w:t>
            </w:r>
            <w:r w:rsidR="00D5078D" w:rsidRPr="001A00DB">
              <w:rPr>
                <w:rFonts w:asciiTheme="majorHAnsi" w:hAnsiTheme="majorHAnsi" w:cs="Arial"/>
                <w:b w:val="0"/>
                <w:sz w:val="20"/>
                <w:szCs w:val="20"/>
                <w:lang w:val="fr-FR"/>
              </w:rPr>
              <w:t xml:space="preserve">document d’orientation </w:t>
            </w:r>
            <w:r w:rsidR="00EE2AAD" w:rsidRPr="001A00DB">
              <w:rPr>
                <w:rFonts w:asciiTheme="majorHAnsi" w:hAnsiTheme="majorHAnsi" w:cs="Arial"/>
                <w:b w:val="0"/>
                <w:sz w:val="20"/>
                <w:szCs w:val="20"/>
                <w:lang w:val="fr-FR"/>
              </w:rPr>
              <w:t xml:space="preserve">devrait inclure : la justification de l’intégration de valeurs multiples des zones humides et de l’utilisation rationnelle, l’utilisation de valeurs multiples dans la prise de décisions sectorielle, les dernières méthodes pour reconnaître et évaluer les valeurs multiples, </w:t>
            </w:r>
            <w:r w:rsidR="00D5078D" w:rsidRPr="001A00DB">
              <w:rPr>
                <w:rFonts w:asciiTheme="majorHAnsi" w:hAnsiTheme="majorHAnsi" w:cs="Arial"/>
                <w:b w:val="0"/>
                <w:sz w:val="20"/>
                <w:szCs w:val="20"/>
                <w:lang w:val="fr-FR"/>
              </w:rPr>
              <w:t>intégrer les connaissances autochtones et locales dans l’évaluation; utiliser les</w:t>
            </w:r>
            <w:r w:rsidR="00EE2AAD" w:rsidRPr="001A00DB">
              <w:rPr>
                <w:rFonts w:asciiTheme="majorHAnsi" w:hAnsiTheme="majorHAnsi" w:cs="Arial"/>
                <w:b w:val="0"/>
                <w:sz w:val="20"/>
                <w:szCs w:val="20"/>
                <w:lang w:val="fr-FR"/>
              </w:rPr>
              <w:t xml:space="preserve"> valeurs pour</w:t>
            </w:r>
            <w:r w:rsidR="007A5CFB" w:rsidRPr="001A00DB">
              <w:rPr>
                <w:rFonts w:asciiTheme="majorHAnsi" w:hAnsiTheme="majorHAnsi" w:cs="Arial"/>
                <w:b w:val="0"/>
                <w:sz w:val="20"/>
                <w:szCs w:val="20"/>
                <w:lang w:val="fr-FR"/>
              </w:rPr>
              <w:t xml:space="preserve"> </w:t>
            </w:r>
            <w:r w:rsidR="00EE2AAD" w:rsidRPr="001A00DB">
              <w:rPr>
                <w:rFonts w:asciiTheme="majorHAnsi" w:hAnsiTheme="majorHAnsi" w:cs="Arial"/>
                <w:b w:val="0"/>
                <w:sz w:val="20"/>
                <w:szCs w:val="20"/>
                <w:lang w:val="fr-FR"/>
              </w:rPr>
              <w:t>soutenir une gestion intégrée des zones humides.</w:t>
            </w:r>
            <w:r w:rsidR="00D5078D" w:rsidRPr="001A00DB">
              <w:rPr>
                <w:rFonts w:asciiTheme="majorHAnsi" w:hAnsiTheme="majorHAnsi" w:cs="Arial"/>
                <w:b w:val="0"/>
                <w:sz w:val="20"/>
                <w:szCs w:val="20"/>
                <w:lang w:val="fr-FR"/>
              </w:rPr>
              <w:t xml:space="preserve"> </w:t>
            </w:r>
            <w:r w:rsidR="00807F64" w:rsidRPr="001A00DB">
              <w:rPr>
                <w:rFonts w:asciiTheme="majorHAnsi" w:hAnsiTheme="majorHAnsi" w:cs="Arial"/>
                <w:b w:val="0"/>
                <w:sz w:val="20"/>
                <w:szCs w:val="20"/>
                <w:lang w:val="fr-FR"/>
              </w:rPr>
              <w:t xml:space="preserve">Le document d’orientation aurait, en annexe, un protocole pour évaluer les valeurs multiples des zones humides qui serait adapté d’un guide IPBES existant (en 5 étapes) sur l’évaluation des valeurs multiples de la nature. (Le guide en 5 étapes est un résultat de l’activité IPBES </w:t>
            </w:r>
            <w:r w:rsidR="00D5078D" w:rsidRPr="001A00DB">
              <w:rPr>
                <w:rFonts w:asciiTheme="majorHAnsi" w:hAnsiTheme="majorHAnsi" w:cs="Arial"/>
                <w:b w:val="0"/>
                <w:color w:val="222222"/>
                <w:sz w:val="20"/>
                <w:szCs w:val="20"/>
                <w:shd w:val="clear" w:color="auto" w:fill="FFFFFF"/>
                <w:lang w:val="fr-FR"/>
              </w:rPr>
              <w:t>3(d)</w:t>
            </w:r>
            <w:r w:rsidR="00807F64" w:rsidRPr="001A00DB">
              <w:rPr>
                <w:rFonts w:asciiTheme="majorHAnsi" w:hAnsiTheme="majorHAnsi" w:cs="Arial"/>
                <w:b w:val="0"/>
                <w:color w:val="222222"/>
                <w:sz w:val="20"/>
                <w:szCs w:val="20"/>
                <w:shd w:val="clear" w:color="auto" w:fill="FFFFFF"/>
                <w:lang w:val="fr-FR"/>
              </w:rPr>
              <w:t> </w:t>
            </w:r>
            <w:r w:rsidR="00D5078D" w:rsidRPr="001A00DB">
              <w:rPr>
                <w:rFonts w:asciiTheme="majorHAnsi" w:hAnsiTheme="majorHAnsi" w:cs="Arial"/>
                <w:b w:val="0"/>
                <w:color w:val="222222"/>
                <w:sz w:val="20"/>
                <w:szCs w:val="20"/>
                <w:shd w:val="clear" w:color="auto" w:fill="FFFFFF"/>
                <w:lang w:val="fr-FR"/>
              </w:rPr>
              <w:t xml:space="preserve">: </w:t>
            </w:r>
            <w:r w:rsidR="00807F64" w:rsidRPr="001A00DB">
              <w:rPr>
                <w:rFonts w:asciiTheme="majorHAnsi" w:hAnsiTheme="majorHAnsi" w:cs="Arial"/>
                <w:b w:val="0"/>
                <w:color w:val="222222"/>
                <w:sz w:val="20"/>
                <w:szCs w:val="20"/>
                <w:shd w:val="clear" w:color="auto" w:fill="FFFFFF"/>
                <w:lang w:val="fr-FR"/>
              </w:rPr>
              <w:t>conceptualisation diverse de valeurs multiples de la nature et de ses avantages, y compris la biodiversité et les fonctions et services écosystémiques, et il est disponible en ligne en tant qu’annexe 2 du document de travail pour la 4</w:t>
            </w:r>
            <w:r w:rsidR="00807F64" w:rsidRPr="001A00DB">
              <w:rPr>
                <w:rFonts w:asciiTheme="majorHAnsi" w:hAnsiTheme="majorHAnsi" w:cs="Arial"/>
                <w:b w:val="0"/>
                <w:color w:val="222222"/>
                <w:sz w:val="20"/>
                <w:szCs w:val="20"/>
                <w:shd w:val="clear" w:color="auto" w:fill="FFFFFF"/>
                <w:vertAlign w:val="superscript"/>
                <w:lang w:val="fr-FR"/>
              </w:rPr>
              <w:t>e</w:t>
            </w:r>
            <w:r w:rsidR="00807F64" w:rsidRPr="001A00DB">
              <w:rPr>
                <w:rFonts w:asciiTheme="majorHAnsi" w:hAnsiTheme="majorHAnsi" w:cs="Arial"/>
                <w:b w:val="0"/>
                <w:color w:val="222222"/>
                <w:sz w:val="20"/>
                <w:szCs w:val="20"/>
                <w:shd w:val="clear" w:color="auto" w:fill="FFFFFF"/>
                <w:lang w:val="fr-FR"/>
              </w:rPr>
              <w:t> séance plénière.)</w:t>
            </w:r>
          </w:p>
          <w:p w14:paraId="18B3CEBF" w14:textId="77777777" w:rsidR="00D62FF3" w:rsidRPr="001A00DB" w:rsidRDefault="00D62FF3" w:rsidP="00914A1A">
            <w:pPr>
              <w:rPr>
                <w:rFonts w:asciiTheme="majorHAnsi" w:hAnsiTheme="majorHAnsi" w:cs="Arial"/>
                <w:b w:val="0"/>
                <w:color w:val="222222"/>
                <w:sz w:val="20"/>
                <w:szCs w:val="20"/>
                <w:shd w:val="clear" w:color="auto" w:fill="FFFFFF"/>
                <w:lang w:val="fr-FR"/>
              </w:rPr>
            </w:pPr>
          </w:p>
          <w:p w14:paraId="3A8F2F33" w14:textId="3CF164C5" w:rsidR="00914A1A" w:rsidRPr="001A00DB" w:rsidRDefault="00D62FF3" w:rsidP="00914A1A">
            <w:pPr>
              <w:rPr>
                <w:rFonts w:asciiTheme="majorHAnsi" w:hAnsiTheme="majorHAnsi" w:cs="Arial"/>
                <w:b w:val="0"/>
                <w:sz w:val="20"/>
                <w:szCs w:val="20"/>
                <w:lang w:val="fr-FR"/>
              </w:rPr>
            </w:pPr>
            <w:r w:rsidRPr="001A00DB">
              <w:rPr>
                <w:rFonts w:asciiTheme="majorHAnsi" w:hAnsiTheme="majorHAnsi" w:cs="Arial"/>
                <w:b w:val="0"/>
                <w:color w:val="222222"/>
                <w:sz w:val="20"/>
                <w:szCs w:val="20"/>
                <w:shd w:val="clear" w:color="auto" w:fill="FFFFFF"/>
                <w:lang w:val="fr-FR"/>
              </w:rPr>
              <w:t xml:space="preserve">Ce protocole sera également traduit en Rapport technique Ramsar et en outils pour aider les praticiens des zones humides à appliquer les orientations en cinq étapes. </w:t>
            </w:r>
            <w:r w:rsidR="00B54758" w:rsidRPr="001A00DB">
              <w:rPr>
                <w:rFonts w:asciiTheme="majorHAnsi" w:hAnsiTheme="majorHAnsi" w:cs="Arial"/>
                <w:b w:val="0"/>
                <w:color w:val="222222"/>
                <w:sz w:val="20"/>
                <w:szCs w:val="20"/>
                <w:shd w:val="clear" w:color="auto" w:fill="FFFFFF"/>
                <w:lang w:val="fr-FR"/>
              </w:rPr>
              <w:t>Pour chacune des cinq étapes du protocole à multiples valeurs, des orientations sur les outils</w:t>
            </w:r>
            <w:r w:rsidR="00CB521B" w:rsidRPr="001A00DB">
              <w:rPr>
                <w:rFonts w:asciiTheme="majorHAnsi" w:hAnsiTheme="majorHAnsi" w:cs="Arial"/>
                <w:b w:val="0"/>
                <w:color w:val="222222"/>
                <w:sz w:val="20"/>
                <w:szCs w:val="20"/>
                <w:shd w:val="clear" w:color="auto" w:fill="FFFFFF"/>
                <w:lang w:val="fr-FR"/>
              </w:rPr>
              <w:t>, des méthodes et des études de cas seront proposées pour contribuer à l’application</w:t>
            </w:r>
            <w:r w:rsidRPr="001A00DB">
              <w:rPr>
                <w:rFonts w:asciiTheme="majorHAnsi" w:hAnsiTheme="majorHAnsi" w:cs="Arial"/>
                <w:b w:val="0"/>
                <w:color w:val="222222"/>
                <w:sz w:val="20"/>
                <w:szCs w:val="20"/>
                <w:shd w:val="clear" w:color="auto" w:fill="FFFFFF"/>
                <w:lang w:val="fr-FR"/>
              </w:rPr>
              <w:t xml:space="preserve">. </w:t>
            </w:r>
            <w:r w:rsidR="00CB521B" w:rsidRPr="001A00DB">
              <w:rPr>
                <w:rFonts w:asciiTheme="majorHAnsi" w:hAnsiTheme="majorHAnsi" w:cs="Arial"/>
                <w:b w:val="0"/>
                <w:color w:val="222222"/>
                <w:sz w:val="20"/>
                <w:szCs w:val="20"/>
                <w:shd w:val="clear" w:color="auto" w:fill="FFFFFF"/>
                <w:lang w:val="fr-FR"/>
              </w:rPr>
              <w:t xml:space="preserve">Les outils seront inclus dans une panoplie d’outils de </w:t>
            </w:r>
            <w:r w:rsidRPr="001A00DB">
              <w:rPr>
                <w:rFonts w:asciiTheme="majorHAnsi" w:hAnsiTheme="majorHAnsi" w:cs="Arial"/>
                <w:b w:val="0"/>
                <w:color w:val="222222"/>
                <w:sz w:val="20"/>
                <w:szCs w:val="20"/>
                <w:shd w:val="clear" w:color="auto" w:fill="FFFFFF"/>
                <w:lang w:val="fr-FR"/>
              </w:rPr>
              <w:t xml:space="preserve"> </w:t>
            </w:r>
            <w:r w:rsidR="00CB521B" w:rsidRPr="001A00DB">
              <w:rPr>
                <w:rFonts w:asciiTheme="majorHAnsi" w:hAnsiTheme="majorHAnsi" w:cs="Arial"/>
                <w:b w:val="0"/>
                <w:color w:val="222222"/>
                <w:sz w:val="20"/>
                <w:szCs w:val="20"/>
                <w:shd w:val="clear" w:color="auto" w:fill="FFFFFF"/>
                <w:lang w:val="fr-FR"/>
              </w:rPr>
              <w:t xml:space="preserve">gestion des zones humides proposée dans le Domaine de travail thématique </w:t>
            </w:r>
            <w:r w:rsidRPr="001A00DB">
              <w:rPr>
                <w:rFonts w:asciiTheme="majorHAnsi" w:hAnsiTheme="majorHAnsi" w:cs="Arial"/>
                <w:b w:val="0"/>
                <w:color w:val="222222"/>
                <w:sz w:val="20"/>
                <w:szCs w:val="20"/>
                <w:shd w:val="clear" w:color="auto" w:fill="FFFFFF"/>
                <w:lang w:val="fr-FR"/>
              </w:rPr>
              <w:t>2 (</w:t>
            </w:r>
            <w:r w:rsidR="00CB521B" w:rsidRPr="001A00DB">
              <w:rPr>
                <w:rFonts w:asciiTheme="majorHAnsi" w:hAnsiTheme="majorHAnsi" w:cs="Arial"/>
                <w:b w:val="0"/>
                <w:color w:val="222222"/>
                <w:sz w:val="20"/>
                <w:szCs w:val="20"/>
                <w:shd w:val="clear" w:color="auto" w:fill="FFFFFF"/>
                <w:lang w:val="fr-FR"/>
              </w:rPr>
              <w:t>ci-dessus</w:t>
            </w:r>
            <w:r w:rsidRPr="001A00DB">
              <w:rPr>
                <w:rFonts w:asciiTheme="majorHAnsi" w:hAnsiTheme="majorHAnsi" w:cs="Arial"/>
                <w:b w:val="0"/>
                <w:color w:val="222222"/>
                <w:sz w:val="20"/>
                <w:szCs w:val="20"/>
                <w:shd w:val="clear" w:color="auto" w:fill="FFFFFF"/>
                <w:lang w:val="fr-FR"/>
              </w:rPr>
              <w:t>) (</w:t>
            </w:r>
            <w:r w:rsidR="00CB521B" w:rsidRPr="001A00DB">
              <w:rPr>
                <w:rFonts w:asciiTheme="majorHAnsi" w:hAnsiTheme="majorHAnsi" w:cs="Arial"/>
                <w:b w:val="0"/>
                <w:color w:val="222222"/>
                <w:sz w:val="20"/>
                <w:szCs w:val="20"/>
                <w:shd w:val="clear" w:color="auto" w:fill="FFFFFF"/>
                <w:lang w:val="fr-FR"/>
              </w:rPr>
              <w:t>tâche</w:t>
            </w:r>
            <w:r w:rsidRPr="001A00DB">
              <w:rPr>
                <w:rFonts w:asciiTheme="majorHAnsi" w:hAnsiTheme="majorHAnsi" w:cs="Arial"/>
                <w:b w:val="0"/>
                <w:color w:val="222222"/>
                <w:sz w:val="20"/>
                <w:szCs w:val="20"/>
                <w:shd w:val="clear" w:color="auto" w:fill="FFFFFF"/>
                <w:lang w:val="fr-FR"/>
              </w:rPr>
              <w:t xml:space="preserve"> N</w:t>
            </w:r>
            <w:r w:rsidR="00CB521B" w:rsidRPr="001A00DB">
              <w:rPr>
                <w:rFonts w:asciiTheme="majorHAnsi" w:hAnsiTheme="majorHAnsi" w:cs="Arial"/>
                <w:b w:val="0"/>
                <w:color w:val="222222"/>
                <w:sz w:val="20"/>
                <w:szCs w:val="20"/>
                <w:shd w:val="clear" w:color="auto" w:fill="FFFFFF"/>
                <w:lang w:val="fr-FR"/>
              </w:rPr>
              <w:t>°</w:t>
            </w:r>
            <w:r w:rsidRPr="001A00DB">
              <w:rPr>
                <w:rFonts w:asciiTheme="majorHAnsi" w:hAnsiTheme="majorHAnsi" w:cs="Arial"/>
                <w:b w:val="0"/>
                <w:color w:val="222222"/>
                <w:sz w:val="20"/>
                <w:szCs w:val="20"/>
                <w:shd w:val="clear" w:color="auto" w:fill="FFFFFF"/>
                <w:lang w:val="fr-FR"/>
              </w:rPr>
              <w:t xml:space="preserve"> 2.1).</w:t>
            </w:r>
            <w:r w:rsidR="00807F64" w:rsidRPr="001A00DB">
              <w:rPr>
                <w:rFonts w:asciiTheme="majorHAnsi" w:hAnsiTheme="majorHAnsi" w:cs="Arial"/>
                <w:b w:val="0"/>
                <w:color w:val="222222"/>
                <w:sz w:val="20"/>
                <w:szCs w:val="20"/>
                <w:shd w:val="clear" w:color="auto" w:fill="FFFFFF"/>
                <w:lang w:val="fr-FR"/>
              </w:rPr>
              <w:t xml:space="preserve"> </w:t>
            </w:r>
          </w:p>
          <w:p w14:paraId="221296D7" w14:textId="77777777" w:rsidR="00914A1A" w:rsidRPr="001A00DB" w:rsidRDefault="00914A1A" w:rsidP="00914A1A">
            <w:pPr>
              <w:rPr>
                <w:rFonts w:asciiTheme="majorHAnsi" w:hAnsiTheme="majorHAnsi" w:cs="Arial"/>
                <w:b w:val="0"/>
                <w:sz w:val="20"/>
                <w:szCs w:val="20"/>
                <w:lang w:val="fr-FR"/>
              </w:rPr>
            </w:pPr>
          </w:p>
          <w:p w14:paraId="79D57403" w14:textId="77777777" w:rsidR="00D62FF3"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p>
          <w:p w14:paraId="3E316B61" w14:textId="397F879C" w:rsidR="00914A1A" w:rsidRPr="001A00DB" w:rsidRDefault="00D62FF3"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1)</w:t>
            </w:r>
            <w:r w:rsidR="00931645" w:rsidRPr="001A00DB">
              <w:rPr>
                <w:rFonts w:asciiTheme="majorHAnsi" w:hAnsiTheme="majorHAnsi" w:cs="Arial"/>
                <w:b w:val="0"/>
                <w:sz w:val="20"/>
                <w:szCs w:val="20"/>
                <w:lang w:val="fr-FR"/>
              </w:rPr>
              <w:t xml:space="preserve"> </w:t>
            </w:r>
            <w:r w:rsidR="00D5078D" w:rsidRPr="001A00DB">
              <w:rPr>
                <w:rFonts w:asciiTheme="majorHAnsi" w:hAnsiTheme="majorHAnsi" w:cs="Arial"/>
                <w:b w:val="0"/>
                <w:sz w:val="20"/>
                <w:szCs w:val="20"/>
                <w:lang w:val="fr-FR"/>
              </w:rPr>
              <w:t>Document d’orientation</w:t>
            </w:r>
            <w:r w:rsidR="00EE2AAD" w:rsidRPr="001A00DB">
              <w:rPr>
                <w:rFonts w:asciiTheme="majorHAnsi" w:hAnsiTheme="majorHAnsi" w:cs="Arial"/>
                <w:sz w:val="20"/>
                <w:szCs w:val="20"/>
                <w:lang w:val="fr-FR"/>
              </w:rPr>
              <w:t xml:space="preserve"> </w:t>
            </w:r>
            <w:r w:rsidR="00EE2AAD" w:rsidRPr="001A00DB">
              <w:rPr>
                <w:rFonts w:asciiTheme="majorHAnsi" w:hAnsiTheme="majorHAnsi" w:cs="Arial"/>
                <w:b w:val="0"/>
                <w:sz w:val="20"/>
                <w:szCs w:val="20"/>
                <w:lang w:val="fr-FR"/>
              </w:rPr>
              <w:t>sur la reconnaissance, l’évaluation et l’applicatio</w:t>
            </w:r>
            <w:r w:rsidR="00914A1A" w:rsidRPr="001A00DB">
              <w:rPr>
                <w:rFonts w:asciiTheme="majorHAnsi" w:hAnsiTheme="majorHAnsi" w:cs="Arial"/>
                <w:b w:val="0"/>
                <w:sz w:val="20"/>
                <w:szCs w:val="20"/>
                <w:lang w:val="fr-FR"/>
              </w:rPr>
              <w:t>n</w:t>
            </w:r>
            <w:r w:rsidR="00EE2AAD" w:rsidRPr="001A00DB">
              <w:rPr>
                <w:rFonts w:asciiTheme="majorHAnsi" w:hAnsiTheme="majorHAnsi" w:cs="Arial"/>
                <w:b w:val="0"/>
                <w:sz w:val="20"/>
                <w:szCs w:val="20"/>
                <w:lang w:val="fr-FR"/>
              </w:rPr>
              <w:t xml:space="preserve"> des valeurs multiples des zones humides pour la gestion intégrée des zones humides</w:t>
            </w:r>
            <w:r w:rsidR="00D5078D" w:rsidRPr="001A00DB">
              <w:rPr>
                <w:rFonts w:asciiTheme="majorHAnsi" w:hAnsiTheme="majorHAnsi" w:cs="Arial"/>
                <w:b w:val="0"/>
                <w:sz w:val="20"/>
                <w:szCs w:val="20"/>
                <w:lang w:val="fr-FR"/>
              </w:rPr>
              <w:t>, avec protocole en annexe</w:t>
            </w:r>
            <w:r w:rsidR="001979B9" w:rsidRPr="001A00DB">
              <w:rPr>
                <w:rFonts w:asciiTheme="majorHAnsi" w:hAnsiTheme="majorHAnsi" w:cs="Arial"/>
                <w:b w:val="0"/>
                <w:sz w:val="20"/>
                <w:szCs w:val="20"/>
                <w:lang w:val="fr-FR"/>
              </w:rPr>
              <w:t>.</w:t>
            </w:r>
          </w:p>
          <w:p w14:paraId="6C82516C" w14:textId="77777777" w:rsidR="00D62FF3" w:rsidRPr="001A00DB" w:rsidRDefault="00D62FF3" w:rsidP="00914A1A">
            <w:pPr>
              <w:rPr>
                <w:rFonts w:asciiTheme="majorHAnsi" w:hAnsiTheme="majorHAnsi" w:cs="Arial"/>
                <w:b w:val="0"/>
                <w:sz w:val="20"/>
                <w:szCs w:val="20"/>
                <w:lang w:val="fr-FR"/>
              </w:rPr>
            </w:pPr>
          </w:p>
          <w:p w14:paraId="5E7A8FB3" w14:textId="0328B805" w:rsidR="00D62FF3" w:rsidRPr="001A00DB" w:rsidRDefault="00D62FF3"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2)</w:t>
            </w:r>
            <w:r w:rsidRPr="001A00DB">
              <w:rPr>
                <w:rFonts w:cs="Arial"/>
                <w:b w:val="0"/>
                <w:sz w:val="20"/>
                <w:szCs w:val="20"/>
                <w:lang w:val="fr-FR"/>
              </w:rPr>
              <w:t xml:space="preserve"> </w:t>
            </w:r>
            <w:r w:rsidR="005720E5" w:rsidRPr="001A00DB">
              <w:rPr>
                <w:rFonts w:asciiTheme="majorHAnsi" w:hAnsiTheme="majorHAnsi" w:cs="Arial"/>
                <w:b w:val="0"/>
                <w:sz w:val="20"/>
                <w:szCs w:val="20"/>
                <w:lang w:val="fr-FR"/>
              </w:rPr>
              <w:t>Rapport technique</w:t>
            </w:r>
            <w:r w:rsidR="005720E5" w:rsidRPr="001A00DB">
              <w:rPr>
                <w:rFonts w:cs="Arial"/>
                <w:b w:val="0"/>
                <w:sz w:val="20"/>
                <w:szCs w:val="20"/>
                <w:lang w:val="fr-FR"/>
              </w:rPr>
              <w:t xml:space="preserve"> </w:t>
            </w:r>
            <w:r w:rsidRPr="001A00DB">
              <w:rPr>
                <w:rFonts w:asciiTheme="majorHAnsi" w:hAnsiTheme="majorHAnsi" w:cs="Arial"/>
                <w:b w:val="0"/>
                <w:sz w:val="20"/>
                <w:szCs w:val="20"/>
                <w:lang w:val="fr-FR"/>
              </w:rPr>
              <w:t xml:space="preserve">Ramsar </w:t>
            </w:r>
            <w:r w:rsidR="005720E5" w:rsidRPr="001A00DB">
              <w:rPr>
                <w:rFonts w:asciiTheme="majorHAnsi" w:hAnsiTheme="majorHAnsi" w:cs="Arial"/>
                <w:b w:val="0"/>
                <w:sz w:val="20"/>
                <w:szCs w:val="20"/>
                <w:lang w:val="fr-FR"/>
              </w:rPr>
              <w:t>et outils d’évaluation des</w:t>
            </w:r>
            <w:r w:rsidRPr="001A00DB">
              <w:rPr>
                <w:rFonts w:asciiTheme="majorHAnsi" w:hAnsiTheme="majorHAnsi" w:cs="Arial"/>
                <w:b w:val="0"/>
                <w:sz w:val="20"/>
                <w:szCs w:val="20"/>
                <w:lang w:val="fr-FR"/>
              </w:rPr>
              <w:t xml:space="preserve"> multiple</w:t>
            </w:r>
            <w:r w:rsidR="005720E5" w:rsidRPr="001A00DB">
              <w:rPr>
                <w:rFonts w:asciiTheme="majorHAnsi" w:hAnsiTheme="majorHAnsi" w:cs="Arial"/>
                <w:b w:val="0"/>
                <w:sz w:val="20"/>
                <w:szCs w:val="20"/>
                <w:lang w:val="fr-FR"/>
              </w:rPr>
              <w:t>s</w:t>
            </w:r>
            <w:r w:rsidRPr="001A00DB">
              <w:rPr>
                <w:rFonts w:asciiTheme="majorHAnsi" w:hAnsiTheme="majorHAnsi" w:cs="Arial"/>
                <w:b w:val="0"/>
                <w:sz w:val="20"/>
                <w:szCs w:val="20"/>
                <w:lang w:val="fr-FR"/>
              </w:rPr>
              <w:t xml:space="preserve"> </w:t>
            </w:r>
            <w:r w:rsidR="005720E5" w:rsidRPr="001A00DB">
              <w:rPr>
                <w:rFonts w:asciiTheme="majorHAnsi" w:hAnsiTheme="majorHAnsi" w:cs="Arial"/>
                <w:b w:val="0"/>
                <w:sz w:val="20"/>
                <w:szCs w:val="20"/>
                <w:lang w:val="fr-FR"/>
              </w:rPr>
              <w:t>valeurs des zones humides</w:t>
            </w:r>
            <w:r w:rsidRPr="001A00DB">
              <w:rPr>
                <w:rFonts w:asciiTheme="majorHAnsi" w:hAnsiTheme="majorHAnsi" w:cs="Arial"/>
                <w:b w:val="0"/>
                <w:sz w:val="20"/>
                <w:szCs w:val="20"/>
                <w:lang w:val="fr-FR"/>
              </w:rPr>
              <w:t xml:space="preserve"> </w:t>
            </w:r>
            <w:r w:rsidR="005720E5" w:rsidRPr="001A00DB">
              <w:rPr>
                <w:rFonts w:asciiTheme="majorHAnsi" w:hAnsiTheme="majorHAnsi" w:cs="Arial"/>
                <w:b w:val="0"/>
                <w:sz w:val="20"/>
                <w:szCs w:val="20"/>
                <w:lang w:val="fr-FR"/>
              </w:rPr>
              <w:t xml:space="preserve">et </w:t>
            </w:r>
            <w:r w:rsidR="00D01A66" w:rsidRPr="001A00DB">
              <w:rPr>
                <w:rFonts w:asciiTheme="majorHAnsi" w:hAnsiTheme="majorHAnsi" w:cs="Arial"/>
                <w:b w:val="0"/>
                <w:sz w:val="20"/>
                <w:szCs w:val="20"/>
                <w:lang w:val="fr-FR"/>
              </w:rPr>
              <w:t xml:space="preserve">leur </w:t>
            </w:r>
            <w:r w:rsidR="005720E5" w:rsidRPr="001A00DB">
              <w:rPr>
                <w:rFonts w:asciiTheme="majorHAnsi" w:hAnsiTheme="majorHAnsi" w:cs="Arial"/>
                <w:b w:val="0"/>
                <w:sz w:val="20"/>
                <w:szCs w:val="20"/>
                <w:lang w:val="fr-FR"/>
              </w:rPr>
              <w:t>application à la gestion intégrée</w:t>
            </w:r>
          </w:p>
          <w:p w14:paraId="08F147B3" w14:textId="76230CC2" w:rsidR="00914A1A" w:rsidRPr="001A00DB" w:rsidRDefault="00E01336"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 </w:t>
            </w:r>
          </w:p>
          <w:p w14:paraId="78973860" w14:textId="15752C00" w:rsidR="00914A1A" w:rsidRPr="001A00DB" w:rsidRDefault="00931645" w:rsidP="00D62FF3">
            <w:pPr>
              <w:ind w:left="-6" w:firstLine="6"/>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EE2AAD" w:rsidRPr="001A00DB">
              <w:rPr>
                <w:rFonts w:asciiTheme="majorHAnsi" w:hAnsiTheme="majorHAnsi" w:cs="Arial"/>
                <w:b w:val="0"/>
                <w:sz w:val="20"/>
                <w:szCs w:val="20"/>
                <w:lang w:val="fr-FR"/>
              </w:rPr>
              <w:t>Décideurs</w:t>
            </w:r>
            <w:r w:rsidR="00D5078D" w:rsidRPr="001A00DB">
              <w:rPr>
                <w:rFonts w:asciiTheme="majorHAnsi" w:hAnsiTheme="majorHAnsi" w:cs="Arial"/>
                <w:b w:val="0"/>
                <w:sz w:val="20"/>
                <w:szCs w:val="20"/>
                <w:lang w:val="fr-FR"/>
              </w:rPr>
              <w:t xml:space="preserve"> (document d’orientation)</w:t>
            </w:r>
            <w:r w:rsidR="008C0B9F" w:rsidRPr="001A00DB">
              <w:rPr>
                <w:rFonts w:asciiTheme="majorHAnsi" w:hAnsiTheme="majorHAnsi" w:cs="Arial"/>
                <w:b w:val="0"/>
                <w:sz w:val="20"/>
                <w:szCs w:val="20"/>
                <w:lang w:val="fr-FR"/>
              </w:rPr>
              <w:t xml:space="preserve"> et praticiens (protocole</w:t>
            </w:r>
            <w:r w:rsidR="00D62FF3" w:rsidRPr="001A00DB">
              <w:rPr>
                <w:rFonts w:asciiTheme="majorHAnsi" w:hAnsiTheme="majorHAnsi" w:cs="Arial"/>
                <w:b w:val="0"/>
                <w:sz w:val="20"/>
                <w:szCs w:val="20"/>
                <w:lang w:val="fr-FR"/>
              </w:rPr>
              <w:t xml:space="preserve">, </w:t>
            </w:r>
            <w:r w:rsidR="00D62FF3" w:rsidRPr="001A00DB">
              <w:rPr>
                <w:rFonts w:asciiTheme="majorHAnsi" w:hAnsiTheme="majorHAnsi" w:cs="Arial"/>
                <w:b w:val="0"/>
                <w:color w:val="222222"/>
                <w:sz w:val="20"/>
                <w:szCs w:val="20"/>
                <w:shd w:val="clear" w:color="auto" w:fill="FFFFFF"/>
                <w:lang w:val="fr-FR"/>
              </w:rPr>
              <w:t>Rapport technique Ramsar et outils</w:t>
            </w:r>
            <w:r w:rsidR="008C0B9F" w:rsidRPr="001A00DB">
              <w:rPr>
                <w:rFonts w:asciiTheme="majorHAnsi" w:hAnsiTheme="majorHAnsi" w:cs="Arial"/>
                <w:b w:val="0"/>
                <w:sz w:val="20"/>
                <w:szCs w:val="20"/>
                <w:lang w:val="fr-FR"/>
              </w:rPr>
              <w:t xml:space="preserve"> en annexe)</w:t>
            </w:r>
            <w:r w:rsidR="00EE2AAD" w:rsidRPr="001A00DB">
              <w:rPr>
                <w:rFonts w:asciiTheme="majorHAnsi" w:hAnsiTheme="majorHAnsi" w:cs="Arial"/>
                <w:b w:val="0"/>
                <w:sz w:val="20"/>
                <w:szCs w:val="20"/>
                <w:lang w:val="fr-FR"/>
              </w:rPr>
              <w:t>.</w:t>
            </w:r>
          </w:p>
        </w:tc>
        <w:tc>
          <w:tcPr>
            <w:tcW w:w="500" w:type="pct"/>
          </w:tcPr>
          <w:p w14:paraId="0549FC0C" w14:textId="77777777" w:rsidR="00914A1A" w:rsidRPr="001A00DB" w:rsidRDefault="00807F64" w:rsidP="00807F64">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Jusqu’à</w:t>
            </w:r>
            <w:r w:rsidR="00D5078D" w:rsidRPr="001A00DB">
              <w:rPr>
                <w:rFonts w:asciiTheme="majorHAnsi" w:hAnsiTheme="majorHAnsi" w:cs="Arial"/>
                <w:b w:val="0"/>
                <w:sz w:val="20"/>
                <w:szCs w:val="20"/>
                <w:lang w:val="fr-FR"/>
              </w:rPr>
              <w:t xml:space="preserve"> 25</w:t>
            </w:r>
            <w:r w:rsidRPr="001A00DB">
              <w:rPr>
                <w:rFonts w:asciiTheme="majorHAnsi" w:hAnsiTheme="majorHAnsi" w:cs="Arial"/>
                <w:b w:val="0"/>
                <w:sz w:val="20"/>
                <w:szCs w:val="20"/>
                <w:lang w:val="fr-FR"/>
              </w:rPr>
              <w:t> </w:t>
            </w:r>
            <w:r w:rsidR="00D5078D" w:rsidRPr="001A00DB">
              <w:rPr>
                <w:rFonts w:asciiTheme="majorHAnsi" w:hAnsiTheme="majorHAnsi" w:cs="Arial"/>
                <w:b w:val="0"/>
                <w:sz w:val="20"/>
                <w:szCs w:val="20"/>
                <w:lang w:val="fr-FR"/>
              </w:rPr>
              <w:t xml:space="preserve">300 [9000 </w:t>
            </w:r>
            <w:r w:rsidRPr="001A00DB">
              <w:rPr>
                <w:rFonts w:asciiTheme="majorHAnsi" w:hAnsiTheme="majorHAnsi" w:cs="Arial"/>
                <w:b w:val="0"/>
                <w:sz w:val="20"/>
                <w:szCs w:val="20"/>
                <w:lang w:val="fr-FR"/>
              </w:rPr>
              <w:t xml:space="preserve">pour la mise en pages, la conception, la révision, la traduction et la publication; </w:t>
            </w:r>
            <w:r w:rsidR="00D5078D" w:rsidRPr="001A00DB">
              <w:rPr>
                <w:rFonts w:asciiTheme="majorHAnsi" w:hAnsiTheme="majorHAnsi" w:cs="Tahoma"/>
                <w:b w:val="0"/>
                <w:color w:val="000000"/>
                <w:sz w:val="20"/>
                <w:szCs w:val="20"/>
                <w:shd w:val="clear" w:color="auto" w:fill="FFFFFF"/>
                <w:lang w:val="fr-FR"/>
              </w:rPr>
              <w:t>6300</w:t>
            </w:r>
            <w:r w:rsidRPr="001A00DB">
              <w:rPr>
                <w:rFonts w:asciiTheme="majorHAnsi" w:hAnsiTheme="majorHAnsi" w:cs="Tahoma"/>
                <w:b w:val="0"/>
                <w:color w:val="000000"/>
                <w:sz w:val="20"/>
                <w:szCs w:val="20"/>
                <w:shd w:val="clear" w:color="auto" w:fill="FFFFFF"/>
                <w:lang w:val="fr-FR"/>
              </w:rPr>
              <w:t xml:space="preserve"> pour le consultant; et</w:t>
            </w:r>
            <w:r w:rsidR="00D5078D" w:rsidRPr="001A00DB">
              <w:rPr>
                <w:rFonts w:asciiTheme="majorHAnsi" w:hAnsiTheme="majorHAnsi" w:cs="Tahoma"/>
                <w:b w:val="0"/>
                <w:color w:val="000000"/>
                <w:sz w:val="20"/>
                <w:szCs w:val="20"/>
                <w:shd w:val="clear" w:color="auto" w:fill="FFFFFF"/>
                <w:lang w:val="fr-FR"/>
              </w:rPr>
              <w:t xml:space="preserve"> 10</w:t>
            </w:r>
            <w:r w:rsidRPr="001A00DB">
              <w:rPr>
                <w:rFonts w:asciiTheme="majorHAnsi" w:hAnsiTheme="majorHAnsi" w:cs="Tahoma"/>
                <w:b w:val="0"/>
                <w:color w:val="000000"/>
                <w:sz w:val="20"/>
                <w:szCs w:val="20"/>
                <w:shd w:val="clear" w:color="auto" w:fill="FFFFFF"/>
                <w:lang w:val="fr-FR"/>
              </w:rPr>
              <w:t> </w:t>
            </w:r>
            <w:r w:rsidR="00D5078D" w:rsidRPr="001A00DB">
              <w:rPr>
                <w:rFonts w:asciiTheme="majorHAnsi" w:hAnsiTheme="majorHAnsi" w:cs="Tahoma"/>
                <w:b w:val="0"/>
                <w:color w:val="000000"/>
                <w:sz w:val="20"/>
                <w:szCs w:val="20"/>
                <w:shd w:val="clear" w:color="auto" w:fill="FFFFFF"/>
                <w:lang w:val="fr-FR"/>
              </w:rPr>
              <w:t xml:space="preserve">000 </w:t>
            </w:r>
            <w:r w:rsidRPr="001A00DB">
              <w:rPr>
                <w:rFonts w:asciiTheme="majorHAnsi" w:hAnsiTheme="majorHAnsi" w:cs="Tahoma"/>
                <w:b w:val="0"/>
                <w:color w:val="000000"/>
                <w:sz w:val="20"/>
                <w:szCs w:val="20"/>
                <w:shd w:val="clear" w:color="auto" w:fill="FFFFFF"/>
                <w:lang w:val="fr-FR"/>
              </w:rPr>
              <w:t>pour un atelier de rédaction composé de six personnes</w:t>
            </w:r>
            <w:r w:rsidR="001979B9" w:rsidRPr="001A00DB">
              <w:rPr>
                <w:rFonts w:asciiTheme="majorHAnsi" w:hAnsiTheme="majorHAnsi" w:cs="Arial"/>
                <w:b w:val="0"/>
                <w:sz w:val="20"/>
                <w:szCs w:val="20"/>
                <w:lang w:val="fr-FR"/>
              </w:rPr>
              <w:t>]</w:t>
            </w:r>
          </w:p>
          <w:p w14:paraId="0257053F" w14:textId="77777777" w:rsidR="0068412C" w:rsidRPr="001A00DB" w:rsidRDefault="0068412C" w:rsidP="00807F64">
            <w:pPr>
              <w:rPr>
                <w:rFonts w:asciiTheme="majorHAnsi" w:hAnsiTheme="majorHAnsi" w:cs="Arial"/>
                <w:b w:val="0"/>
                <w:sz w:val="20"/>
                <w:szCs w:val="20"/>
                <w:lang w:val="fr-FR"/>
              </w:rPr>
            </w:pPr>
          </w:p>
          <w:p w14:paraId="5C5AA532" w14:textId="7C51FDFD" w:rsidR="0068412C" w:rsidRPr="001A00DB" w:rsidRDefault="0068412C" w:rsidP="0068412C">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Jusqu’à 33 500 </w:t>
            </w:r>
          </w:p>
        </w:tc>
      </w:tr>
      <w:tr w:rsidR="00501577" w:rsidRPr="001A00DB" w14:paraId="65D02A04" w14:textId="77777777" w:rsidTr="001637EC">
        <w:tc>
          <w:tcPr>
            <w:tcW w:w="514" w:type="pct"/>
          </w:tcPr>
          <w:p w14:paraId="3A8D8971" w14:textId="700A9CB8" w:rsidR="00914A1A" w:rsidRPr="001A00DB" w:rsidRDefault="00914A1A" w:rsidP="00B95E72">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3.</w:t>
            </w:r>
            <w:r w:rsidR="0068412C" w:rsidRPr="001A00DB">
              <w:rPr>
                <w:rFonts w:asciiTheme="majorHAnsi" w:hAnsiTheme="majorHAnsi" w:cs="Arial"/>
                <w:b w:val="0"/>
                <w:sz w:val="20"/>
                <w:szCs w:val="20"/>
                <w:lang w:val="fr-FR"/>
              </w:rPr>
              <w:t>2</w:t>
            </w:r>
            <w:r w:rsidR="00E01336" w:rsidRPr="001A00DB">
              <w:rPr>
                <w:rFonts w:asciiTheme="majorHAnsi" w:hAnsiTheme="majorHAnsi" w:cs="Arial"/>
                <w:b w:val="0"/>
                <w:sz w:val="20"/>
                <w:szCs w:val="20"/>
                <w:lang w:val="fr-FR"/>
              </w:rPr>
              <w:t xml:space="preserve"> </w:t>
            </w:r>
            <w:r w:rsidR="00B95E72" w:rsidRPr="001A00DB">
              <w:rPr>
                <w:rFonts w:asciiTheme="majorHAnsi" w:hAnsiTheme="majorHAnsi" w:cs="Arial"/>
                <w:b w:val="0"/>
                <w:sz w:val="20"/>
                <w:szCs w:val="20"/>
                <w:lang w:val="fr-FR"/>
              </w:rPr>
              <w:t>Les écosystèmes de zones humides et la prévention des risques de catastrophe</w:t>
            </w:r>
          </w:p>
        </w:tc>
        <w:tc>
          <w:tcPr>
            <w:tcW w:w="297" w:type="pct"/>
          </w:tcPr>
          <w:p w14:paraId="62DE83EC" w14:textId="777582FA" w:rsidR="00914A1A" w:rsidRPr="001A00DB" w:rsidRDefault="0068412C" w:rsidP="0068412C">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H</w:t>
            </w:r>
            <w:r w:rsidR="008E6B37" w:rsidRPr="001A00DB">
              <w:rPr>
                <w:rFonts w:asciiTheme="majorHAnsi" w:hAnsiTheme="majorHAnsi" w:cs="Arial"/>
                <w:b w:val="0"/>
                <w:sz w:val="20"/>
                <w:szCs w:val="20"/>
                <w:lang w:val="fr-FR"/>
              </w:rPr>
              <w:t>aute</w:t>
            </w:r>
          </w:p>
        </w:tc>
        <w:tc>
          <w:tcPr>
            <w:tcW w:w="360" w:type="pct"/>
          </w:tcPr>
          <w:p w14:paraId="0D77E6B4" w14:textId="2F8B19E4" w:rsidR="00914A1A" w:rsidRPr="001A00DB" w:rsidRDefault="00E9361B" w:rsidP="00726B77">
            <w:pPr>
              <w:keepNext/>
              <w:keepLines/>
              <w:rPr>
                <w:rFonts w:asciiTheme="majorHAnsi" w:hAnsiTheme="majorHAnsi" w:cs="Arial"/>
                <w:b w:val="0"/>
                <w:sz w:val="20"/>
                <w:szCs w:val="20"/>
                <w:lang w:val="fr-FR"/>
              </w:rPr>
            </w:pPr>
            <w:r w:rsidRPr="001A00DB">
              <w:rPr>
                <w:rFonts w:ascii="Calibri" w:hAnsi="Calibri"/>
                <w:b w:val="0"/>
                <w:bCs/>
                <w:sz w:val="20"/>
                <w:szCs w:val="20"/>
                <w:lang w:val="fr-FR"/>
              </w:rPr>
              <w:t>XII.13, ¶¶25, 30</w:t>
            </w:r>
          </w:p>
        </w:tc>
        <w:tc>
          <w:tcPr>
            <w:tcW w:w="385" w:type="pct"/>
          </w:tcPr>
          <w:p w14:paraId="4BDA456E" w14:textId="2227FCF0" w:rsidR="00914A1A" w:rsidRPr="001A00DB" w:rsidRDefault="00E9361B" w:rsidP="00726B77">
            <w:pPr>
              <w:keepNext/>
              <w:keepLines/>
              <w:rPr>
                <w:rFonts w:asciiTheme="majorHAnsi" w:hAnsiTheme="majorHAnsi" w:cs="Arial"/>
                <w:sz w:val="20"/>
                <w:szCs w:val="20"/>
                <w:lang w:val="fr-FR"/>
              </w:rPr>
            </w:pPr>
            <w:r w:rsidRPr="001A00DB">
              <w:rPr>
                <w:rFonts w:asciiTheme="majorHAnsi" w:eastAsia="Calibri" w:hAnsiTheme="majorHAnsi" w:cs="Arial"/>
                <w:b w:val="0"/>
                <w:bCs/>
                <w:sz w:val="20"/>
                <w:szCs w:val="20"/>
                <w:lang w:val="fr-FR"/>
              </w:rPr>
              <w:t>1.1, 1.3; 3.8, 3.9, 3.11, 3.12; 4.14</w:t>
            </w:r>
          </w:p>
        </w:tc>
        <w:tc>
          <w:tcPr>
            <w:tcW w:w="2944" w:type="pct"/>
          </w:tcPr>
          <w:p w14:paraId="7DCE43EF" w14:textId="6468099B" w:rsidR="00E9361B" w:rsidRPr="001A00DB" w:rsidRDefault="00931645" w:rsidP="00E9361B">
            <w:pPr>
              <w:ind w:left="34"/>
              <w:rPr>
                <w:rFonts w:ascii="Calibri" w:hAnsi="Calibri"/>
                <w:b w:val="0"/>
                <w:bCs/>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565A19" w:rsidRPr="001A00DB">
              <w:rPr>
                <w:rFonts w:asciiTheme="majorHAnsi" w:hAnsiTheme="majorHAnsi" w:cs="Arial"/>
                <w:b w:val="0"/>
                <w:sz w:val="20"/>
                <w:szCs w:val="20"/>
                <w:lang w:val="fr-FR"/>
              </w:rPr>
              <w:t xml:space="preserve">Fournir une vue d’ensemble des connaissances actuelles </w:t>
            </w:r>
            <w:r w:rsidR="00B40EED" w:rsidRPr="001A00DB">
              <w:rPr>
                <w:rFonts w:asciiTheme="majorHAnsi" w:hAnsiTheme="majorHAnsi" w:cs="Arial"/>
                <w:b w:val="0"/>
                <w:sz w:val="20"/>
                <w:szCs w:val="20"/>
                <w:lang w:val="fr-FR"/>
              </w:rPr>
              <w:t>sur le</w:t>
            </w:r>
            <w:r w:rsidR="00565A19" w:rsidRPr="001A00DB">
              <w:rPr>
                <w:rFonts w:asciiTheme="majorHAnsi" w:hAnsiTheme="majorHAnsi" w:cs="Arial"/>
                <w:b w:val="0"/>
                <w:sz w:val="20"/>
                <w:szCs w:val="20"/>
                <w:lang w:val="fr-FR"/>
              </w:rPr>
              <w:t xml:space="preserve"> rôle des services écosystémiques des zones humides pour la prévention des risques de catastrophe, les possibilités et meilleures pratiques d’intégration de la conservation et de l’utilisation rationnelle des zones humides avec la prévention des risques de catastrophe, et fournir des options que les décideurs examineront dans les deux secteurs (prévention des risques de catastrophe et gestion des zones humides) pour action conjointe.</w:t>
            </w:r>
            <w:r w:rsidR="00E9361B" w:rsidRPr="001A00DB">
              <w:rPr>
                <w:rFonts w:ascii="Calibri" w:hAnsi="Calibri"/>
                <w:b w:val="0"/>
                <w:bCs/>
                <w:sz w:val="20"/>
                <w:szCs w:val="20"/>
                <w:lang w:val="fr-FR"/>
              </w:rPr>
              <w:t xml:space="preserve"> </w:t>
            </w:r>
          </w:p>
          <w:p w14:paraId="000CFDC4" w14:textId="77777777" w:rsidR="00914A1A" w:rsidRPr="001A00DB" w:rsidRDefault="00914A1A" w:rsidP="00726B77">
            <w:pPr>
              <w:keepNext/>
              <w:keepLines/>
              <w:rPr>
                <w:rFonts w:asciiTheme="majorHAnsi" w:hAnsiTheme="majorHAnsi" w:cs="Arial"/>
                <w:b w:val="0"/>
                <w:sz w:val="20"/>
                <w:szCs w:val="20"/>
                <w:lang w:val="fr-FR"/>
              </w:rPr>
            </w:pPr>
          </w:p>
          <w:p w14:paraId="0D6FFE88" w14:textId="06455A6D" w:rsidR="00914A1A" w:rsidRPr="001A00DB" w:rsidRDefault="00931645" w:rsidP="00726B77">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r w:rsidR="00E9361B" w:rsidRPr="001A00DB">
              <w:rPr>
                <w:rFonts w:asciiTheme="majorHAnsi" w:hAnsiTheme="majorHAnsi" w:cs="Arial"/>
                <w:b w:val="0"/>
                <w:sz w:val="20"/>
                <w:szCs w:val="20"/>
                <w:lang w:val="fr-FR"/>
              </w:rPr>
              <w:t xml:space="preserve"> </w:t>
            </w:r>
            <w:r w:rsidR="00565A19" w:rsidRPr="001A00DB">
              <w:rPr>
                <w:rFonts w:asciiTheme="majorHAnsi" w:hAnsiTheme="majorHAnsi" w:cs="Arial"/>
                <w:b w:val="0"/>
                <w:sz w:val="20"/>
                <w:szCs w:val="20"/>
                <w:lang w:val="fr-FR"/>
              </w:rPr>
              <w:t xml:space="preserve">Document d’orientation sur l’intégration des zones humides dans la prévention des risques de catastrophe. </w:t>
            </w:r>
          </w:p>
          <w:p w14:paraId="1C844EF9" w14:textId="77777777" w:rsidR="00914A1A" w:rsidRPr="001A00DB" w:rsidRDefault="00914A1A" w:rsidP="00726B77">
            <w:pPr>
              <w:keepNext/>
              <w:keepLines/>
              <w:rPr>
                <w:rFonts w:asciiTheme="majorHAnsi" w:hAnsiTheme="majorHAnsi" w:cs="Arial"/>
                <w:b w:val="0"/>
                <w:sz w:val="20"/>
                <w:szCs w:val="20"/>
                <w:lang w:val="fr-FR"/>
              </w:rPr>
            </w:pPr>
          </w:p>
          <w:p w14:paraId="2DC6DE1E" w14:textId="519F94C0" w:rsidR="00914A1A" w:rsidRPr="001A00DB" w:rsidRDefault="00931645" w:rsidP="00E9361B">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E9361B" w:rsidRPr="001A00DB">
              <w:rPr>
                <w:rFonts w:asciiTheme="majorHAnsi" w:hAnsiTheme="majorHAnsi" w:cs="Arial"/>
                <w:b w:val="0"/>
                <w:sz w:val="20"/>
                <w:szCs w:val="20"/>
                <w:lang w:val="fr-FR"/>
              </w:rPr>
              <w:t>Décideurs</w:t>
            </w:r>
            <w:r w:rsidR="00B73ABF" w:rsidRPr="001A00DB">
              <w:rPr>
                <w:rFonts w:asciiTheme="majorHAnsi" w:hAnsiTheme="majorHAnsi" w:cs="Arial"/>
                <w:b w:val="0"/>
                <w:sz w:val="20"/>
                <w:szCs w:val="20"/>
                <w:lang w:val="fr-FR"/>
              </w:rPr>
              <w:t>.</w:t>
            </w:r>
            <w:r w:rsidR="00E01336" w:rsidRPr="001A00DB">
              <w:rPr>
                <w:rFonts w:asciiTheme="majorHAnsi" w:hAnsiTheme="majorHAnsi" w:cs="Arial"/>
                <w:b w:val="0"/>
                <w:sz w:val="20"/>
                <w:szCs w:val="20"/>
                <w:lang w:val="fr-FR"/>
              </w:rPr>
              <w:t xml:space="preserve"> </w:t>
            </w:r>
          </w:p>
        </w:tc>
        <w:tc>
          <w:tcPr>
            <w:tcW w:w="500" w:type="pct"/>
          </w:tcPr>
          <w:p w14:paraId="4143EC61" w14:textId="36563129" w:rsidR="00914A1A" w:rsidRPr="001A00DB" w:rsidRDefault="00E9361B" w:rsidP="00C139E4">
            <w:pPr>
              <w:rPr>
                <w:rFonts w:asciiTheme="majorHAnsi" w:hAnsiTheme="majorHAnsi" w:cs="Arial"/>
                <w:b w:val="0"/>
                <w:sz w:val="20"/>
                <w:szCs w:val="20"/>
                <w:lang w:val="fr-FR"/>
              </w:rPr>
            </w:pPr>
            <w:r w:rsidRPr="001A00DB">
              <w:rPr>
                <w:rFonts w:asciiTheme="majorHAnsi" w:hAnsiTheme="majorHAnsi" w:cs="Arial"/>
                <w:b w:val="0"/>
                <w:sz w:val="20"/>
                <w:szCs w:val="20"/>
                <w:lang w:val="fr-FR"/>
              </w:rPr>
              <w:t>Jusqu’à 9</w:t>
            </w:r>
            <w:r w:rsidR="00C139E4" w:rsidRPr="001A00DB">
              <w:rPr>
                <w:rFonts w:asciiTheme="majorHAnsi" w:hAnsiTheme="majorHAnsi" w:cs="Arial"/>
                <w:b w:val="0"/>
                <w:sz w:val="20"/>
                <w:szCs w:val="20"/>
                <w:lang w:val="fr-FR"/>
              </w:rPr>
              <w:t xml:space="preserve"> </w:t>
            </w:r>
            <w:r w:rsidR="00914A1A" w:rsidRPr="001A00DB">
              <w:rPr>
                <w:rFonts w:asciiTheme="majorHAnsi" w:hAnsiTheme="majorHAnsi" w:cs="Arial"/>
                <w:b w:val="0"/>
                <w:sz w:val="20"/>
                <w:szCs w:val="20"/>
                <w:lang w:val="fr-FR"/>
              </w:rPr>
              <w:t>000</w:t>
            </w:r>
          </w:p>
        </w:tc>
      </w:tr>
      <w:tr w:rsidR="00501577" w:rsidRPr="001A00DB" w14:paraId="271802FC" w14:textId="77777777" w:rsidTr="001637EC">
        <w:tc>
          <w:tcPr>
            <w:tcW w:w="514" w:type="pct"/>
          </w:tcPr>
          <w:p w14:paraId="7DE8C10D" w14:textId="74353D1B" w:rsidR="00914A1A" w:rsidRPr="001A00DB" w:rsidRDefault="00914A1A" w:rsidP="0068412C">
            <w:pPr>
              <w:rPr>
                <w:rFonts w:asciiTheme="majorHAnsi" w:hAnsiTheme="majorHAnsi" w:cs="Arial"/>
                <w:b w:val="0"/>
                <w:sz w:val="20"/>
                <w:szCs w:val="20"/>
                <w:lang w:val="fr-FR"/>
              </w:rPr>
            </w:pPr>
            <w:r w:rsidRPr="001A00DB">
              <w:rPr>
                <w:rFonts w:asciiTheme="majorHAnsi" w:hAnsiTheme="majorHAnsi" w:cs="Arial"/>
                <w:b w:val="0"/>
                <w:sz w:val="20"/>
                <w:szCs w:val="20"/>
                <w:lang w:val="fr-FR"/>
              </w:rPr>
              <w:t>3.</w:t>
            </w:r>
            <w:r w:rsidR="0068412C" w:rsidRPr="001A00DB">
              <w:rPr>
                <w:rFonts w:asciiTheme="majorHAnsi" w:hAnsiTheme="majorHAnsi" w:cs="Arial"/>
                <w:b w:val="0"/>
                <w:sz w:val="20"/>
                <w:szCs w:val="20"/>
                <w:lang w:val="fr-FR"/>
              </w:rPr>
              <w:t>3</w:t>
            </w:r>
            <w:r w:rsidR="00E01336" w:rsidRPr="001A00DB">
              <w:rPr>
                <w:rFonts w:asciiTheme="majorHAnsi" w:hAnsiTheme="majorHAnsi" w:cs="Arial"/>
                <w:b w:val="0"/>
                <w:sz w:val="20"/>
                <w:szCs w:val="20"/>
                <w:lang w:val="fr-FR"/>
              </w:rPr>
              <w:t xml:space="preserve"> </w:t>
            </w:r>
            <w:r w:rsidR="00726B77" w:rsidRPr="001A00DB">
              <w:rPr>
                <w:rFonts w:asciiTheme="majorHAnsi" w:hAnsiTheme="majorHAnsi" w:cs="Arial"/>
                <w:b w:val="0"/>
                <w:sz w:val="20"/>
                <w:szCs w:val="20"/>
                <w:lang w:val="fr-FR"/>
              </w:rPr>
              <w:t xml:space="preserve">Études de cas sur « la valorisation et l’utilisation rationnelle des zones humides » </w:t>
            </w:r>
          </w:p>
        </w:tc>
        <w:tc>
          <w:tcPr>
            <w:tcW w:w="297" w:type="pct"/>
          </w:tcPr>
          <w:p w14:paraId="65431B9D" w14:textId="77777777" w:rsidR="00914A1A" w:rsidRPr="001A00DB" w:rsidRDefault="00914A1A" w:rsidP="00914A1A">
            <w:pPr>
              <w:rPr>
                <w:rFonts w:asciiTheme="majorHAnsi" w:hAnsiTheme="majorHAnsi" w:cs="Arial"/>
                <w:b w:val="0"/>
                <w:sz w:val="20"/>
                <w:szCs w:val="20"/>
                <w:lang w:val="fr-FR"/>
              </w:rPr>
            </w:pPr>
          </w:p>
        </w:tc>
        <w:tc>
          <w:tcPr>
            <w:tcW w:w="360" w:type="pct"/>
          </w:tcPr>
          <w:p w14:paraId="5A8734AB" w14:textId="3DF5B80D" w:rsidR="00914A1A" w:rsidRPr="001A00DB" w:rsidRDefault="003E68FE" w:rsidP="00914A1A">
            <w:pPr>
              <w:rPr>
                <w:rFonts w:asciiTheme="majorHAnsi" w:hAnsiTheme="majorHAnsi" w:cs="Arial"/>
                <w:sz w:val="20"/>
                <w:szCs w:val="20"/>
                <w:lang w:val="fr-FR"/>
              </w:rPr>
            </w:pPr>
            <w:r w:rsidRPr="001A00DB">
              <w:rPr>
                <w:rFonts w:asciiTheme="majorHAnsi" w:hAnsiTheme="majorHAnsi" w:cs="Arial"/>
                <w:b w:val="0"/>
                <w:sz w:val="20"/>
                <w:szCs w:val="20"/>
                <w:lang w:val="fr-FR"/>
              </w:rPr>
              <w:t>XII.13,</w:t>
            </w:r>
            <w:r w:rsidRPr="001A00DB">
              <w:rPr>
                <w:rFonts w:ascii="Calibri" w:hAnsi="Calibri" w:cs="Arial"/>
                <w:b w:val="0"/>
                <w:sz w:val="20"/>
                <w:szCs w:val="20"/>
                <w:lang w:val="fr-FR"/>
              </w:rPr>
              <w:t xml:space="preserve"> ¶</w:t>
            </w:r>
            <w:r w:rsidRPr="001A00DB">
              <w:rPr>
                <w:rFonts w:asciiTheme="majorHAnsi" w:hAnsiTheme="majorHAnsi" w:cs="Arial"/>
                <w:b w:val="0"/>
                <w:sz w:val="20"/>
                <w:szCs w:val="20"/>
                <w:lang w:val="fr-FR"/>
              </w:rPr>
              <w:t xml:space="preserve"> 27; XII.15, </w:t>
            </w:r>
            <w:r w:rsidRPr="001A00DB">
              <w:rPr>
                <w:rFonts w:ascii="Calibri" w:hAnsi="Calibri" w:cs="Arial"/>
                <w:b w:val="0"/>
                <w:sz w:val="20"/>
                <w:szCs w:val="20"/>
                <w:lang w:val="fr-FR"/>
              </w:rPr>
              <w:t>¶</w:t>
            </w:r>
            <w:r w:rsidRPr="001A00DB">
              <w:rPr>
                <w:rFonts w:asciiTheme="majorHAnsi" w:hAnsiTheme="majorHAnsi" w:cs="Arial"/>
                <w:b w:val="0"/>
                <w:sz w:val="20"/>
                <w:szCs w:val="20"/>
                <w:lang w:val="fr-FR"/>
              </w:rPr>
              <w:t xml:space="preserve"> 21</w:t>
            </w:r>
          </w:p>
        </w:tc>
        <w:tc>
          <w:tcPr>
            <w:tcW w:w="385" w:type="pct"/>
          </w:tcPr>
          <w:p w14:paraId="0FFC6DC6" w14:textId="7BC5C5E5" w:rsidR="00914A1A" w:rsidRPr="001A00DB" w:rsidRDefault="003E68FE" w:rsidP="00914A1A">
            <w:pPr>
              <w:rPr>
                <w:rFonts w:asciiTheme="majorHAnsi" w:hAnsiTheme="majorHAnsi" w:cs="Arial"/>
                <w:sz w:val="20"/>
                <w:szCs w:val="20"/>
                <w:lang w:val="fr-FR"/>
              </w:rPr>
            </w:pPr>
            <w:r w:rsidRPr="001A00DB">
              <w:rPr>
                <w:rFonts w:asciiTheme="majorHAnsi" w:eastAsia="Calibri" w:hAnsiTheme="majorHAnsi" w:cs="Arial"/>
                <w:b w:val="0"/>
                <w:bCs/>
                <w:sz w:val="20"/>
                <w:szCs w:val="20"/>
                <w:lang w:val="fr-FR"/>
              </w:rPr>
              <w:t>1.1, 1.3; 3.8, 3.9, 3.10, 3.11, 3.12; 4.14</w:t>
            </w:r>
          </w:p>
        </w:tc>
        <w:tc>
          <w:tcPr>
            <w:tcW w:w="2944" w:type="pct"/>
          </w:tcPr>
          <w:p w14:paraId="620BFCC0" w14:textId="2DAAB648"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w:t>
            </w:r>
            <w:r w:rsidR="00726B77" w:rsidRPr="001A00DB">
              <w:rPr>
                <w:rFonts w:asciiTheme="majorHAnsi" w:hAnsiTheme="majorHAnsi" w:cs="Arial"/>
                <w:b w:val="0"/>
                <w:sz w:val="20"/>
                <w:szCs w:val="20"/>
                <w:lang w:val="fr-FR"/>
              </w:rPr>
              <w:t xml:space="preserve"> </w:t>
            </w:r>
            <w:r w:rsidR="00565A19" w:rsidRPr="001A00DB">
              <w:rPr>
                <w:rFonts w:asciiTheme="majorHAnsi" w:hAnsiTheme="majorHAnsi" w:cs="Arial"/>
                <w:b w:val="0"/>
                <w:sz w:val="20"/>
                <w:szCs w:val="20"/>
                <w:lang w:val="fr-FR"/>
              </w:rPr>
              <w:t xml:space="preserve">Élaborer des études de cas et des méthodes (y compris fournies par d’autres conventions et organisations relatives à la biodiversité) sur l’utilisation des valeurs multiples des zones humides dans les contextes de planification et de prise de décisions, qui seront résumées pour les décideurs. </w:t>
            </w:r>
          </w:p>
          <w:p w14:paraId="00EC37F5" w14:textId="54B05512" w:rsidR="00914A1A" w:rsidRPr="001A00DB" w:rsidRDefault="00E01336"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 </w:t>
            </w:r>
          </w:p>
          <w:p w14:paraId="012B5C31" w14:textId="17AE042A"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p>
          <w:p w14:paraId="04290F22" w14:textId="45151DFD" w:rsidR="00DF0AF6" w:rsidRPr="001A00DB" w:rsidRDefault="00565A19" w:rsidP="00DF0AF6">
            <w:pPr>
              <w:rPr>
                <w:rFonts w:asciiTheme="majorHAnsi" w:hAnsiTheme="majorHAnsi" w:cs="Arial"/>
                <w:b w:val="0"/>
                <w:sz w:val="20"/>
                <w:szCs w:val="20"/>
                <w:lang w:val="fr-FR"/>
              </w:rPr>
            </w:pPr>
            <w:r w:rsidRPr="001A00DB">
              <w:rPr>
                <w:rFonts w:asciiTheme="majorHAnsi" w:hAnsiTheme="majorHAnsi" w:cs="Arial"/>
                <w:b w:val="0"/>
                <w:sz w:val="20"/>
                <w:szCs w:val="20"/>
                <w:lang w:val="fr-FR"/>
              </w:rPr>
              <w:t>1) Études de cas et méthodes à inclure dans le cadre d’un ensemble d’outils de gestion des zones humides proposés dans le domaine de travail thématique 2 (ci</w:t>
            </w:r>
            <w:r w:rsidRPr="001A00DB">
              <w:rPr>
                <w:rFonts w:asciiTheme="majorHAnsi" w:hAnsiTheme="majorHAnsi" w:cs="Arial"/>
                <w:b w:val="0"/>
                <w:sz w:val="20"/>
                <w:szCs w:val="20"/>
                <w:lang w:val="fr-FR"/>
              </w:rPr>
              <w:noBreakHyphen/>
              <w:t>dessus) (tâche n</w:t>
            </w:r>
            <w:r w:rsidRPr="001A00DB">
              <w:rPr>
                <w:rFonts w:asciiTheme="majorHAnsi" w:hAnsiTheme="majorHAnsi" w:cs="Arial"/>
                <w:b w:val="0"/>
                <w:sz w:val="20"/>
                <w:szCs w:val="20"/>
                <w:vertAlign w:val="superscript"/>
                <w:lang w:val="fr-FR"/>
              </w:rPr>
              <w:t>o</w:t>
            </w:r>
            <w:r w:rsidRPr="001A00DB">
              <w:rPr>
                <w:rFonts w:asciiTheme="majorHAnsi" w:hAnsiTheme="majorHAnsi" w:cs="Arial"/>
                <w:b w:val="0"/>
                <w:sz w:val="20"/>
                <w:szCs w:val="20"/>
                <w:lang w:val="fr-FR"/>
              </w:rPr>
              <w:t xml:space="preserve"> 2.1). </w:t>
            </w:r>
          </w:p>
          <w:p w14:paraId="36363144" w14:textId="77777777" w:rsidR="00DF0AF6" w:rsidRPr="001A00DB" w:rsidRDefault="00DF0AF6" w:rsidP="00DF0AF6">
            <w:pPr>
              <w:rPr>
                <w:rFonts w:asciiTheme="majorHAnsi" w:hAnsiTheme="majorHAnsi" w:cs="Arial"/>
                <w:b w:val="0"/>
                <w:sz w:val="20"/>
                <w:szCs w:val="20"/>
                <w:lang w:val="fr-FR"/>
              </w:rPr>
            </w:pPr>
          </w:p>
          <w:p w14:paraId="623E1E9B" w14:textId="5F32A2D0" w:rsidR="00DF0AF6" w:rsidRPr="001A00DB" w:rsidRDefault="00DF0AF6" w:rsidP="00DF0AF6">
            <w:pPr>
              <w:rPr>
                <w:rFonts w:asciiTheme="majorHAnsi" w:hAnsiTheme="majorHAnsi" w:cs="Arial"/>
                <w:b w:val="0"/>
                <w:sz w:val="20"/>
                <w:szCs w:val="20"/>
                <w:lang w:val="fr-FR"/>
              </w:rPr>
            </w:pPr>
            <w:r w:rsidRPr="001A00DB">
              <w:rPr>
                <w:rFonts w:asciiTheme="majorHAnsi" w:hAnsiTheme="majorHAnsi" w:cs="Arial"/>
                <w:b w:val="0"/>
                <w:sz w:val="20"/>
                <w:szCs w:val="20"/>
                <w:lang w:val="fr-FR"/>
              </w:rPr>
              <w:t>2) Document d’orientation</w:t>
            </w:r>
            <w:r w:rsidR="00B73ABF" w:rsidRPr="001A00DB">
              <w:rPr>
                <w:rFonts w:asciiTheme="majorHAnsi" w:hAnsiTheme="majorHAnsi" w:cs="Arial"/>
                <w:b w:val="0"/>
                <w:sz w:val="20"/>
                <w:szCs w:val="20"/>
                <w:lang w:val="fr-FR"/>
              </w:rPr>
              <w:t>.</w:t>
            </w:r>
          </w:p>
          <w:p w14:paraId="777C8164" w14:textId="77777777" w:rsidR="00914A1A" w:rsidRPr="001A00DB" w:rsidRDefault="00914A1A" w:rsidP="00914A1A">
            <w:pPr>
              <w:rPr>
                <w:rFonts w:asciiTheme="majorHAnsi" w:hAnsiTheme="majorHAnsi" w:cs="Arial"/>
                <w:b w:val="0"/>
                <w:sz w:val="20"/>
                <w:szCs w:val="20"/>
                <w:lang w:val="fr-FR"/>
              </w:rPr>
            </w:pPr>
          </w:p>
          <w:p w14:paraId="14719B0C" w14:textId="349CFD39" w:rsidR="00DF0AF6" w:rsidRPr="001A00DB" w:rsidRDefault="00931645" w:rsidP="00DF0AF6">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3E68FE" w:rsidRPr="001A00DB">
              <w:rPr>
                <w:rFonts w:asciiTheme="majorHAnsi" w:hAnsiTheme="majorHAnsi" w:cs="Arial"/>
                <w:b w:val="0"/>
                <w:sz w:val="20"/>
                <w:szCs w:val="20"/>
                <w:lang w:val="fr-FR"/>
              </w:rPr>
              <w:t xml:space="preserve">Praticiens (administrateurs de zones humides) </w:t>
            </w:r>
            <w:r w:rsidR="00DF0AF6" w:rsidRPr="001A00DB">
              <w:rPr>
                <w:rFonts w:asciiTheme="majorHAnsi" w:hAnsiTheme="majorHAnsi" w:cs="Arial"/>
                <w:b w:val="0"/>
                <w:sz w:val="20"/>
                <w:szCs w:val="20"/>
                <w:lang w:val="fr-FR"/>
              </w:rPr>
              <w:t>(études de cas et méthodes) et décideurs</w:t>
            </w:r>
            <w:r w:rsidR="0081604E" w:rsidRPr="001A00DB">
              <w:rPr>
                <w:rFonts w:asciiTheme="majorHAnsi" w:hAnsiTheme="majorHAnsi" w:cs="Arial"/>
                <w:b w:val="0"/>
                <w:sz w:val="20"/>
                <w:szCs w:val="20"/>
                <w:lang w:val="fr-FR"/>
              </w:rPr>
              <w:t xml:space="preserve"> </w:t>
            </w:r>
            <w:r w:rsidR="003E68FE" w:rsidRPr="001A00DB">
              <w:rPr>
                <w:rFonts w:asciiTheme="majorHAnsi" w:hAnsiTheme="majorHAnsi" w:cs="Arial"/>
                <w:b w:val="0"/>
                <w:sz w:val="20"/>
                <w:szCs w:val="20"/>
                <w:lang w:val="fr-FR"/>
              </w:rPr>
              <w:t>(</w:t>
            </w:r>
            <w:r w:rsidR="00DF0AF6" w:rsidRPr="001A00DB">
              <w:rPr>
                <w:rFonts w:asciiTheme="majorHAnsi" w:hAnsiTheme="majorHAnsi" w:cs="Arial"/>
                <w:b w:val="0"/>
                <w:sz w:val="20"/>
                <w:szCs w:val="20"/>
                <w:lang w:val="fr-FR"/>
              </w:rPr>
              <w:t>document d’orientation)</w:t>
            </w:r>
            <w:r w:rsidR="00B73ABF" w:rsidRPr="001A00DB">
              <w:rPr>
                <w:rFonts w:asciiTheme="majorHAnsi" w:hAnsiTheme="majorHAnsi" w:cs="Arial"/>
                <w:b w:val="0"/>
                <w:sz w:val="20"/>
                <w:szCs w:val="20"/>
                <w:lang w:val="fr-FR"/>
              </w:rPr>
              <w:t>.</w:t>
            </w:r>
            <w:r w:rsidR="00E01336" w:rsidRPr="001A00DB">
              <w:rPr>
                <w:rFonts w:asciiTheme="majorHAnsi" w:hAnsiTheme="majorHAnsi" w:cs="Arial"/>
                <w:b w:val="0"/>
                <w:sz w:val="20"/>
                <w:szCs w:val="20"/>
                <w:lang w:val="fr-FR"/>
              </w:rPr>
              <w:t xml:space="preserve"> </w:t>
            </w:r>
          </w:p>
        </w:tc>
        <w:tc>
          <w:tcPr>
            <w:tcW w:w="500" w:type="pct"/>
          </w:tcPr>
          <w:p w14:paraId="6555C94A" w14:textId="5C563C00" w:rsidR="00914A1A" w:rsidRPr="001A00DB" w:rsidRDefault="00DF0AF6" w:rsidP="00DF0AF6">
            <w:pPr>
              <w:rPr>
                <w:rFonts w:asciiTheme="majorHAnsi" w:hAnsiTheme="majorHAnsi" w:cs="Arial"/>
                <w:b w:val="0"/>
                <w:sz w:val="20"/>
                <w:szCs w:val="20"/>
                <w:lang w:val="fr-FR"/>
              </w:rPr>
            </w:pPr>
            <w:r w:rsidRPr="001A00DB">
              <w:rPr>
                <w:rFonts w:asciiTheme="majorHAnsi" w:hAnsiTheme="majorHAnsi" w:cs="Arial"/>
                <w:b w:val="0"/>
                <w:sz w:val="20"/>
                <w:szCs w:val="20"/>
                <w:lang w:val="fr-FR"/>
              </w:rPr>
              <w:t>9</w:t>
            </w:r>
            <w:r w:rsidR="00C139E4" w:rsidRPr="001A00DB">
              <w:rPr>
                <w:rFonts w:asciiTheme="majorHAnsi" w:hAnsiTheme="majorHAnsi" w:cs="Arial"/>
                <w:b w:val="0"/>
                <w:sz w:val="20"/>
                <w:szCs w:val="20"/>
                <w:lang w:val="fr-FR"/>
              </w:rPr>
              <w:t xml:space="preserve"> </w:t>
            </w:r>
            <w:r w:rsidR="00914A1A" w:rsidRPr="001A00DB">
              <w:rPr>
                <w:rFonts w:asciiTheme="majorHAnsi" w:hAnsiTheme="majorHAnsi" w:cs="Arial"/>
                <w:b w:val="0"/>
                <w:sz w:val="20"/>
                <w:szCs w:val="20"/>
                <w:lang w:val="fr-FR"/>
              </w:rPr>
              <w:t>000</w:t>
            </w:r>
            <w:r w:rsidR="00E01336" w:rsidRPr="001A00DB">
              <w:rPr>
                <w:rFonts w:asciiTheme="majorHAnsi" w:hAnsiTheme="majorHAnsi" w:cs="Arial"/>
                <w:b w:val="0"/>
                <w:sz w:val="20"/>
                <w:szCs w:val="20"/>
                <w:lang w:val="fr-FR"/>
              </w:rPr>
              <w:t xml:space="preserve"> </w:t>
            </w:r>
          </w:p>
        </w:tc>
      </w:tr>
    </w:tbl>
    <w:p w14:paraId="5F3754FD" w14:textId="77777777" w:rsidR="00914A1A" w:rsidRPr="001A00DB" w:rsidRDefault="00914A1A" w:rsidP="00914A1A">
      <w:pPr>
        <w:rPr>
          <w:rFonts w:asciiTheme="majorHAnsi" w:hAnsiTheme="majorHAnsi" w:cs="Arial"/>
          <w:sz w:val="20"/>
          <w:szCs w:val="20"/>
          <w:lang w:val="fr-FR"/>
        </w:rPr>
      </w:pPr>
    </w:p>
    <w:p w14:paraId="68C446C6" w14:textId="77777777" w:rsidR="00914A1A" w:rsidRPr="001A00DB" w:rsidRDefault="00914A1A" w:rsidP="00914A1A">
      <w:pPr>
        <w:rPr>
          <w:rFonts w:asciiTheme="majorHAnsi" w:hAnsiTheme="majorHAnsi" w:cs="Arial"/>
          <w:sz w:val="20"/>
          <w:szCs w:val="20"/>
          <w:lang w:val="fr-FR"/>
        </w:rPr>
      </w:pPr>
    </w:p>
    <w:p w14:paraId="4CDC041A" w14:textId="77777777" w:rsidR="00914A1A" w:rsidRPr="001A00DB" w:rsidRDefault="00914A1A" w:rsidP="00914A1A">
      <w:pPr>
        <w:rPr>
          <w:rFonts w:asciiTheme="majorHAnsi" w:hAnsiTheme="majorHAnsi" w:cs="Arial"/>
          <w:sz w:val="20"/>
          <w:szCs w:val="20"/>
          <w:lang w:val="fr-FR"/>
        </w:rPr>
      </w:pPr>
    </w:p>
    <w:tbl>
      <w:tblPr>
        <w:tblStyle w:val="TableGrid3"/>
        <w:tblW w:w="5000" w:type="pct"/>
        <w:tblLook w:val="04A0" w:firstRow="1" w:lastRow="0" w:firstColumn="1" w:lastColumn="0" w:noHBand="0" w:noVBand="1"/>
      </w:tblPr>
      <w:tblGrid>
        <w:gridCol w:w="14174"/>
      </w:tblGrid>
      <w:tr w:rsidR="00914A1A" w:rsidRPr="00E7362F" w14:paraId="32708FB7" w14:textId="77777777" w:rsidTr="00914A1A">
        <w:tc>
          <w:tcPr>
            <w:tcW w:w="5000" w:type="pct"/>
            <w:shd w:val="clear" w:color="auto" w:fill="000000" w:themeFill="text1"/>
          </w:tcPr>
          <w:p w14:paraId="2F96420C" w14:textId="18212EED" w:rsidR="00914A1A" w:rsidRPr="00030683" w:rsidRDefault="00C139E4" w:rsidP="006F1B0C">
            <w:pPr>
              <w:pStyle w:val="Heading1"/>
              <w:spacing w:before="0"/>
              <w:outlineLvl w:val="0"/>
              <w:rPr>
                <w:rFonts w:asciiTheme="majorHAnsi" w:hAnsiTheme="majorHAnsi"/>
                <w:b/>
                <w:sz w:val="20"/>
                <w:szCs w:val="20"/>
                <w:lang w:val="fr-CH"/>
              </w:rPr>
            </w:pPr>
            <w:bookmarkStart w:id="7" w:name="_Toc455995961"/>
            <w:r w:rsidRPr="00030683">
              <w:rPr>
                <w:rFonts w:asciiTheme="majorHAnsi" w:hAnsiTheme="majorHAnsi"/>
                <w:b/>
                <w:color w:val="FFFFFF" w:themeColor="background1"/>
                <w:sz w:val="20"/>
                <w:szCs w:val="20"/>
                <w:lang w:val="fr-CH"/>
              </w:rPr>
              <w:t>Domaine de travail thématique n</w:t>
            </w:r>
            <w:r w:rsidRPr="00030683">
              <w:rPr>
                <w:rFonts w:asciiTheme="majorHAnsi" w:hAnsiTheme="majorHAnsi"/>
                <w:b/>
                <w:color w:val="FFFFFF" w:themeColor="background1"/>
                <w:sz w:val="20"/>
                <w:szCs w:val="20"/>
                <w:vertAlign w:val="superscript"/>
                <w:lang w:val="fr-CH"/>
              </w:rPr>
              <w:t>o</w:t>
            </w:r>
            <w:r w:rsidRPr="00030683">
              <w:rPr>
                <w:rFonts w:asciiTheme="majorHAnsi" w:hAnsiTheme="majorHAnsi"/>
                <w:b/>
                <w:color w:val="FFFFFF" w:themeColor="background1"/>
                <w:sz w:val="20"/>
                <w:szCs w:val="20"/>
                <w:lang w:val="fr-CH"/>
              </w:rPr>
              <w:t xml:space="preserve"> </w:t>
            </w:r>
            <w:r w:rsidR="00914A1A" w:rsidRPr="00030683">
              <w:rPr>
                <w:rFonts w:asciiTheme="majorHAnsi" w:hAnsiTheme="majorHAnsi"/>
                <w:b/>
                <w:color w:val="FFFFFF" w:themeColor="background1"/>
                <w:sz w:val="20"/>
                <w:szCs w:val="20"/>
                <w:lang w:val="fr-CH"/>
              </w:rPr>
              <w:t>4</w:t>
            </w:r>
            <w:r w:rsidRPr="00030683">
              <w:rPr>
                <w:rFonts w:asciiTheme="majorHAnsi" w:hAnsiTheme="majorHAnsi"/>
                <w:b/>
                <w:color w:val="FFFFFF" w:themeColor="background1"/>
                <w:sz w:val="20"/>
                <w:szCs w:val="20"/>
                <w:lang w:val="fr-CH"/>
              </w:rPr>
              <w:t> </w:t>
            </w:r>
            <w:r w:rsidR="00914A1A" w:rsidRPr="00030683">
              <w:rPr>
                <w:rFonts w:asciiTheme="majorHAnsi" w:hAnsiTheme="majorHAnsi"/>
                <w:b/>
                <w:color w:val="FFFFFF" w:themeColor="background1"/>
                <w:sz w:val="20"/>
                <w:szCs w:val="20"/>
                <w:lang w:val="fr-CH"/>
              </w:rPr>
              <w:t>:</w:t>
            </w:r>
            <w:r w:rsidRPr="00030683">
              <w:rPr>
                <w:rFonts w:asciiTheme="majorHAnsi" w:hAnsiTheme="majorHAnsi"/>
                <w:b/>
                <w:color w:val="FFFFFF" w:themeColor="background1"/>
                <w:sz w:val="20"/>
                <w:szCs w:val="20"/>
                <w:lang w:val="fr-CH"/>
              </w:rPr>
              <w:t xml:space="preserve"> </w:t>
            </w:r>
            <w:r w:rsidR="0081604E" w:rsidRPr="00030683">
              <w:rPr>
                <w:rFonts w:asciiTheme="majorHAnsi" w:hAnsiTheme="majorHAnsi"/>
                <w:b/>
                <w:color w:val="FFFFFF" w:themeColor="background1"/>
                <w:sz w:val="20"/>
                <w:szCs w:val="20"/>
                <w:lang w:val="fr-CH"/>
              </w:rPr>
              <w:t>Concilier conservation des zones humides et développement, à savoir :</w:t>
            </w:r>
            <w:r w:rsidR="00E01336" w:rsidRPr="00030683">
              <w:rPr>
                <w:rFonts w:asciiTheme="majorHAnsi" w:hAnsiTheme="majorHAnsi"/>
                <w:b/>
                <w:color w:val="FFFFFF" w:themeColor="background1"/>
                <w:sz w:val="20"/>
                <w:szCs w:val="20"/>
                <w:lang w:val="fr-CH"/>
              </w:rPr>
              <w:t xml:space="preserve"> </w:t>
            </w:r>
            <w:r w:rsidR="00914A1A" w:rsidRPr="00030683">
              <w:rPr>
                <w:rFonts w:asciiTheme="majorHAnsi" w:hAnsiTheme="majorHAnsi"/>
                <w:b/>
                <w:color w:val="FFFFFF" w:themeColor="background1"/>
                <w:sz w:val="20"/>
                <w:szCs w:val="20"/>
                <w:lang w:val="fr-CH"/>
              </w:rPr>
              <w:t>infrastructure,</w:t>
            </w:r>
            <w:r w:rsidR="00E01336" w:rsidRPr="00030683">
              <w:rPr>
                <w:rFonts w:asciiTheme="majorHAnsi" w:hAnsiTheme="majorHAnsi"/>
                <w:b/>
                <w:color w:val="FFFFFF" w:themeColor="background1"/>
                <w:sz w:val="20"/>
                <w:szCs w:val="20"/>
                <w:lang w:val="fr-CH"/>
              </w:rPr>
              <w:t xml:space="preserve"> </w:t>
            </w:r>
            <w:r w:rsidR="0081604E" w:rsidRPr="00030683">
              <w:rPr>
                <w:rFonts w:asciiTheme="majorHAnsi" w:hAnsiTheme="majorHAnsi"/>
                <w:b/>
                <w:color w:val="FFFFFF" w:themeColor="background1"/>
                <w:sz w:val="20"/>
                <w:szCs w:val="20"/>
                <w:lang w:val="fr-CH"/>
              </w:rPr>
              <w:t>urbanis</w:t>
            </w:r>
            <w:r w:rsidR="00914A1A" w:rsidRPr="00030683">
              <w:rPr>
                <w:rFonts w:asciiTheme="majorHAnsi" w:hAnsiTheme="majorHAnsi"/>
                <w:b/>
                <w:color w:val="FFFFFF" w:themeColor="background1"/>
                <w:sz w:val="20"/>
                <w:szCs w:val="20"/>
                <w:lang w:val="fr-CH"/>
              </w:rPr>
              <w:t>ation,</w:t>
            </w:r>
            <w:r w:rsidR="00E01336" w:rsidRPr="00030683">
              <w:rPr>
                <w:rFonts w:asciiTheme="majorHAnsi" w:hAnsiTheme="majorHAnsi"/>
                <w:b/>
                <w:color w:val="FFFFFF" w:themeColor="background1"/>
                <w:sz w:val="20"/>
                <w:szCs w:val="20"/>
                <w:lang w:val="fr-CH"/>
              </w:rPr>
              <w:t xml:space="preserve"> </w:t>
            </w:r>
            <w:r w:rsidR="00914A1A" w:rsidRPr="00030683">
              <w:rPr>
                <w:rFonts w:asciiTheme="majorHAnsi" w:hAnsiTheme="majorHAnsi"/>
                <w:b/>
                <w:color w:val="FFFFFF" w:themeColor="background1"/>
                <w:sz w:val="20"/>
                <w:szCs w:val="20"/>
                <w:lang w:val="fr-CH"/>
              </w:rPr>
              <w:t>forest</w:t>
            </w:r>
            <w:r w:rsidR="0081604E" w:rsidRPr="00030683">
              <w:rPr>
                <w:rFonts w:asciiTheme="majorHAnsi" w:hAnsiTheme="majorHAnsi"/>
                <w:b/>
                <w:color w:val="FFFFFF" w:themeColor="background1"/>
                <w:sz w:val="20"/>
                <w:szCs w:val="20"/>
                <w:lang w:val="fr-CH"/>
              </w:rPr>
              <w:t>erie, industries extractives et</w:t>
            </w:r>
            <w:r w:rsidR="00E01336" w:rsidRPr="00030683">
              <w:rPr>
                <w:rFonts w:asciiTheme="majorHAnsi" w:hAnsiTheme="majorHAnsi"/>
                <w:b/>
                <w:color w:val="FFFFFF" w:themeColor="background1"/>
                <w:sz w:val="20"/>
                <w:szCs w:val="20"/>
                <w:lang w:val="fr-CH"/>
              </w:rPr>
              <w:t xml:space="preserve"> </w:t>
            </w:r>
            <w:r w:rsidR="0081604E" w:rsidRPr="00030683">
              <w:rPr>
                <w:rFonts w:asciiTheme="majorHAnsi" w:hAnsiTheme="majorHAnsi"/>
                <w:b/>
                <w:color w:val="FFFFFF" w:themeColor="background1"/>
                <w:sz w:val="20"/>
                <w:szCs w:val="20"/>
                <w:lang w:val="fr-CH"/>
              </w:rPr>
              <w:t>agriculture</w:t>
            </w:r>
            <w:bookmarkEnd w:id="7"/>
          </w:p>
        </w:tc>
      </w:tr>
    </w:tbl>
    <w:p w14:paraId="234632A7" w14:textId="77777777" w:rsidR="00914A1A" w:rsidRPr="001A00DB" w:rsidRDefault="00914A1A" w:rsidP="00914A1A">
      <w:pPr>
        <w:rPr>
          <w:rFonts w:asciiTheme="majorHAnsi" w:hAnsiTheme="majorHAnsi" w:cs="Arial"/>
          <w:sz w:val="20"/>
          <w:szCs w:val="20"/>
          <w:lang w:val="fr-FR"/>
        </w:rPr>
      </w:pPr>
    </w:p>
    <w:tbl>
      <w:tblPr>
        <w:tblStyle w:val="TableGrid22"/>
        <w:tblW w:w="5000" w:type="pct"/>
        <w:jc w:val="center"/>
        <w:tblLook w:val="04A0" w:firstRow="1" w:lastRow="0" w:firstColumn="1" w:lastColumn="0" w:noHBand="0" w:noVBand="1"/>
      </w:tblPr>
      <w:tblGrid>
        <w:gridCol w:w="3561"/>
        <w:gridCol w:w="10613"/>
      </w:tblGrid>
      <w:tr w:rsidR="00914A1A" w:rsidRPr="00E7362F" w14:paraId="54628828" w14:textId="77777777" w:rsidTr="00914A1A">
        <w:trPr>
          <w:jc w:val="center"/>
        </w:trPr>
        <w:tc>
          <w:tcPr>
            <w:tcW w:w="1256" w:type="pct"/>
          </w:tcPr>
          <w:p w14:paraId="5711FBF8" w14:textId="2F73851F" w:rsidR="00914A1A" w:rsidRPr="001A00DB" w:rsidRDefault="00A1768B" w:rsidP="00914A1A">
            <w:pPr>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Leader</w:t>
            </w:r>
            <w:r w:rsidR="00C139E4" w:rsidRPr="001A00DB">
              <w:rPr>
                <w:rFonts w:asciiTheme="majorHAnsi" w:eastAsia="Calibri" w:hAnsiTheme="majorHAnsi" w:cs="Arial"/>
                <w:sz w:val="20"/>
                <w:szCs w:val="20"/>
                <w:lang w:val="fr-FR"/>
              </w:rPr>
              <w:t>(s) de groupe de travail et participants :</w:t>
            </w:r>
          </w:p>
        </w:tc>
        <w:tc>
          <w:tcPr>
            <w:tcW w:w="3744" w:type="pct"/>
          </w:tcPr>
          <w:p w14:paraId="67FC47FC" w14:textId="33DA1D86" w:rsidR="00914A1A" w:rsidRPr="001A00DB" w:rsidRDefault="00DF0AF6" w:rsidP="00DF0AF6">
            <w:pPr>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 xml:space="preserve">Ruth Cromie, Peter Davies, </w:t>
            </w:r>
            <w:r w:rsidR="00914A1A" w:rsidRPr="001A00DB">
              <w:rPr>
                <w:rFonts w:asciiTheme="majorHAnsi" w:hAnsiTheme="majorHAnsi" w:cs="Arial"/>
                <w:b w:val="0"/>
                <w:sz w:val="20"/>
                <w:szCs w:val="20"/>
                <w:lang w:val="fr-FR"/>
              </w:rPr>
              <w:t>Roy</w:t>
            </w:r>
            <w:r w:rsidR="00E01336" w:rsidRPr="001A00DB">
              <w:rPr>
                <w:rFonts w:asciiTheme="majorHAnsi" w:hAnsiTheme="majorHAnsi" w:cs="Arial"/>
                <w:b w:val="0"/>
                <w:sz w:val="20"/>
                <w:szCs w:val="20"/>
                <w:lang w:val="fr-FR"/>
              </w:rPr>
              <w:t xml:space="preserve"> </w:t>
            </w:r>
            <w:r w:rsidR="00914A1A" w:rsidRPr="001A00DB">
              <w:rPr>
                <w:rFonts w:asciiTheme="majorHAnsi" w:hAnsiTheme="majorHAnsi" w:cs="Arial"/>
                <w:b w:val="0"/>
                <w:sz w:val="20"/>
                <w:szCs w:val="20"/>
                <w:lang w:val="fr-FR"/>
              </w:rPr>
              <w:t>Gardner,</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Max Finlayson, </w:t>
            </w:r>
            <w:r w:rsidR="00914A1A" w:rsidRPr="001A00DB">
              <w:rPr>
                <w:rFonts w:asciiTheme="majorHAnsi" w:hAnsiTheme="majorHAnsi" w:cs="Arial"/>
                <w:b w:val="0"/>
                <w:sz w:val="20"/>
                <w:szCs w:val="20"/>
                <w:lang w:val="fr-FR"/>
              </w:rPr>
              <w:t>Kassim</w:t>
            </w:r>
            <w:r w:rsidR="00E01336" w:rsidRPr="001A00DB">
              <w:rPr>
                <w:rFonts w:asciiTheme="majorHAnsi" w:hAnsiTheme="majorHAnsi" w:cs="Arial"/>
                <w:b w:val="0"/>
                <w:sz w:val="20"/>
                <w:szCs w:val="20"/>
                <w:lang w:val="fr-FR"/>
              </w:rPr>
              <w:t xml:space="preserve"> </w:t>
            </w:r>
            <w:r w:rsidR="00914A1A" w:rsidRPr="001A00DB">
              <w:rPr>
                <w:rFonts w:asciiTheme="majorHAnsi" w:hAnsiTheme="majorHAnsi" w:cs="Arial"/>
                <w:b w:val="0"/>
                <w:sz w:val="20"/>
                <w:szCs w:val="20"/>
                <w:lang w:val="fr-FR"/>
              </w:rPr>
              <w:t>Kulindwa,</w:t>
            </w:r>
            <w:r w:rsidR="00A41C65"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 xml:space="preserve">Laura Martinez (leader), </w:t>
            </w:r>
            <w:r w:rsidR="00A41C65" w:rsidRPr="001A00DB">
              <w:rPr>
                <w:rFonts w:asciiTheme="majorHAnsi" w:hAnsiTheme="majorHAnsi" w:cs="Arial"/>
                <w:b w:val="0"/>
                <w:sz w:val="20"/>
                <w:szCs w:val="20"/>
                <w:lang w:val="fr-FR"/>
              </w:rPr>
              <w:t>Dulce Infante Mata,</w:t>
            </w:r>
            <w:r w:rsidR="00E01336" w:rsidRPr="001A00DB">
              <w:rPr>
                <w:rFonts w:asciiTheme="majorHAnsi" w:hAnsiTheme="majorHAnsi" w:cs="Arial"/>
                <w:b w:val="0"/>
                <w:sz w:val="20"/>
                <w:szCs w:val="20"/>
                <w:lang w:val="fr-FR"/>
              </w:rPr>
              <w:t xml:space="preserve"> </w:t>
            </w:r>
            <w:r w:rsidR="00914A1A" w:rsidRPr="001A00DB">
              <w:rPr>
                <w:rFonts w:asciiTheme="majorHAnsi" w:hAnsiTheme="majorHAnsi" w:cs="Arial"/>
                <w:b w:val="0"/>
                <w:sz w:val="20"/>
                <w:szCs w:val="20"/>
                <w:lang w:val="fr-FR"/>
              </w:rPr>
              <w:t>Rubén</w:t>
            </w:r>
            <w:r w:rsidR="00E01336" w:rsidRPr="001A00DB">
              <w:rPr>
                <w:rFonts w:asciiTheme="majorHAnsi" w:hAnsiTheme="majorHAnsi" w:cs="Arial"/>
                <w:b w:val="0"/>
                <w:sz w:val="20"/>
                <w:szCs w:val="20"/>
                <w:lang w:val="fr-FR"/>
              </w:rPr>
              <w:t xml:space="preserve"> </w:t>
            </w:r>
            <w:r w:rsidR="00914A1A" w:rsidRPr="001A00DB">
              <w:rPr>
                <w:rFonts w:asciiTheme="majorHAnsi" w:hAnsiTheme="majorHAnsi" w:cs="Arial"/>
                <w:b w:val="0"/>
                <w:sz w:val="20"/>
                <w:szCs w:val="20"/>
                <w:lang w:val="fr-FR"/>
              </w:rPr>
              <w:t>Quintana</w:t>
            </w:r>
            <w:r w:rsidR="00E01336" w:rsidRPr="001A00DB">
              <w:rPr>
                <w:rFonts w:asciiTheme="majorHAnsi" w:hAnsiTheme="majorHAnsi" w:cs="Arial"/>
                <w:b w:val="0"/>
                <w:sz w:val="20"/>
                <w:szCs w:val="20"/>
                <w:lang w:val="fr-FR"/>
              </w:rPr>
              <w:t xml:space="preserve"> </w:t>
            </w:r>
          </w:p>
        </w:tc>
      </w:tr>
      <w:tr w:rsidR="00914A1A" w:rsidRPr="00E7362F" w14:paraId="580CF6E7" w14:textId="77777777" w:rsidTr="00914A1A">
        <w:trPr>
          <w:jc w:val="center"/>
        </w:trPr>
        <w:tc>
          <w:tcPr>
            <w:tcW w:w="1256" w:type="pct"/>
          </w:tcPr>
          <w:p w14:paraId="1CF010FB" w14:textId="05336323" w:rsidR="00914A1A" w:rsidRPr="001A00DB" w:rsidRDefault="00C139E4" w:rsidP="00914A1A">
            <w:pPr>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Organisations participantes : [OIP/observateurs/autres]</w:t>
            </w:r>
          </w:p>
        </w:tc>
        <w:tc>
          <w:tcPr>
            <w:tcW w:w="3744" w:type="pct"/>
          </w:tcPr>
          <w:p w14:paraId="40C81CFD" w14:textId="4CB10D13" w:rsidR="00914A1A" w:rsidRPr="001A00DB" w:rsidRDefault="00914A1A" w:rsidP="00DF0AF6">
            <w:pPr>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BirdLife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International</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(Zoltan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Waliczky),</w:t>
            </w:r>
            <w:r w:rsidR="00E01336" w:rsidRPr="001A00DB">
              <w:rPr>
                <w:rFonts w:asciiTheme="majorHAnsi" w:eastAsia="Calibri" w:hAnsiTheme="majorHAnsi" w:cs="Arial"/>
                <w:b w:val="0"/>
                <w:sz w:val="20"/>
                <w:szCs w:val="20"/>
                <w:lang w:val="fr-FR"/>
              </w:rPr>
              <w:t xml:space="preserve"> </w:t>
            </w:r>
            <w:r w:rsidR="0081604E" w:rsidRPr="001A00DB">
              <w:rPr>
                <w:rFonts w:asciiTheme="majorHAnsi" w:eastAsia="Calibri" w:hAnsiTheme="majorHAnsi" w:cs="Arial"/>
                <w:b w:val="0"/>
                <w:sz w:val="20"/>
                <w:szCs w:val="20"/>
                <w:lang w:val="fr-FR"/>
              </w:rPr>
              <w:t>UICN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(Stefano</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Barchiesi),</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IWMI</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(Sanjiv</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Silva),</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WWF</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International</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(Denis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Landenbergue,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Lifeng</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Li)/</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SWS</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(Nick</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Davidson),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UNESCO-IHE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(Anne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van</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Dam)/</w:t>
            </w:r>
            <w:r w:rsidR="0081604E" w:rsidRPr="001A00DB">
              <w:rPr>
                <w:rFonts w:asciiTheme="majorHAnsi" w:eastAsia="Calibri" w:hAnsiTheme="majorHAnsi" w:cs="Arial"/>
                <w:b w:val="0"/>
                <w:sz w:val="20"/>
                <w:szCs w:val="20"/>
                <w:lang w:val="fr-FR"/>
              </w:rPr>
              <w:t>CN GEST Malaisie</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w:t>
            </w:r>
            <w:r w:rsidRPr="001A00DB">
              <w:rPr>
                <w:rFonts w:asciiTheme="majorHAnsi" w:hAnsiTheme="majorHAnsi" w:cs="Arial"/>
                <w:b w:val="0"/>
                <w:sz w:val="20"/>
                <w:szCs w:val="20"/>
                <w:lang w:val="fr-FR"/>
              </w:rPr>
              <w:t>Abdullah</w:t>
            </w:r>
            <w:r w:rsidR="00E01336"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Rahman</w:t>
            </w:r>
            <w:r w:rsidR="00DF0AF6" w:rsidRPr="001A00DB">
              <w:rPr>
                <w:rFonts w:asciiTheme="majorHAnsi" w:hAnsiTheme="majorHAnsi" w:cs="Arial"/>
                <w:b w:val="0"/>
                <w:sz w:val="20"/>
                <w:szCs w:val="20"/>
                <w:lang w:val="fr-FR"/>
              </w:rPr>
              <w:t xml:space="preserve"> Kassim</w:t>
            </w:r>
            <w:r w:rsidRPr="001A00DB">
              <w:rPr>
                <w:rFonts w:asciiTheme="majorHAnsi" w:hAnsiTheme="majorHAnsi" w:cs="Arial"/>
                <w:b w:val="0"/>
                <w:sz w:val="20"/>
                <w:szCs w:val="20"/>
                <w:lang w:val="fr-FR"/>
              </w:rPr>
              <w:t>)</w:t>
            </w:r>
          </w:p>
        </w:tc>
      </w:tr>
    </w:tbl>
    <w:p w14:paraId="0468EE1D" w14:textId="77777777" w:rsidR="00914A1A" w:rsidRPr="001A00DB" w:rsidRDefault="00914A1A" w:rsidP="00914A1A">
      <w:pPr>
        <w:rPr>
          <w:rFonts w:asciiTheme="majorHAnsi" w:hAnsiTheme="majorHAnsi" w:cs="Arial"/>
          <w:sz w:val="20"/>
          <w:szCs w:val="20"/>
          <w:lang w:val="fr-FR"/>
        </w:rPr>
      </w:pPr>
    </w:p>
    <w:tbl>
      <w:tblPr>
        <w:tblStyle w:val="TableGrid3"/>
        <w:tblW w:w="5030" w:type="pct"/>
        <w:tblInd w:w="-85" w:type="dxa"/>
        <w:tblLayout w:type="fixed"/>
        <w:tblCellMar>
          <w:top w:w="57" w:type="dxa"/>
          <w:left w:w="57" w:type="dxa"/>
          <w:bottom w:w="57" w:type="dxa"/>
          <w:right w:w="57" w:type="dxa"/>
        </w:tblCellMar>
        <w:tblLook w:val="04A0" w:firstRow="1" w:lastRow="0" w:firstColumn="1" w:lastColumn="0" w:noHBand="0" w:noVBand="1"/>
      </w:tblPr>
      <w:tblGrid>
        <w:gridCol w:w="1452"/>
        <w:gridCol w:w="849"/>
        <w:gridCol w:w="1019"/>
        <w:gridCol w:w="1099"/>
        <w:gridCol w:w="8338"/>
        <w:gridCol w:w="1399"/>
      </w:tblGrid>
      <w:tr w:rsidR="00E01336" w:rsidRPr="001A00DB" w14:paraId="1580BDD2" w14:textId="77777777" w:rsidTr="00C139E4">
        <w:trPr>
          <w:tblHeader/>
        </w:trPr>
        <w:tc>
          <w:tcPr>
            <w:tcW w:w="513" w:type="pct"/>
            <w:shd w:val="clear" w:color="auto" w:fill="D9D9D9" w:themeFill="background1" w:themeFillShade="D9"/>
          </w:tcPr>
          <w:p w14:paraId="4A00CA4A" w14:textId="6B73AD73" w:rsidR="00914A1A" w:rsidRPr="001A00DB" w:rsidRDefault="00C139E4"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N</w:t>
            </w:r>
            <w:r w:rsidRPr="001A00DB">
              <w:rPr>
                <w:rFonts w:asciiTheme="majorHAnsi" w:hAnsiTheme="majorHAnsi" w:cs="Arial"/>
                <w:sz w:val="20"/>
                <w:szCs w:val="20"/>
                <w:vertAlign w:val="superscript"/>
                <w:lang w:val="fr-FR"/>
              </w:rPr>
              <w:t>o</w:t>
            </w:r>
            <w:r w:rsidRPr="001A00DB">
              <w:rPr>
                <w:rFonts w:asciiTheme="majorHAnsi" w:hAnsiTheme="majorHAnsi" w:cs="Arial"/>
                <w:sz w:val="20"/>
                <w:szCs w:val="20"/>
                <w:lang w:val="fr-FR"/>
              </w:rPr>
              <w:t xml:space="preserve"> de tâche, titre</w:t>
            </w:r>
          </w:p>
        </w:tc>
        <w:tc>
          <w:tcPr>
            <w:tcW w:w="300" w:type="pct"/>
            <w:shd w:val="clear" w:color="auto" w:fill="D9D9D9" w:themeFill="background1" w:themeFillShade="D9"/>
          </w:tcPr>
          <w:p w14:paraId="1B5D4B15" w14:textId="456841CD" w:rsidR="00914A1A" w:rsidRPr="001A00DB" w:rsidRDefault="00C139E4"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Priorité</w:t>
            </w:r>
          </w:p>
        </w:tc>
        <w:tc>
          <w:tcPr>
            <w:tcW w:w="360" w:type="pct"/>
            <w:shd w:val="clear" w:color="auto" w:fill="D9D9D9" w:themeFill="background1" w:themeFillShade="D9"/>
          </w:tcPr>
          <w:p w14:paraId="65162211" w14:textId="675702E5" w:rsidR="00914A1A" w:rsidRPr="001A00DB" w:rsidRDefault="00C139E4"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Résolution</w:t>
            </w:r>
          </w:p>
        </w:tc>
        <w:tc>
          <w:tcPr>
            <w:tcW w:w="388" w:type="pct"/>
            <w:shd w:val="clear" w:color="auto" w:fill="D9D9D9" w:themeFill="background1" w:themeFillShade="D9"/>
          </w:tcPr>
          <w:p w14:paraId="1D25E448" w14:textId="5EDAD656" w:rsidR="00914A1A" w:rsidRPr="001A00DB" w:rsidRDefault="00C139E4" w:rsidP="00914A1A">
            <w:pPr>
              <w:jc w:val="center"/>
              <w:rPr>
                <w:rFonts w:asciiTheme="majorHAnsi" w:hAnsiTheme="majorHAnsi" w:cs="Arial"/>
                <w:sz w:val="20"/>
                <w:szCs w:val="20"/>
                <w:lang w:val="fr-FR"/>
              </w:rPr>
            </w:pPr>
            <w:r w:rsidRPr="001A00DB">
              <w:rPr>
                <w:rFonts w:asciiTheme="majorHAnsi" w:eastAsia="Calibri" w:hAnsiTheme="majorHAnsi" w:cs="Arial"/>
                <w:sz w:val="20"/>
                <w:szCs w:val="20"/>
                <w:lang w:val="fr-FR"/>
              </w:rPr>
              <w:t>But et objectif PS</w:t>
            </w:r>
          </w:p>
        </w:tc>
        <w:tc>
          <w:tcPr>
            <w:tcW w:w="2945" w:type="pct"/>
            <w:shd w:val="clear" w:color="auto" w:fill="D9D9D9" w:themeFill="background1" w:themeFillShade="D9"/>
          </w:tcPr>
          <w:p w14:paraId="51B36C88" w14:textId="1185AAAA" w:rsidR="00914A1A" w:rsidRPr="001A00DB" w:rsidRDefault="00C139E4"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Description de tâche, public ciblé et résultats escomptés</w:t>
            </w:r>
          </w:p>
        </w:tc>
        <w:tc>
          <w:tcPr>
            <w:tcW w:w="494" w:type="pct"/>
            <w:shd w:val="clear" w:color="auto" w:fill="D9D9D9" w:themeFill="background1" w:themeFillShade="D9"/>
          </w:tcPr>
          <w:p w14:paraId="6B577718" w14:textId="7EEA8197" w:rsidR="00914A1A" w:rsidRPr="001A00DB" w:rsidRDefault="00C139E4"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Coûts</w:t>
            </w:r>
            <w:r w:rsidR="00E01336" w:rsidRPr="001A00DB">
              <w:rPr>
                <w:rFonts w:asciiTheme="majorHAnsi" w:hAnsiTheme="majorHAnsi" w:cs="Arial"/>
                <w:sz w:val="20"/>
                <w:szCs w:val="20"/>
                <w:lang w:val="fr-FR"/>
              </w:rPr>
              <w:t xml:space="preserve"> </w:t>
            </w:r>
            <w:r w:rsidR="00914A1A" w:rsidRPr="001A00DB">
              <w:rPr>
                <w:rFonts w:asciiTheme="majorHAnsi" w:hAnsiTheme="majorHAnsi" w:cs="Arial"/>
                <w:sz w:val="20"/>
                <w:szCs w:val="20"/>
                <w:lang w:val="fr-FR"/>
              </w:rPr>
              <w:t>CHF</w:t>
            </w:r>
          </w:p>
        </w:tc>
      </w:tr>
      <w:tr w:rsidR="00E01336" w:rsidRPr="00E7362F" w14:paraId="610EAD5E" w14:textId="77777777" w:rsidTr="00C139E4">
        <w:tc>
          <w:tcPr>
            <w:tcW w:w="513" w:type="pct"/>
          </w:tcPr>
          <w:p w14:paraId="06FEDC90" w14:textId="39D1B6A6" w:rsidR="00914A1A" w:rsidRPr="001A00DB" w:rsidRDefault="00914A1A" w:rsidP="007247E2">
            <w:pPr>
              <w:rPr>
                <w:rFonts w:asciiTheme="majorHAnsi" w:hAnsiTheme="majorHAnsi" w:cs="Arial"/>
                <w:b w:val="0"/>
                <w:sz w:val="20"/>
                <w:szCs w:val="20"/>
                <w:lang w:val="fr-FR"/>
              </w:rPr>
            </w:pPr>
            <w:r w:rsidRPr="001A00DB">
              <w:rPr>
                <w:rFonts w:asciiTheme="majorHAnsi" w:hAnsiTheme="majorHAnsi" w:cs="Arial"/>
                <w:b w:val="0"/>
                <w:sz w:val="20"/>
                <w:szCs w:val="20"/>
                <w:lang w:val="fr-FR"/>
              </w:rPr>
              <w:t>4.1</w:t>
            </w:r>
            <w:r w:rsidR="00E01336" w:rsidRPr="001A00DB">
              <w:rPr>
                <w:rFonts w:asciiTheme="majorHAnsi" w:hAnsiTheme="majorHAnsi" w:cs="Arial"/>
                <w:b w:val="0"/>
                <w:sz w:val="20"/>
                <w:szCs w:val="20"/>
                <w:lang w:val="fr-FR"/>
              </w:rPr>
              <w:t xml:space="preserve"> </w:t>
            </w:r>
            <w:r w:rsidR="0081604E" w:rsidRPr="001A00DB">
              <w:rPr>
                <w:rFonts w:asciiTheme="majorHAnsi" w:hAnsiTheme="majorHAnsi" w:cs="Arial"/>
                <w:b w:val="0"/>
                <w:sz w:val="20"/>
                <w:szCs w:val="20"/>
                <w:lang w:val="fr-FR"/>
              </w:rPr>
              <w:t xml:space="preserve">Besoins en eau </w:t>
            </w:r>
            <w:r w:rsidR="007247E2" w:rsidRPr="001A00DB">
              <w:rPr>
                <w:rFonts w:asciiTheme="majorHAnsi" w:hAnsiTheme="majorHAnsi" w:cs="Arial"/>
                <w:b w:val="0"/>
                <w:sz w:val="20"/>
                <w:szCs w:val="20"/>
                <w:lang w:val="fr-FR"/>
              </w:rPr>
              <w:t>des</w:t>
            </w:r>
            <w:r w:rsidR="0081604E" w:rsidRPr="001A00DB">
              <w:rPr>
                <w:rFonts w:asciiTheme="majorHAnsi" w:hAnsiTheme="majorHAnsi" w:cs="Arial"/>
                <w:b w:val="0"/>
                <w:sz w:val="20"/>
                <w:szCs w:val="20"/>
                <w:lang w:val="fr-FR"/>
              </w:rPr>
              <w:t xml:space="preserve"> zones humides</w:t>
            </w:r>
          </w:p>
        </w:tc>
        <w:tc>
          <w:tcPr>
            <w:tcW w:w="300" w:type="pct"/>
          </w:tcPr>
          <w:p w14:paraId="7A60276C" w14:textId="69AAF5B6" w:rsidR="00914A1A" w:rsidRPr="001A00DB" w:rsidRDefault="001033D8"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Haute</w:t>
            </w:r>
          </w:p>
        </w:tc>
        <w:tc>
          <w:tcPr>
            <w:tcW w:w="360" w:type="pct"/>
          </w:tcPr>
          <w:p w14:paraId="55D55364" w14:textId="7D29E77C" w:rsidR="00914A1A" w:rsidRPr="001A00DB" w:rsidRDefault="00914A1A"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XII.12</w:t>
            </w:r>
            <w:r w:rsidR="00D60BFE" w:rsidRPr="001A00DB">
              <w:rPr>
                <w:rFonts w:asciiTheme="majorHAnsi" w:hAnsiTheme="majorHAnsi" w:cs="Arial"/>
                <w:b w:val="0"/>
                <w:sz w:val="20"/>
                <w:szCs w:val="20"/>
                <w:lang w:val="fr-FR"/>
              </w:rPr>
              <w:t xml:space="preserve">, </w:t>
            </w:r>
            <w:r w:rsidR="00D60BFE" w:rsidRPr="001A00DB">
              <w:rPr>
                <w:rFonts w:ascii="Calibri" w:hAnsi="Calibri" w:cs="Arial"/>
                <w:b w:val="0"/>
                <w:sz w:val="20"/>
                <w:szCs w:val="20"/>
                <w:lang w:val="fr-FR"/>
              </w:rPr>
              <w:t>¶</w:t>
            </w:r>
            <w:r w:rsidR="00D60BFE" w:rsidRPr="001A00DB">
              <w:rPr>
                <w:rFonts w:asciiTheme="majorHAnsi" w:hAnsiTheme="majorHAnsi" w:cs="Arial"/>
                <w:b w:val="0"/>
                <w:sz w:val="20"/>
                <w:szCs w:val="20"/>
                <w:lang w:val="fr-FR"/>
              </w:rPr>
              <w:t xml:space="preserve"> 24</w:t>
            </w:r>
          </w:p>
        </w:tc>
        <w:tc>
          <w:tcPr>
            <w:tcW w:w="388" w:type="pct"/>
          </w:tcPr>
          <w:p w14:paraId="73ED1897" w14:textId="315D104C" w:rsidR="00914A1A" w:rsidRPr="001A00DB" w:rsidRDefault="00D60BFE"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1.1, 1.2, 1.3; 2.5; 3.8, 3.9, 3.11, 3.12, 3.13; 4.14</w:t>
            </w:r>
          </w:p>
        </w:tc>
        <w:tc>
          <w:tcPr>
            <w:tcW w:w="2945" w:type="pct"/>
          </w:tcPr>
          <w:p w14:paraId="25236FA8" w14:textId="54A48D0E"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81604E" w:rsidRPr="001A00DB">
              <w:rPr>
                <w:rFonts w:asciiTheme="majorHAnsi" w:hAnsiTheme="majorHAnsi" w:cs="Arial"/>
                <w:b w:val="0"/>
                <w:sz w:val="20"/>
                <w:szCs w:val="20"/>
                <w:lang w:val="fr-FR"/>
              </w:rPr>
              <w:t xml:space="preserve">Élaborer un rapport technique </w:t>
            </w:r>
            <w:r w:rsidR="008E6B37" w:rsidRPr="001A00DB">
              <w:rPr>
                <w:rFonts w:asciiTheme="majorHAnsi" w:hAnsiTheme="majorHAnsi" w:cs="Arial"/>
                <w:b w:val="0"/>
                <w:sz w:val="20"/>
                <w:szCs w:val="20"/>
                <w:lang w:val="fr-FR"/>
              </w:rPr>
              <w:t xml:space="preserve">conjoint avec le WWF, </w:t>
            </w:r>
            <w:r w:rsidR="00485A40" w:rsidRPr="001A00DB">
              <w:rPr>
                <w:rFonts w:asciiTheme="majorHAnsi" w:hAnsiTheme="majorHAnsi" w:cs="Arial"/>
                <w:b w:val="0"/>
                <w:sz w:val="20"/>
                <w:szCs w:val="20"/>
                <w:lang w:val="fr-FR"/>
              </w:rPr>
              <w:t xml:space="preserve">qui traitera des approches d’évaluation des besoins en eau des zones humides et des moyens de </w:t>
            </w:r>
            <w:r w:rsidR="00B40EED" w:rsidRPr="001A00DB">
              <w:rPr>
                <w:rFonts w:asciiTheme="majorHAnsi" w:hAnsiTheme="majorHAnsi" w:cs="Arial"/>
                <w:b w:val="0"/>
                <w:sz w:val="20"/>
                <w:szCs w:val="20"/>
                <w:lang w:val="fr-FR"/>
              </w:rPr>
              <w:t>définir</w:t>
            </w:r>
            <w:r w:rsidR="00485A40" w:rsidRPr="001A00DB">
              <w:rPr>
                <w:rFonts w:asciiTheme="majorHAnsi" w:hAnsiTheme="majorHAnsi" w:cs="Arial"/>
                <w:b w:val="0"/>
                <w:sz w:val="20"/>
                <w:szCs w:val="20"/>
                <w:lang w:val="fr-FR"/>
              </w:rPr>
              <w:t xml:space="preserve"> et d’appliquer des stratégies et outils pour déterminer et attribuer l’eau aux zones humides</w:t>
            </w:r>
            <w:r w:rsidR="0068412C" w:rsidRPr="001A00DB">
              <w:rPr>
                <w:rFonts w:asciiTheme="majorHAnsi" w:hAnsiTheme="majorHAnsi" w:cs="Arial"/>
                <w:b w:val="0"/>
                <w:sz w:val="20"/>
                <w:szCs w:val="20"/>
                <w:lang w:val="fr-FR"/>
              </w:rPr>
              <w:t>, par exemple de maintenir l’équilibre entre les besoins des zones humides et ceux de l’industrie</w:t>
            </w:r>
            <w:r w:rsidR="00224C7A">
              <w:rPr>
                <w:rFonts w:asciiTheme="majorHAnsi" w:hAnsiTheme="majorHAnsi" w:cs="Arial"/>
                <w:b w:val="0"/>
                <w:sz w:val="20"/>
                <w:szCs w:val="20"/>
                <w:lang w:val="fr-FR"/>
              </w:rPr>
              <w:t xml:space="preserve"> et les industries extractifs</w:t>
            </w:r>
            <w:r w:rsidR="00485A40" w:rsidRPr="001A00DB">
              <w:rPr>
                <w:rFonts w:asciiTheme="majorHAnsi" w:hAnsiTheme="majorHAnsi" w:cs="Arial"/>
                <w:b w:val="0"/>
                <w:sz w:val="20"/>
                <w:szCs w:val="20"/>
                <w:lang w:val="fr-FR"/>
              </w:rPr>
              <w:t>. Il comprendra aussi des approches pour l’élaboration d’un programme de suivi des besoins en eau des zones humides. Le Rapport technique Ramsar tiendra compte de l’expérience du Mexique en matière d’établissement de réserves d’eau</w:t>
            </w:r>
            <w:r w:rsidR="00D60BFE" w:rsidRPr="001A00DB">
              <w:rPr>
                <w:rFonts w:asciiTheme="majorHAnsi" w:hAnsiTheme="majorHAnsi" w:cs="Arial"/>
                <w:b w:val="0"/>
                <w:sz w:val="20"/>
                <w:szCs w:val="20"/>
                <w:lang w:val="fr-FR"/>
              </w:rPr>
              <w:t xml:space="preserve">, </w:t>
            </w:r>
            <w:r w:rsidR="00485A40" w:rsidRPr="001A00DB">
              <w:rPr>
                <w:rFonts w:asciiTheme="majorHAnsi" w:hAnsiTheme="majorHAnsi" w:cs="Arial"/>
                <w:b w:val="0"/>
                <w:sz w:val="20"/>
                <w:szCs w:val="20"/>
                <w:lang w:val="fr-FR"/>
              </w:rPr>
              <w:t xml:space="preserve">des expériences de la Chine, de l’Australie, de l’Afrique du Sud, du Kenya et des pays membres de l’Union européenne concernant la création de plans d’aménagement des bassins hydrographiques, et </w:t>
            </w:r>
            <w:r w:rsidR="00B40EED" w:rsidRPr="001A00DB">
              <w:rPr>
                <w:rFonts w:asciiTheme="majorHAnsi" w:hAnsiTheme="majorHAnsi" w:cs="Arial"/>
                <w:b w:val="0"/>
                <w:sz w:val="20"/>
                <w:szCs w:val="20"/>
                <w:lang w:val="fr-FR"/>
              </w:rPr>
              <w:t xml:space="preserve">de </w:t>
            </w:r>
            <w:r w:rsidR="00485A40" w:rsidRPr="001A00DB">
              <w:rPr>
                <w:rFonts w:asciiTheme="majorHAnsi" w:hAnsiTheme="majorHAnsi" w:cs="Arial"/>
                <w:b w:val="0"/>
                <w:sz w:val="20"/>
                <w:szCs w:val="20"/>
                <w:lang w:val="fr-FR"/>
              </w:rPr>
              <w:t>l’expérience des États</w:t>
            </w:r>
            <w:r w:rsidR="00485A40" w:rsidRPr="001A00DB">
              <w:rPr>
                <w:rFonts w:asciiTheme="majorHAnsi" w:hAnsiTheme="majorHAnsi" w:cs="Arial"/>
                <w:b w:val="0"/>
                <w:sz w:val="20"/>
                <w:szCs w:val="20"/>
                <w:lang w:val="fr-FR"/>
              </w:rPr>
              <w:noBreakHyphen/>
              <w:t xml:space="preserve">Unis d’Amérique concernant la gestion des barrages. Un document d’orientation fournissant des options pour intégrer les besoins en eau des zones humides dans les politiques/plans nationaux sectoriels et les plans d’aménagement des bassins hydrographiques (sachant que ces approches sont spécifiques au contexte national). </w:t>
            </w:r>
          </w:p>
          <w:p w14:paraId="5B7F34DB" w14:textId="77777777" w:rsidR="00914A1A" w:rsidRPr="001A00DB" w:rsidRDefault="00914A1A" w:rsidP="00914A1A">
            <w:pPr>
              <w:rPr>
                <w:rFonts w:asciiTheme="majorHAnsi" w:hAnsiTheme="majorHAnsi" w:cs="Arial"/>
                <w:b w:val="0"/>
                <w:sz w:val="20"/>
                <w:szCs w:val="20"/>
                <w:lang w:val="fr-FR"/>
              </w:rPr>
            </w:pPr>
          </w:p>
          <w:p w14:paraId="4EAC69FA" w14:textId="0B45CDB9"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xml:space="preserve"> : </w:t>
            </w:r>
          </w:p>
          <w:p w14:paraId="385B66D2" w14:textId="0FF1F798" w:rsidR="00D60BFE" w:rsidRPr="001A00DB" w:rsidRDefault="00D60BFE" w:rsidP="00D60BFE">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1) </w:t>
            </w:r>
            <w:r w:rsidR="00485A40" w:rsidRPr="001A00DB">
              <w:rPr>
                <w:rFonts w:asciiTheme="majorHAnsi" w:hAnsiTheme="majorHAnsi" w:cs="Arial"/>
                <w:b w:val="0"/>
                <w:sz w:val="20"/>
                <w:szCs w:val="20"/>
                <w:lang w:val="fr-FR"/>
              </w:rPr>
              <w:t xml:space="preserve">Rapport technique pour les praticiens sur l’évaluation et l’application des besoins en eau des zones humides; et </w:t>
            </w:r>
          </w:p>
          <w:p w14:paraId="2584624E" w14:textId="77777777" w:rsidR="00D60BFE" w:rsidRPr="001A00DB" w:rsidRDefault="00D60BFE" w:rsidP="00D60BFE">
            <w:pPr>
              <w:rPr>
                <w:rFonts w:asciiTheme="majorHAnsi" w:hAnsiTheme="majorHAnsi" w:cs="Arial"/>
                <w:b w:val="0"/>
                <w:sz w:val="20"/>
                <w:szCs w:val="20"/>
                <w:lang w:val="fr-FR"/>
              </w:rPr>
            </w:pPr>
          </w:p>
          <w:p w14:paraId="293A01B2" w14:textId="0655AB35" w:rsidR="00914A1A" w:rsidRPr="001A00DB" w:rsidRDefault="00D60BFE" w:rsidP="00D60BFE">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2) </w:t>
            </w:r>
            <w:r w:rsidR="00485A40" w:rsidRPr="001A00DB">
              <w:rPr>
                <w:rFonts w:asciiTheme="majorHAnsi" w:hAnsiTheme="majorHAnsi" w:cs="Arial"/>
                <w:b w:val="0"/>
                <w:sz w:val="20"/>
                <w:szCs w:val="20"/>
                <w:lang w:val="fr-FR"/>
              </w:rPr>
              <w:t xml:space="preserve">Document d’orientation sur l’intégration des besoins en eau des zones humides dans les plans/politiques nationaux et les plans d’aménagement des bassins hydrographiques. </w:t>
            </w:r>
          </w:p>
          <w:p w14:paraId="6155629D" w14:textId="77777777" w:rsidR="00D60BFE" w:rsidRPr="001A00DB" w:rsidRDefault="00D60BFE" w:rsidP="00D60BFE">
            <w:pPr>
              <w:rPr>
                <w:rFonts w:asciiTheme="majorHAnsi" w:hAnsiTheme="majorHAnsi" w:cs="Arial"/>
                <w:b w:val="0"/>
                <w:sz w:val="20"/>
                <w:szCs w:val="20"/>
                <w:lang w:val="fr-FR"/>
              </w:rPr>
            </w:pPr>
          </w:p>
          <w:p w14:paraId="430FC6EB" w14:textId="50B43D56" w:rsidR="00914A1A" w:rsidRPr="001A00DB" w:rsidRDefault="00931645" w:rsidP="0081604E">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81604E" w:rsidRPr="001A00DB">
              <w:rPr>
                <w:rFonts w:asciiTheme="majorHAnsi" w:hAnsiTheme="majorHAnsi" w:cs="Arial"/>
                <w:b w:val="0"/>
                <w:sz w:val="20"/>
                <w:szCs w:val="20"/>
                <w:lang w:val="fr-FR"/>
              </w:rPr>
              <w:t xml:space="preserve">Décideurs et praticiens </w:t>
            </w:r>
            <w:r w:rsidR="00185310" w:rsidRPr="001A00DB">
              <w:rPr>
                <w:rFonts w:asciiTheme="majorHAnsi" w:hAnsiTheme="majorHAnsi" w:cs="Arial"/>
                <w:b w:val="0"/>
                <w:sz w:val="20"/>
                <w:szCs w:val="20"/>
                <w:lang w:val="fr-FR"/>
              </w:rPr>
              <w:t>(administrateurs de zones humides)</w:t>
            </w:r>
            <w:r w:rsidR="00485A40" w:rsidRPr="001A00DB">
              <w:rPr>
                <w:rFonts w:asciiTheme="majorHAnsi" w:hAnsiTheme="majorHAnsi" w:cs="Arial"/>
                <w:b w:val="0"/>
                <w:sz w:val="20"/>
                <w:szCs w:val="20"/>
                <w:lang w:val="fr-FR"/>
              </w:rPr>
              <w:t xml:space="preserve"> </w:t>
            </w:r>
            <w:r w:rsidR="0081604E" w:rsidRPr="001A00DB">
              <w:rPr>
                <w:rFonts w:asciiTheme="majorHAnsi" w:hAnsiTheme="majorHAnsi" w:cs="Arial"/>
                <w:b w:val="0"/>
                <w:sz w:val="20"/>
                <w:szCs w:val="20"/>
                <w:lang w:val="fr-FR"/>
              </w:rPr>
              <w:t xml:space="preserve">aux niveaux national, du bassin </w:t>
            </w:r>
            <w:r w:rsidR="008E6B37" w:rsidRPr="001A00DB">
              <w:rPr>
                <w:rFonts w:asciiTheme="majorHAnsi" w:hAnsiTheme="majorHAnsi" w:cs="Arial"/>
                <w:b w:val="0"/>
                <w:sz w:val="20"/>
                <w:szCs w:val="20"/>
                <w:lang w:val="fr-FR"/>
              </w:rPr>
              <w:t xml:space="preserve">versant </w:t>
            </w:r>
            <w:r w:rsidR="0081604E" w:rsidRPr="001A00DB">
              <w:rPr>
                <w:rFonts w:asciiTheme="majorHAnsi" w:hAnsiTheme="majorHAnsi" w:cs="Arial"/>
                <w:b w:val="0"/>
                <w:sz w:val="20"/>
                <w:szCs w:val="20"/>
                <w:lang w:val="fr-FR"/>
              </w:rPr>
              <w:t xml:space="preserve">et local. </w:t>
            </w:r>
          </w:p>
        </w:tc>
        <w:tc>
          <w:tcPr>
            <w:tcW w:w="494" w:type="pct"/>
          </w:tcPr>
          <w:p w14:paraId="2CFF4969" w14:textId="0F2564A0" w:rsidR="00D60BFE" w:rsidRPr="001A00DB" w:rsidRDefault="0068412C" w:rsidP="00B73ABF">
            <w:pPr>
              <w:rPr>
                <w:rFonts w:asciiTheme="majorHAnsi" w:hAnsiTheme="majorHAnsi" w:cs="Arial"/>
                <w:b w:val="0"/>
                <w:sz w:val="20"/>
                <w:szCs w:val="20"/>
                <w:lang w:val="fr-FR"/>
              </w:rPr>
            </w:pPr>
            <w:r w:rsidRPr="001A00DB">
              <w:rPr>
                <w:rFonts w:asciiTheme="majorHAnsi" w:hAnsiTheme="majorHAnsi" w:cs="Arial"/>
                <w:b w:val="0"/>
                <w:sz w:val="20"/>
                <w:szCs w:val="20"/>
                <w:lang w:val="fr-FR"/>
              </w:rPr>
              <w:t>Jusqu’à 9000 (pour le document d’orientation)</w:t>
            </w:r>
            <w:r w:rsidR="00D60BFE" w:rsidRPr="001A00DB">
              <w:rPr>
                <w:rFonts w:asciiTheme="majorHAnsi" w:hAnsiTheme="majorHAnsi" w:cs="Arial"/>
                <w:b w:val="0"/>
                <w:sz w:val="20"/>
                <w:szCs w:val="20"/>
                <w:lang w:val="fr-FR"/>
              </w:rPr>
              <w:t>.</w:t>
            </w:r>
          </w:p>
          <w:p w14:paraId="2892190E" w14:textId="77777777" w:rsidR="0068412C" w:rsidRPr="001A00DB" w:rsidRDefault="0068412C" w:rsidP="00B73ABF">
            <w:pPr>
              <w:rPr>
                <w:rFonts w:asciiTheme="majorHAnsi" w:hAnsiTheme="majorHAnsi" w:cs="Arial"/>
                <w:b w:val="0"/>
                <w:sz w:val="20"/>
                <w:szCs w:val="20"/>
                <w:lang w:val="fr-FR"/>
              </w:rPr>
            </w:pPr>
          </w:p>
          <w:p w14:paraId="03B8BBF1" w14:textId="23463DB3" w:rsidR="00914A1A" w:rsidRPr="001A00DB" w:rsidRDefault="00D60BFE" w:rsidP="00D60BFE">
            <w:pPr>
              <w:rPr>
                <w:rFonts w:asciiTheme="majorHAnsi" w:hAnsiTheme="majorHAnsi" w:cs="Arial"/>
                <w:b w:val="0"/>
                <w:sz w:val="20"/>
                <w:szCs w:val="20"/>
                <w:lang w:val="fr-FR"/>
              </w:rPr>
            </w:pPr>
            <w:r w:rsidRPr="001A00DB">
              <w:rPr>
                <w:rFonts w:asciiTheme="majorHAnsi" w:hAnsiTheme="majorHAnsi" w:cs="Arial"/>
                <w:b w:val="0"/>
                <w:sz w:val="22"/>
                <w:szCs w:val="22"/>
                <w:lang w:val="fr-FR"/>
              </w:rPr>
              <w:t>[</w:t>
            </w:r>
            <w:r w:rsidRPr="001A00DB">
              <w:rPr>
                <w:rFonts w:asciiTheme="majorHAnsi" w:hAnsiTheme="majorHAnsi" w:cs="Arial"/>
                <w:b w:val="0"/>
                <w:sz w:val="20"/>
                <w:szCs w:val="20"/>
                <w:lang w:val="fr-FR"/>
              </w:rPr>
              <w:t>100 000 fournis par le WWF</w:t>
            </w:r>
            <w:r w:rsidR="001033D8" w:rsidRPr="001A00DB">
              <w:rPr>
                <w:rFonts w:asciiTheme="majorHAnsi" w:hAnsiTheme="majorHAnsi" w:cs="Arial"/>
                <w:b w:val="0"/>
                <w:sz w:val="20"/>
                <w:szCs w:val="20"/>
                <w:lang w:val="fr-FR"/>
              </w:rPr>
              <w:t xml:space="preserve"> pour le rapport technique conjoint</w:t>
            </w:r>
            <w:r w:rsidRPr="001A00DB">
              <w:rPr>
                <w:rFonts w:asciiTheme="majorHAnsi" w:hAnsiTheme="majorHAnsi" w:cs="Arial"/>
                <w:b w:val="0"/>
                <w:sz w:val="20"/>
                <w:szCs w:val="20"/>
                <w:lang w:val="fr-FR"/>
              </w:rPr>
              <w:t>]</w:t>
            </w:r>
          </w:p>
        </w:tc>
      </w:tr>
      <w:tr w:rsidR="00E01336" w:rsidRPr="00E7362F" w14:paraId="177C3061" w14:textId="77777777" w:rsidTr="00C139E4">
        <w:tc>
          <w:tcPr>
            <w:tcW w:w="513" w:type="pct"/>
          </w:tcPr>
          <w:p w14:paraId="0B1DDE6C" w14:textId="3A32873A" w:rsidR="00914A1A" w:rsidRPr="001A00DB" w:rsidRDefault="00914A1A" w:rsidP="00B81559">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4.2</w:t>
            </w:r>
            <w:r w:rsidR="00E01336" w:rsidRPr="001A00DB">
              <w:rPr>
                <w:rFonts w:asciiTheme="majorHAnsi" w:hAnsiTheme="majorHAnsi" w:cs="Arial"/>
                <w:b w:val="0"/>
                <w:sz w:val="20"/>
                <w:szCs w:val="20"/>
                <w:lang w:val="fr-FR"/>
              </w:rPr>
              <w:t xml:space="preserve"> </w:t>
            </w:r>
            <w:r w:rsidR="0081604E" w:rsidRPr="001A00DB">
              <w:rPr>
                <w:rFonts w:asciiTheme="majorHAnsi" w:hAnsiTheme="majorHAnsi" w:cs="Arial"/>
                <w:b w:val="0"/>
                <w:sz w:val="20"/>
                <w:szCs w:val="20"/>
                <w:lang w:val="fr-FR"/>
              </w:rPr>
              <w:t>Examen et analyse des rapports de</w:t>
            </w:r>
            <w:r w:rsidR="00485A40" w:rsidRPr="001A00DB">
              <w:rPr>
                <w:rFonts w:asciiTheme="majorHAnsi" w:hAnsiTheme="majorHAnsi" w:cs="Arial"/>
                <w:b w:val="0"/>
                <w:sz w:val="20"/>
                <w:szCs w:val="20"/>
                <w:lang w:val="fr-FR"/>
              </w:rPr>
              <w:t xml:space="preserve"> </w:t>
            </w:r>
            <w:r w:rsidR="00B40EED" w:rsidRPr="001A00DB">
              <w:rPr>
                <w:rFonts w:asciiTheme="majorHAnsi" w:hAnsiTheme="majorHAnsi" w:cs="Arial"/>
                <w:b w:val="0"/>
                <w:sz w:val="20"/>
                <w:szCs w:val="20"/>
                <w:lang w:val="fr-FR"/>
              </w:rPr>
              <w:t>M</w:t>
            </w:r>
            <w:r w:rsidR="0081604E" w:rsidRPr="001A00DB">
              <w:rPr>
                <w:rFonts w:asciiTheme="majorHAnsi" w:hAnsiTheme="majorHAnsi" w:cs="Arial"/>
                <w:b w:val="0"/>
                <w:sz w:val="20"/>
                <w:szCs w:val="20"/>
                <w:lang w:val="fr-FR"/>
              </w:rPr>
              <w:t>issions consultatives Ramsar</w:t>
            </w:r>
            <w:r w:rsidR="001033D8" w:rsidRPr="001A00DB">
              <w:rPr>
                <w:rFonts w:asciiTheme="majorHAnsi" w:hAnsiTheme="majorHAnsi" w:cs="Arial"/>
                <w:b w:val="0"/>
                <w:sz w:val="20"/>
                <w:szCs w:val="20"/>
                <w:lang w:val="fr-FR"/>
              </w:rPr>
              <w:t xml:space="preserve"> (MCR)</w:t>
            </w:r>
          </w:p>
        </w:tc>
        <w:tc>
          <w:tcPr>
            <w:tcW w:w="300" w:type="pct"/>
          </w:tcPr>
          <w:p w14:paraId="13EA7E99" w14:textId="67D03949" w:rsidR="00914A1A" w:rsidRPr="001A00DB" w:rsidRDefault="001033D8"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Haute</w:t>
            </w:r>
          </w:p>
        </w:tc>
        <w:tc>
          <w:tcPr>
            <w:tcW w:w="360" w:type="pct"/>
          </w:tcPr>
          <w:p w14:paraId="26077140" w14:textId="09E28252" w:rsidR="00914A1A" w:rsidRPr="001A00DB" w:rsidRDefault="00185310"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w:t>
            </w:r>
            <w:r w:rsidRPr="001A00DB">
              <w:rPr>
                <w:rFonts w:asciiTheme="majorHAnsi" w:hAnsiTheme="majorHAnsi" w:cs="Arial"/>
                <w:b w:val="0"/>
                <w:sz w:val="20"/>
                <w:szCs w:val="20"/>
                <w:lang w:val="fr-FR"/>
              </w:rPr>
              <w:t xml:space="preserve">¶ </w:t>
            </w:r>
            <w:r w:rsidRPr="001A00DB">
              <w:rPr>
                <w:rFonts w:ascii="Calibri" w:hAnsi="Calibri" w:cs="Arial"/>
                <w:b w:val="0"/>
                <w:sz w:val="20"/>
                <w:szCs w:val="20"/>
                <w:lang w:val="fr-FR"/>
              </w:rPr>
              <w:t>1-2; 12</w:t>
            </w:r>
          </w:p>
        </w:tc>
        <w:tc>
          <w:tcPr>
            <w:tcW w:w="388" w:type="pct"/>
          </w:tcPr>
          <w:p w14:paraId="06906A89" w14:textId="0EF24D41" w:rsidR="00914A1A" w:rsidRPr="001A00DB" w:rsidRDefault="00185310"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1.1, 1.2, 1.3, 1.4; 2.5, 2.7; 3.8, 3.9, 3.10, 3.11, 3.12, 3.13; 4.14</w:t>
            </w:r>
          </w:p>
        </w:tc>
        <w:tc>
          <w:tcPr>
            <w:tcW w:w="2945" w:type="pct"/>
          </w:tcPr>
          <w:p w14:paraId="68CFF107" w14:textId="67A6E5A8" w:rsidR="001033D8" w:rsidRPr="001A00DB" w:rsidRDefault="00931645" w:rsidP="001033D8">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D7595A" w:rsidRPr="001A00DB">
              <w:rPr>
                <w:rFonts w:asciiTheme="majorHAnsi" w:hAnsiTheme="majorHAnsi" w:cs="Arial"/>
                <w:b w:val="0"/>
                <w:sz w:val="20"/>
                <w:szCs w:val="20"/>
                <w:lang w:val="fr-FR"/>
              </w:rPr>
              <w:t xml:space="preserve">Examen et analyse de tous les rapports de </w:t>
            </w:r>
            <w:r w:rsidR="00B40EED" w:rsidRPr="001A00DB">
              <w:rPr>
                <w:rFonts w:asciiTheme="majorHAnsi" w:hAnsiTheme="majorHAnsi" w:cs="Arial"/>
                <w:b w:val="0"/>
                <w:sz w:val="20"/>
                <w:szCs w:val="20"/>
                <w:lang w:val="fr-FR"/>
              </w:rPr>
              <w:t>Mi</w:t>
            </w:r>
            <w:r w:rsidR="00D7595A" w:rsidRPr="001A00DB">
              <w:rPr>
                <w:rFonts w:asciiTheme="majorHAnsi" w:hAnsiTheme="majorHAnsi" w:cs="Arial"/>
                <w:b w:val="0"/>
                <w:sz w:val="20"/>
                <w:szCs w:val="20"/>
                <w:lang w:val="fr-FR"/>
              </w:rPr>
              <w:t>ssions consultatives</w:t>
            </w:r>
            <w:r w:rsidR="00185310" w:rsidRPr="001A00DB">
              <w:rPr>
                <w:rFonts w:asciiTheme="majorHAnsi" w:hAnsiTheme="majorHAnsi" w:cs="Arial"/>
                <w:b w:val="0"/>
                <w:sz w:val="20"/>
                <w:szCs w:val="20"/>
                <w:lang w:val="fr-FR"/>
              </w:rPr>
              <w:t xml:space="preserve"> Ramsar</w:t>
            </w:r>
            <w:r w:rsidR="001033D8" w:rsidRPr="001A00DB">
              <w:rPr>
                <w:rFonts w:asciiTheme="majorHAnsi" w:hAnsiTheme="majorHAnsi" w:cs="Arial"/>
                <w:b w:val="0"/>
                <w:sz w:val="20"/>
                <w:szCs w:val="20"/>
                <w:lang w:val="fr-FR"/>
              </w:rPr>
              <w:t xml:space="preserve"> (MCR)</w:t>
            </w:r>
            <w:r w:rsidR="00185310" w:rsidRPr="001A00DB">
              <w:rPr>
                <w:rFonts w:asciiTheme="majorHAnsi" w:hAnsiTheme="majorHAnsi" w:cs="Arial"/>
                <w:b w:val="0"/>
                <w:sz w:val="20"/>
                <w:szCs w:val="20"/>
                <w:lang w:val="fr-FR"/>
              </w:rPr>
              <w:t xml:space="preserve"> </w:t>
            </w:r>
            <w:r w:rsidR="001033D8" w:rsidRPr="001A00DB">
              <w:rPr>
                <w:rFonts w:asciiTheme="majorHAnsi" w:hAnsiTheme="majorHAnsi" w:cs="Arial"/>
                <w:b w:val="0"/>
                <w:sz w:val="20"/>
                <w:szCs w:val="20"/>
                <w:lang w:val="fr-FR"/>
              </w:rPr>
              <w:t>pour examiner les enseignements tirés des efforts de maintien de l’équilibre entre la conservation des zones humides et le développement de l’infrastructure, l’urbanisation et l’industrie pour améliorer les mécanismes de gestion et de suivi et lutter contre les menaces qui pèsent sur les Sites Ramsar.</w:t>
            </w:r>
          </w:p>
          <w:p w14:paraId="0C5E7DCD" w14:textId="77777777" w:rsidR="001033D8" w:rsidRPr="001A00DB" w:rsidRDefault="001033D8" w:rsidP="001033D8">
            <w:pPr>
              <w:rPr>
                <w:rFonts w:asciiTheme="majorHAnsi" w:hAnsiTheme="majorHAnsi" w:cs="Arial"/>
                <w:b w:val="0"/>
                <w:sz w:val="20"/>
                <w:szCs w:val="20"/>
                <w:lang w:val="fr-FR"/>
              </w:rPr>
            </w:pPr>
          </w:p>
          <w:p w14:paraId="6D53CBC7" w14:textId="27CDC6C2" w:rsidR="00914A1A" w:rsidRPr="001A00DB" w:rsidRDefault="001033D8" w:rsidP="001033D8">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Plus de 79 MCR</w:t>
            </w:r>
            <w:r w:rsidR="0007003F" w:rsidRPr="001A00DB">
              <w:rPr>
                <w:rFonts w:asciiTheme="majorHAnsi" w:hAnsiTheme="majorHAnsi" w:cs="Arial"/>
                <w:b w:val="0"/>
                <w:sz w:val="20"/>
                <w:szCs w:val="20"/>
                <w:lang w:val="fr-FR"/>
              </w:rPr>
              <w:t xml:space="preserve"> dont beaucoup ont traité d’infrastructure, d’urbanisation, de foresterie, d’industries </w:t>
            </w:r>
            <w:r w:rsidR="00B40EED" w:rsidRPr="001A00DB">
              <w:rPr>
                <w:rFonts w:asciiTheme="majorHAnsi" w:hAnsiTheme="majorHAnsi" w:cs="Arial"/>
                <w:b w:val="0"/>
                <w:sz w:val="20"/>
                <w:szCs w:val="20"/>
                <w:lang w:val="fr-FR"/>
              </w:rPr>
              <w:t>extractives</w:t>
            </w:r>
            <w:r w:rsidR="0007003F" w:rsidRPr="001A00DB">
              <w:rPr>
                <w:rFonts w:asciiTheme="majorHAnsi" w:hAnsiTheme="majorHAnsi" w:cs="Arial"/>
                <w:b w:val="0"/>
                <w:sz w:val="20"/>
                <w:szCs w:val="20"/>
                <w:lang w:val="fr-FR"/>
              </w:rPr>
              <w:t xml:space="preserve"> et d’agriculture, ainsi que des systèmes de connaissances autochtones et locaux, ont été réalisées à ce jour et les rapports fournissent une ressource riche d’études de cas potentielles sur l’application de la Convention, les difficultés et les succès en matière d’équilibre entre la conservation des zones humides et le développement. Les CN GEST seront priés de fournir des informations et une assistance lors de ce processus d’examen.</w:t>
            </w:r>
          </w:p>
          <w:p w14:paraId="42BD9278" w14:textId="77777777" w:rsidR="00914A1A" w:rsidRPr="001A00DB" w:rsidRDefault="00914A1A" w:rsidP="00B24027">
            <w:pPr>
              <w:keepNext/>
              <w:keepLines/>
              <w:rPr>
                <w:rFonts w:asciiTheme="majorHAnsi" w:hAnsiTheme="majorHAnsi" w:cs="Arial"/>
                <w:b w:val="0"/>
                <w:sz w:val="20"/>
                <w:szCs w:val="20"/>
                <w:lang w:val="fr-FR"/>
              </w:rPr>
            </w:pPr>
          </w:p>
          <w:p w14:paraId="7DA8E520" w14:textId="259AA131" w:rsidR="00914A1A" w:rsidRPr="001A00DB" w:rsidRDefault="00931645"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p>
          <w:p w14:paraId="536AED2B" w14:textId="0E8B1E89" w:rsidR="00914A1A" w:rsidRPr="001A00DB" w:rsidRDefault="00914A1A"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1)</w:t>
            </w:r>
            <w:r w:rsidR="00E01336" w:rsidRPr="001A00DB">
              <w:rPr>
                <w:rFonts w:asciiTheme="majorHAnsi" w:hAnsiTheme="majorHAnsi" w:cs="Arial"/>
                <w:b w:val="0"/>
                <w:sz w:val="20"/>
                <w:szCs w:val="20"/>
                <w:lang w:val="fr-FR"/>
              </w:rPr>
              <w:t xml:space="preserve"> </w:t>
            </w:r>
            <w:r w:rsidR="00D7595A" w:rsidRPr="001A00DB">
              <w:rPr>
                <w:rFonts w:asciiTheme="majorHAnsi" w:hAnsiTheme="majorHAnsi" w:cs="Arial"/>
                <w:b w:val="0"/>
                <w:sz w:val="20"/>
                <w:szCs w:val="20"/>
                <w:lang w:val="fr-FR"/>
              </w:rPr>
              <w:t xml:space="preserve">L’analyse complète à publier sur la page MCR du site web de Ramsar. </w:t>
            </w:r>
          </w:p>
          <w:p w14:paraId="48195DDE" w14:textId="77777777" w:rsidR="00914A1A" w:rsidRPr="001A00DB" w:rsidRDefault="00914A1A" w:rsidP="00B24027">
            <w:pPr>
              <w:keepNext/>
              <w:keepLines/>
              <w:rPr>
                <w:rFonts w:asciiTheme="majorHAnsi" w:hAnsiTheme="majorHAnsi" w:cs="Arial"/>
                <w:b w:val="0"/>
                <w:sz w:val="20"/>
                <w:szCs w:val="20"/>
                <w:lang w:val="fr-FR"/>
              </w:rPr>
            </w:pPr>
          </w:p>
          <w:p w14:paraId="1032DFEC" w14:textId="5F299504" w:rsidR="00914A1A" w:rsidRPr="001A00DB" w:rsidRDefault="00914A1A"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2)</w:t>
            </w:r>
            <w:r w:rsidR="00E01336" w:rsidRPr="001A00DB">
              <w:rPr>
                <w:rFonts w:asciiTheme="majorHAnsi" w:hAnsiTheme="majorHAnsi" w:cs="Arial"/>
                <w:b w:val="0"/>
                <w:sz w:val="20"/>
                <w:szCs w:val="20"/>
                <w:lang w:val="fr-FR"/>
              </w:rPr>
              <w:t xml:space="preserve"> </w:t>
            </w:r>
            <w:r w:rsidR="00D7595A" w:rsidRPr="001A00DB">
              <w:rPr>
                <w:rFonts w:asciiTheme="majorHAnsi" w:hAnsiTheme="majorHAnsi" w:cs="Arial"/>
                <w:b w:val="0"/>
                <w:sz w:val="20"/>
                <w:szCs w:val="20"/>
                <w:lang w:val="fr-FR"/>
              </w:rPr>
              <w:t xml:space="preserve">Le contenu de l’analyse sera synthétisé pour un document d’orientation (facilitant la compréhension et l’utilisation du concept de MCR et soulignant la valeur des MCR pour les décideurs et les enseignements tirés). </w:t>
            </w:r>
          </w:p>
          <w:p w14:paraId="0AC52526" w14:textId="77777777" w:rsidR="00914A1A" w:rsidRPr="001A00DB" w:rsidRDefault="00914A1A" w:rsidP="00B24027">
            <w:pPr>
              <w:keepNext/>
              <w:keepLines/>
              <w:rPr>
                <w:rFonts w:asciiTheme="majorHAnsi" w:hAnsiTheme="majorHAnsi" w:cs="Arial"/>
                <w:b w:val="0"/>
                <w:sz w:val="20"/>
                <w:szCs w:val="20"/>
                <w:lang w:val="fr-FR"/>
              </w:rPr>
            </w:pPr>
          </w:p>
          <w:p w14:paraId="482ED010" w14:textId="1047F056" w:rsidR="00914A1A" w:rsidRPr="001A00DB" w:rsidRDefault="00914A1A"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3)</w:t>
            </w:r>
            <w:r w:rsidR="00E01336" w:rsidRPr="001A00DB">
              <w:rPr>
                <w:rFonts w:asciiTheme="majorHAnsi" w:hAnsiTheme="majorHAnsi" w:cs="Arial"/>
                <w:b w:val="0"/>
                <w:sz w:val="20"/>
                <w:szCs w:val="20"/>
                <w:lang w:val="fr-FR"/>
              </w:rPr>
              <w:t xml:space="preserve"> </w:t>
            </w:r>
            <w:r w:rsidR="00D7595A" w:rsidRPr="001A00DB">
              <w:rPr>
                <w:rFonts w:asciiTheme="majorHAnsi" w:hAnsiTheme="majorHAnsi" w:cs="Arial"/>
                <w:b w:val="0"/>
                <w:sz w:val="20"/>
                <w:szCs w:val="20"/>
                <w:lang w:val="fr-FR"/>
              </w:rPr>
              <w:t>Une note d’information (facilitant la compréhension et l’utilisation du processus de MCR pour les administrateurs de site</w:t>
            </w:r>
            <w:r w:rsidR="00A1768B" w:rsidRPr="001A00DB">
              <w:rPr>
                <w:rFonts w:asciiTheme="majorHAnsi" w:hAnsiTheme="majorHAnsi" w:cs="Arial"/>
                <w:b w:val="0"/>
                <w:sz w:val="20"/>
                <w:szCs w:val="20"/>
                <w:lang w:val="fr-FR"/>
              </w:rPr>
              <w:t>s</w:t>
            </w:r>
            <w:r w:rsidR="00D7595A" w:rsidRPr="001A00DB">
              <w:rPr>
                <w:rFonts w:asciiTheme="majorHAnsi" w:hAnsiTheme="majorHAnsi" w:cs="Arial"/>
                <w:b w:val="0"/>
                <w:sz w:val="20"/>
                <w:szCs w:val="20"/>
                <w:lang w:val="fr-FR"/>
              </w:rPr>
              <w:t>)</w:t>
            </w:r>
            <w:r w:rsidR="00185310" w:rsidRPr="001A00DB">
              <w:rPr>
                <w:rFonts w:asciiTheme="majorHAnsi" w:hAnsiTheme="majorHAnsi" w:cs="Arial"/>
                <w:b w:val="0"/>
                <w:sz w:val="20"/>
                <w:szCs w:val="20"/>
                <w:lang w:val="fr-FR"/>
              </w:rPr>
              <w:t>, présentant des études de cas sélectionnées</w:t>
            </w:r>
            <w:r w:rsidR="00D7595A" w:rsidRPr="001A00DB">
              <w:rPr>
                <w:rFonts w:asciiTheme="majorHAnsi" w:hAnsiTheme="majorHAnsi" w:cs="Arial"/>
                <w:b w:val="0"/>
                <w:sz w:val="20"/>
                <w:szCs w:val="20"/>
                <w:lang w:val="fr-FR"/>
              </w:rPr>
              <w:t>.</w:t>
            </w:r>
            <w:r w:rsidR="00E01336" w:rsidRPr="001A00DB">
              <w:rPr>
                <w:rFonts w:asciiTheme="majorHAnsi" w:hAnsiTheme="majorHAnsi" w:cs="Arial"/>
                <w:b w:val="0"/>
                <w:sz w:val="20"/>
                <w:szCs w:val="20"/>
                <w:lang w:val="fr-FR"/>
              </w:rPr>
              <w:t xml:space="preserve"> </w:t>
            </w:r>
          </w:p>
          <w:p w14:paraId="46F0C490" w14:textId="77777777" w:rsidR="00914A1A" w:rsidRPr="001A00DB" w:rsidRDefault="00914A1A" w:rsidP="00B24027">
            <w:pPr>
              <w:keepNext/>
              <w:keepLines/>
              <w:rPr>
                <w:rFonts w:asciiTheme="majorHAnsi" w:hAnsiTheme="majorHAnsi" w:cs="Arial"/>
                <w:b w:val="0"/>
                <w:sz w:val="20"/>
                <w:szCs w:val="20"/>
                <w:lang w:val="fr-FR"/>
              </w:rPr>
            </w:pPr>
          </w:p>
          <w:p w14:paraId="1DB19E7C" w14:textId="56806EDF" w:rsidR="00914A1A" w:rsidRPr="001A00DB" w:rsidRDefault="00914A1A" w:rsidP="00B24027">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4)</w:t>
            </w:r>
            <w:r w:rsidR="00E01336" w:rsidRPr="001A00DB">
              <w:rPr>
                <w:rFonts w:asciiTheme="majorHAnsi" w:hAnsiTheme="majorHAnsi" w:cs="Arial"/>
                <w:b w:val="0"/>
                <w:sz w:val="20"/>
                <w:szCs w:val="20"/>
                <w:lang w:val="fr-FR"/>
              </w:rPr>
              <w:t xml:space="preserve"> </w:t>
            </w:r>
            <w:r w:rsidR="00D7595A" w:rsidRPr="001A00DB">
              <w:rPr>
                <w:rFonts w:asciiTheme="majorHAnsi" w:hAnsiTheme="majorHAnsi" w:cs="Arial"/>
                <w:b w:val="0"/>
                <w:sz w:val="20"/>
                <w:szCs w:val="20"/>
                <w:lang w:val="fr-FR"/>
              </w:rPr>
              <w:t>Des w</w:t>
            </w:r>
            <w:r w:rsidRPr="001A00DB">
              <w:rPr>
                <w:rFonts w:asciiTheme="majorHAnsi" w:hAnsiTheme="majorHAnsi" w:cs="Arial"/>
                <w:b w:val="0"/>
                <w:sz w:val="20"/>
                <w:szCs w:val="20"/>
                <w:lang w:val="fr-FR"/>
              </w:rPr>
              <w:t>ebina</w:t>
            </w:r>
            <w:r w:rsidR="00D7595A" w:rsidRPr="001A00DB">
              <w:rPr>
                <w:rFonts w:asciiTheme="majorHAnsi" w:hAnsiTheme="majorHAnsi" w:cs="Arial"/>
                <w:b w:val="0"/>
                <w:sz w:val="20"/>
                <w:szCs w:val="20"/>
                <w:lang w:val="fr-FR"/>
              </w:rPr>
              <w:t>i</w:t>
            </w:r>
            <w:r w:rsidRPr="001A00DB">
              <w:rPr>
                <w:rFonts w:asciiTheme="majorHAnsi" w:hAnsiTheme="majorHAnsi" w:cs="Arial"/>
                <w:b w:val="0"/>
                <w:sz w:val="20"/>
                <w:szCs w:val="20"/>
                <w:lang w:val="fr-FR"/>
              </w:rPr>
              <w:t>r</w:t>
            </w:r>
            <w:r w:rsidR="00D7595A" w:rsidRPr="001A00DB">
              <w:rPr>
                <w:rFonts w:asciiTheme="majorHAnsi" w:hAnsiTheme="majorHAnsi" w:cs="Arial"/>
                <w:b w:val="0"/>
                <w:sz w:val="20"/>
                <w:szCs w:val="20"/>
                <w:lang w:val="fr-FR"/>
              </w:rPr>
              <w:t>es</w:t>
            </w:r>
            <w:r w:rsidR="00E01336" w:rsidRPr="001A00DB">
              <w:rPr>
                <w:rFonts w:asciiTheme="majorHAnsi" w:hAnsiTheme="majorHAnsi" w:cs="Arial"/>
                <w:b w:val="0"/>
                <w:sz w:val="20"/>
                <w:szCs w:val="20"/>
                <w:lang w:val="fr-FR"/>
              </w:rPr>
              <w:t xml:space="preserve"> </w:t>
            </w:r>
            <w:r w:rsidR="00D7595A" w:rsidRPr="001A00DB">
              <w:rPr>
                <w:rFonts w:asciiTheme="majorHAnsi" w:hAnsiTheme="majorHAnsi" w:cs="Arial"/>
                <w:b w:val="0"/>
                <w:sz w:val="20"/>
                <w:szCs w:val="20"/>
                <w:lang w:val="fr-FR"/>
              </w:rPr>
              <w:t xml:space="preserve">pourraient aussi être réalisés pour atteindre un public plus vaste. </w:t>
            </w:r>
          </w:p>
          <w:p w14:paraId="4219AA2D" w14:textId="77777777" w:rsidR="00914A1A" w:rsidRPr="001A00DB" w:rsidRDefault="00914A1A" w:rsidP="00B24027">
            <w:pPr>
              <w:keepNext/>
              <w:keepLines/>
              <w:rPr>
                <w:rFonts w:asciiTheme="majorHAnsi" w:hAnsiTheme="majorHAnsi" w:cs="Arial"/>
                <w:b w:val="0"/>
                <w:sz w:val="20"/>
                <w:szCs w:val="20"/>
                <w:lang w:val="fr-FR"/>
              </w:rPr>
            </w:pPr>
          </w:p>
          <w:p w14:paraId="09DD846E" w14:textId="0C7027D2" w:rsidR="00914A1A" w:rsidRPr="001A00DB" w:rsidRDefault="00931645" w:rsidP="00185310">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D7595A" w:rsidRPr="001A00DB">
              <w:rPr>
                <w:rFonts w:asciiTheme="majorHAnsi" w:hAnsiTheme="majorHAnsi" w:cs="Arial"/>
                <w:b w:val="0"/>
                <w:sz w:val="20"/>
                <w:szCs w:val="20"/>
                <w:lang w:val="fr-FR"/>
              </w:rPr>
              <w:t>Décideurs</w:t>
            </w:r>
            <w:r w:rsidR="00E01336" w:rsidRPr="001A00DB">
              <w:rPr>
                <w:rFonts w:asciiTheme="majorHAnsi" w:hAnsiTheme="majorHAnsi" w:cs="Arial"/>
                <w:b w:val="0"/>
                <w:sz w:val="20"/>
                <w:szCs w:val="20"/>
                <w:lang w:val="fr-FR"/>
              </w:rPr>
              <w:t xml:space="preserve"> </w:t>
            </w:r>
            <w:r w:rsidR="00D7595A" w:rsidRPr="001A00DB">
              <w:rPr>
                <w:rFonts w:asciiTheme="majorHAnsi" w:hAnsiTheme="majorHAnsi" w:cs="Arial"/>
                <w:b w:val="0"/>
                <w:sz w:val="20"/>
                <w:szCs w:val="20"/>
                <w:lang w:val="fr-FR"/>
              </w:rPr>
              <w:t xml:space="preserve">et praticiens (administrateurs de </w:t>
            </w:r>
            <w:r w:rsidR="00185310" w:rsidRPr="001A00DB">
              <w:rPr>
                <w:rFonts w:asciiTheme="majorHAnsi" w:hAnsiTheme="majorHAnsi" w:cs="Arial"/>
                <w:b w:val="0"/>
                <w:sz w:val="20"/>
                <w:szCs w:val="20"/>
                <w:lang w:val="fr-FR"/>
              </w:rPr>
              <w:t>zones humides</w:t>
            </w:r>
            <w:r w:rsidR="00D7595A" w:rsidRPr="001A00DB">
              <w:rPr>
                <w:rFonts w:asciiTheme="majorHAnsi" w:hAnsiTheme="majorHAnsi" w:cs="Arial"/>
                <w:b w:val="0"/>
                <w:sz w:val="20"/>
                <w:szCs w:val="20"/>
                <w:lang w:val="fr-FR"/>
              </w:rPr>
              <w:t xml:space="preserve">). À noter que les résultats peuvent être utiles pour mobiliser des ressources </w:t>
            </w:r>
            <w:r w:rsidR="00A1768B" w:rsidRPr="001A00DB">
              <w:rPr>
                <w:rFonts w:asciiTheme="majorHAnsi" w:hAnsiTheme="majorHAnsi" w:cs="Arial"/>
                <w:b w:val="0"/>
                <w:sz w:val="20"/>
                <w:szCs w:val="20"/>
                <w:lang w:val="fr-FR"/>
              </w:rPr>
              <w:t>aux fins de</w:t>
            </w:r>
            <w:r w:rsidR="00D7595A" w:rsidRPr="001A00DB">
              <w:rPr>
                <w:rFonts w:asciiTheme="majorHAnsi" w:hAnsiTheme="majorHAnsi" w:cs="Arial"/>
                <w:b w:val="0"/>
                <w:sz w:val="20"/>
                <w:szCs w:val="20"/>
                <w:lang w:val="fr-FR"/>
              </w:rPr>
              <w:t xml:space="preserve"> conduire de nouvelles MCR. </w:t>
            </w:r>
          </w:p>
        </w:tc>
        <w:tc>
          <w:tcPr>
            <w:tcW w:w="494" w:type="pct"/>
          </w:tcPr>
          <w:p w14:paraId="0FD5C892" w14:textId="687D8A40" w:rsidR="00914A1A" w:rsidRPr="001A00DB" w:rsidRDefault="0007003F" w:rsidP="0007003F">
            <w:pPr>
              <w:rPr>
                <w:rFonts w:asciiTheme="majorHAnsi" w:hAnsiTheme="majorHAnsi" w:cs="Arial"/>
                <w:b w:val="0"/>
                <w:sz w:val="20"/>
                <w:szCs w:val="20"/>
                <w:lang w:val="fr-FR"/>
              </w:rPr>
            </w:pPr>
            <w:r w:rsidRPr="001A00DB">
              <w:rPr>
                <w:rFonts w:asciiTheme="majorHAnsi" w:hAnsiTheme="majorHAnsi" w:cs="Arial"/>
                <w:b w:val="0"/>
                <w:sz w:val="20"/>
                <w:szCs w:val="20"/>
                <w:lang w:val="fr-FR"/>
              </w:rPr>
              <w:t>Jusqu’à</w:t>
            </w:r>
            <w:r w:rsidR="00185310" w:rsidRPr="001A00DB">
              <w:rPr>
                <w:rFonts w:asciiTheme="majorHAnsi" w:hAnsiTheme="majorHAnsi" w:cs="Arial"/>
                <w:b w:val="0"/>
                <w:sz w:val="20"/>
                <w:szCs w:val="20"/>
                <w:lang w:val="fr-FR"/>
              </w:rPr>
              <w:t xml:space="preserve"> 44</w:t>
            </w:r>
            <w:r w:rsidR="00485A40" w:rsidRPr="001A00DB">
              <w:rPr>
                <w:rFonts w:asciiTheme="majorHAnsi" w:hAnsiTheme="majorHAnsi" w:cs="Arial"/>
                <w:b w:val="0"/>
                <w:sz w:val="20"/>
                <w:szCs w:val="20"/>
                <w:lang w:val="fr-FR"/>
              </w:rPr>
              <w:t> </w:t>
            </w:r>
            <w:r w:rsidR="00185310" w:rsidRPr="001A00DB">
              <w:rPr>
                <w:rFonts w:asciiTheme="majorHAnsi" w:hAnsiTheme="majorHAnsi" w:cs="Arial"/>
                <w:b w:val="0"/>
                <w:sz w:val="20"/>
                <w:szCs w:val="20"/>
                <w:lang w:val="fr-FR"/>
              </w:rPr>
              <w:t>000</w:t>
            </w:r>
            <w:r w:rsidR="00185310" w:rsidRPr="001A00DB" w:rsidDel="00362718">
              <w:rPr>
                <w:rFonts w:asciiTheme="majorHAnsi" w:hAnsiTheme="majorHAnsi" w:cs="Arial"/>
                <w:b w:val="0"/>
                <w:sz w:val="20"/>
                <w:szCs w:val="20"/>
                <w:lang w:val="fr-FR"/>
              </w:rPr>
              <w:t xml:space="preserve"> </w:t>
            </w:r>
            <w:r w:rsidR="00185310" w:rsidRPr="001A00DB">
              <w:rPr>
                <w:rFonts w:asciiTheme="majorHAnsi" w:hAnsiTheme="majorHAnsi" w:cs="Arial"/>
                <w:b w:val="0"/>
                <w:sz w:val="20"/>
                <w:szCs w:val="20"/>
                <w:lang w:val="fr-FR"/>
              </w:rPr>
              <w:t>[</w:t>
            </w:r>
            <w:r w:rsidRPr="001A00DB">
              <w:rPr>
                <w:rFonts w:asciiTheme="majorHAnsi" w:hAnsiTheme="majorHAnsi" w:cs="Arial"/>
                <w:b w:val="0"/>
                <w:sz w:val="20"/>
                <w:szCs w:val="20"/>
                <w:lang w:val="fr-FR"/>
              </w:rPr>
              <w:t xml:space="preserve">dont </w:t>
            </w:r>
            <w:r w:rsidR="00185310" w:rsidRPr="001A00DB">
              <w:rPr>
                <w:rFonts w:asciiTheme="majorHAnsi" w:hAnsiTheme="majorHAnsi" w:cs="Arial"/>
                <w:b w:val="0"/>
                <w:sz w:val="20"/>
                <w:szCs w:val="20"/>
                <w:lang w:val="fr-FR"/>
              </w:rPr>
              <w:t>22</w:t>
            </w:r>
            <w:r w:rsidR="00485A40" w:rsidRPr="001A00DB">
              <w:rPr>
                <w:rFonts w:asciiTheme="majorHAnsi" w:hAnsiTheme="majorHAnsi" w:cs="Arial"/>
                <w:b w:val="0"/>
                <w:sz w:val="20"/>
                <w:szCs w:val="20"/>
                <w:lang w:val="fr-FR"/>
              </w:rPr>
              <w:t> </w:t>
            </w:r>
            <w:r w:rsidR="00185310" w:rsidRPr="001A00DB">
              <w:rPr>
                <w:rFonts w:asciiTheme="majorHAnsi" w:hAnsiTheme="majorHAnsi" w:cs="Arial"/>
                <w:b w:val="0"/>
                <w:sz w:val="20"/>
                <w:szCs w:val="20"/>
                <w:lang w:val="fr-FR"/>
              </w:rPr>
              <w:t xml:space="preserve">000 </w:t>
            </w:r>
            <w:r w:rsidRPr="001A00DB">
              <w:rPr>
                <w:rFonts w:asciiTheme="majorHAnsi" w:hAnsiTheme="majorHAnsi" w:cs="Arial"/>
                <w:b w:val="0"/>
                <w:sz w:val="20"/>
                <w:szCs w:val="20"/>
                <w:lang w:val="fr-FR"/>
              </w:rPr>
              <w:t xml:space="preserve">seront fournis par le WWF pour couvrir les coûts d’un consultant chargé de produire une analyse complète; </w:t>
            </w:r>
            <w:r w:rsidR="00185310" w:rsidRPr="001A00DB">
              <w:rPr>
                <w:rFonts w:asciiTheme="majorHAnsi" w:hAnsiTheme="majorHAnsi" w:cs="Arial"/>
                <w:b w:val="0"/>
                <w:sz w:val="20"/>
                <w:szCs w:val="20"/>
                <w:lang w:val="fr-FR"/>
              </w:rPr>
              <w:t xml:space="preserve">9000 </w:t>
            </w:r>
            <w:r w:rsidRPr="001A00DB">
              <w:rPr>
                <w:rFonts w:asciiTheme="majorHAnsi" w:hAnsiTheme="majorHAnsi" w:cs="Arial"/>
                <w:b w:val="0"/>
                <w:sz w:val="20"/>
                <w:szCs w:val="20"/>
                <w:lang w:val="fr-FR"/>
              </w:rPr>
              <w:t xml:space="preserve">des fonds du GEST pour un document d’orientation et </w:t>
            </w:r>
            <w:r w:rsidR="00185310" w:rsidRPr="001A00DB">
              <w:rPr>
                <w:rFonts w:asciiTheme="majorHAnsi" w:hAnsiTheme="majorHAnsi" w:cs="Arial"/>
                <w:b w:val="0"/>
                <w:sz w:val="20"/>
                <w:szCs w:val="20"/>
                <w:lang w:val="fr-FR"/>
              </w:rPr>
              <w:t>13</w:t>
            </w:r>
            <w:r w:rsidR="00485A40" w:rsidRPr="001A00DB">
              <w:rPr>
                <w:rFonts w:asciiTheme="majorHAnsi" w:hAnsiTheme="majorHAnsi" w:cs="Arial"/>
                <w:b w:val="0"/>
                <w:sz w:val="20"/>
                <w:szCs w:val="20"/>
                <w:lang w:val="fr-FR"/>
              </w:rPr>
              <w:t> </w:t>
            </w:r>
            <w:r w:rsidR="00185310" w:rsidRPr="001A00DB">
              <w:rPr>
                <w:rFonts w:asciiTheme="majorHAnsi" w:hAnsiTheme="majorHAnsi" w:cs="Arial"/>
                <w:b w:val="0"/>
                <w:sz w:val="20"/>
                <w:szCs w:val="20"/>
                <w:lang w:val="fr-FR"/>
              </w:rPr>
              <w:t xml:space="preserve">000 </w:t>
            </w:r>
            <w:r w:rsidRPr="001A00DB">
              <w:rPr>
                <w:rFonts w:asciiTheme="majorHAnsi" w:hAnsiTheme="majorHAnsi" w:cs="Arial"/>
                <w:b w:val="0"/>
                <w:sz w:val="20"/>
                <w:szCs w:val="20"/>
                <w:lang w:val="fr-FR"/>
              </w:rPr>
              <w:t>pour une note d’information. Veuillez noter qu’il n’y a pas d’incidences financières pour le GEST associées à la production de webinaires car le Secrétariat dispose déjà du logiciel requis</w:t>
            </w:r>
            <w:r w:rsidR="00185310" w:rsidRPr="001A00DB">
              <w:rPr>
                <w:rFonts w:asciiTheme="majorHAnsi" w:hAnsiTheme="majorHAnsi" w:cs="Arial"/>
                <w:b w:val="0"/>
                <w:sz w:val="20"/>
                <w:szCs w:val="20"/>
                <w:lang w:val="fr-FR"/>
              </w:rPr>
              <w:t>]</w:t>
            </w:r>
          </w:p>
        </w:tc>
      </w:tr>
      <w:tr w:rsidR="00E01336" w:rsidRPr="00E7362F" w14:paraId="304B2F84" w14:textId="77777777" w:rsidTr="00C139E4">
        <w:tc>
          <w:tcPr>
            <w:tcW w:w="513" w:type="pct"/>
          </w:tcPr>
          <w:p w14:paraId="1258BA94" w14:textId="4313D6FB" w:rsidR="00914A1A" w:rsidRPr="001A00DB" w:rsidRDefault="00914A1A" w:rsidP="00795F3C">
            <w:pPr>
              <w:rPr>
                <w:rFonts w:asciiTheme="majorHAnsi" w:hAnsiTheme="majorHAnsi" w:cs="Arial"/>
                <w:b w:val="0"/>
                <w:sz w:val="20"/>
                <w:szCs w:val="20"/>
                <w:lang w:val="fr-FR"/>
              </w:rPr>
            </w:pPr>
            <w:r w:rsidRPr="001A00DB">
              <w:rPr>
                <w:rFonts w:asciiTheme="majorHAnsi" w:hAnsiTheme="majorHAnsi" w:cs="Arial"/>
                <w:b w:val="0"/>
                <w:sz w:val="20"/>
                <w:szCs w:val="20"/>
                <w:lang w:val="fr-FR"/>
              </w:rPr>
              <w:t>4.3</w:t>
            </w:r>
            <w:r w:rsidR="00E01336" w:rsidRPr="001A00DB">
              <w:rPr>
                <w:rFonts w:asciiTheme="majorHAnsi" w:hAnsiTheme="majorHAnsi" w:cs="Arial"/>
                <w:b w:val="0"/>
                <w:sz w:val="20"/>
                <w:szCs w:val="20"/>
                <w:lang w:val="fr-FR"/>
              </w:rPr>
              <w:t xml:space="preserve"> </w:t>
            </w:r>
            <w:r w:rsidR="00795F3C" w:rsidRPr="001A00DB">
              <w:rPr>
                <w:rFonts w:asciiTheme="majorHAnsi" w:hAnsiTheme="majorHAnsi" w:cs="Arial"/>
                <w:b w:val="0"/>
                <w:sz w:val="20"/>
                <w:szCs w:val="20"/>
                <w:lang w:val="fr-FR"/>
              </w:rPr>
              <w:t>L</w:t>
            </w:r>
            <w:r w:rsidR="00D7595A" w:rsidRPr="001A00DB">
              <w:rPr>
                <w:rFonts w:asciiTheme="majorHAnsi" w:hAnsiTheme="majorHAnsi" w:cs="Arial"/>
                <w:b w:val="0"/>
                <w:sz w:val="20"/>
                <w:szCs w:val="20"/>
                <w:lang w:val="fr-FR"/>
              </w:rPr>
              <w:t>’a</w:t>
            </w:r>
            <w:r w:rsidRPr="001A00DB">
              <w:rPr>
                <w:rFonts w:asciiTheme="majorHAnsi" w:hAnsiTheme="majorHAnsi" w:cs="Arial"/>
                <w:b w:val="0"/>
                <w:sz w:val="20"/>
                <w:szCs w:val="20"/>
                <w:lang w:val="fr-FR"/>
              </w:rPr>
              <w:t>quaculture</w:t>
            </w:r>
            <w:r w:rsidR="00E01336" w:rsidRPr="001A00DB">
              <w:rPr>
                <w:rFonts w:asciiTheme="majorHAnsi" w:hAnsiTheme="majorHAnsi" w:cs="Arial"/>
                <w:b w:val="0"/>
                <w:sz w:val="20"/>
                <w:szCs w:val="20"/>
                <w:lang w:val="fr-FR"/>
              </w:rPr>
              <w:t xml:space="preserve"> </w:t>
            </w:r>
            <w:r w:rsidR="00D7595A" w:rsidRPr="001A00DB">
              <w:rPr>
                <w:rFonts w:asciiTheme="majorHAnsi" w:hAnsiTheme="majorHAnsi" w:cs="Arial"/>
                <w:b w:val="0"/>
                <w:sz w:val="20"/>
                <w:szCs w:val="20"/>
                <w:lang w:val="fr-FR"/>
              </w:rPr>
              <w:t xml:space="preserve">et </w:t>
            </w:r>
            <w:r w:rsidR="00795F3C" w:rsidRPr="001A00DB">
              <w:rPr>
                <w:rFonts w:asciiTheme="majorHAnsi" w:hAnsiTheme="majorHAnsi" w:cs="Arial"/>
                <w:b w:val="0"/>
                <w:sz w:val="20"/>
                <w:szCs w:val="20"/>
                <w:lang w:val="fr-FR"/>
              </w:rPr>
              <w:t>l’</w:t>
            </w:r>
            <w:r w:rsidR="00D7595A" w:rsidRPr="001A00DB">
              <w:rPr>
                <w:rFonts w:asciiTheme="majorHAnsi" w:hAnsiTheme="majorHAnsi" w:cs="Arial"/>
                <w:b w:val="0"/>
                <w:sz w:val="20"/>
                <w:szCs w:val="20"/>
                <w:lang w:val="fr-FR"/>
              </w:rPr>
              <w:t xml:space="preserve">utilisation rationnelle des </w:t>
            </w:r>
            <w:r w:rsidR="00D7595A" w:rsidRPr="001A00DB">
              <w:rPr>
                <w:rFonts w:asciiTheme="majorHAnsi" w:hAnsiTheme="majorHAnsi" w:cs="Arial"/>
                <w:b w:val="0"/>
                <w:sz w:val="20"/>
                <w:szCs w:val="20"/>
                <w:lang w:val="fr-FR"/>
              </w:rPr>
              <w:lastRenderedPageBreak/>
              <w:t xml:space="preserve">zones humides </w:t>
            </w:r>
          </w:p>
        </w:tc>
        <w:tc>
          <w:tcPr>
            <w:tcW w:w="300" w:type="pct"/>
          </w:tcPr>
          <w:p w14:paraId="70FA8239" w14:textId="77777777" w:rsidR="00914A1A" w:rsidRPr="001A00DB" w:rsidRDefault="00914A1A" w:rsidP="00914A1A">
            <w:pPr>
              <w:rPr>
                <w:rFonts w:asciiTheme="majorHAnsi" w:hAnsiTheme="majorHAnsi" w:cs="Arial"/>
                <w:b w:val="0"/>
                <w:sz w:val="20"/>
                <w:szCs w:val="20"/>
                <w:lang w:val="fr-FR"/>
              </w:rPr>
            </w:pPr>
          </w:p>
        </w:tc>
        <w:tc>
          <w:tcPr>
            <w:tcW w:w="360" w:type="pct"/>
          </w:tcPr>
          <w:p w14:paraId="5562C954" w14:textId="26CF77BE" w:rsidR="00914A1A" w:rsidRPr="001A00DB" w:rsidRDefault="00185310"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w:t>
            </w:r>
            <w:r w:rsidR="001979B9" w:rsidRPr="001A00DB">
              <w:rPr>
                <w:rFonts w:asciiTheme="majorHAnsi" w:hAnsiTheme="majorHAnsi" w:cs="Arial"/>
                <w:b w:val="0"/>
                <w:sz w:val="20"/>
                <w:szCs w:val="20"/>
                <w:lang w:val="fr-FR"/>
              </w:rPr>
              <w:t>¶</w:t>
            </w:r>
            <w:r w:rsidRPr="001A00DB">
              <w:rPr>
                <w:rFonts w:ascii="Calibri" w:hAnsi="Calibri" w:cs="Arial"/>
                <w:b w:val="0"/>
                <w:sz w:val="20"/>
                <w:szCs w:val="20"/>
                <w:lang w:val="fr-FR"/>
              </w:rPr>
              <w:t xml:space="preserve"> 1-2</w:t>
            </w:r>
          </w:p>
        </w:tc>
        <w:tc>
          <w:tcPr>
            <w:tcW w:w="388" w:type="pct"/>
          </w:tcPr>
          <w:p w14:paraId="49D288D6" w14:textId="463D4A88" w:rsidR="00914A1A" w:rsidRPr="001A00DB" w:rsidRDefault="00185310"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1.1, 1.2, 1.3, 1.4; 2.5, 2.7; 3.8, 3.9, </w:t>
            </w:r>
            <w:r w:rsidRPr="001A00DB">
              <w:rPr>
                <w:rFonts w:asciiTheme="majorHAnsi" w:hAnsiTheme="majorHAnsi" w:cs="Arial"/>
                <w:b w:val="0"/>
                <w:sz w:val="20"/>
                <w:szCs w:val="20"/>
                <w:lang w:val="fr-FR"/>
              </w:rPr>
              <w:lastRenderedPageBreak/>
              <w:t>3.11, 3.12, 3.13; 4.14</w:t>
            </w:r>
          </w:p>
        </w:tc>
        <w:tc>
          <w:tcPr>
            <w:tcW w:w="2945" w:type="pct"/>
          </w:tcPr>
          <w:p w14:paraId="2CD8541B" w14:textId="068C9AF0"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lastRenderedPageBreak/>
              <w:t>Description de tâche</w:t>
            </w:r>
            <w:r w:rsidRPr="001A00DB">
              <w:rPr>
                <w:rFonts w:asciiTheme="majorHAnsi" w:hAnsiTheme="majorHAnsi" w:cs="Arial"/>
                <w:b w:val="0"/>
                <w:sz w:val="20"/>
                <w:szCs w:val="20"/>
                <w:lang w:val="fr-FR"/>
              </w:rPr>
              <w:t xml:space="preserve"> : </w:t>
            </w:r>
            <w:r w:rsidR="00410B85" w:rsidRPr="001A00DB">
              <w:rPr>
                <w:rFonts w:asciiTheme="majorHAnsi" w:hAnsiTheme="majorHAnsi" w:cs="Arial"/>
                <w:b w:val="0"/>
                <w:sz w:val="20"/>
                <w:szCs w:val="20"/>
                <w:lang w:val="fr-FR"/>
              </w:rPr>
              <w:t xml:space="preserve">Relier les principaux types de systèmes de production </w:t>
            </w:r>
            <w:r w:rsidR="00A1768B" w:rsidRPr="001A00DB">
              <w:rPr>
                <w:rFonts w:asciiTheme="majorHAnsi" w:hAnsiTheme="majorHAnsi" w:cs="Arial"/>
                <w:b w:val="0"/>
                <w:sz w:val="20"/>
                <w:szCs w:val="20"/>
                <w:lang w:val="fr-FR"/>
              </w:rPr>
              <w:t>en aquaculture</w:t>
            </w:r>
            <w:r w:rsidR="00410B85" w:rsidRPr="001A00DB">
              <w:rPr>
                <w:rFonts w:asciiTheme="majorHAnsi" w:hAnsiTheme="majorHAnsi" w:cs="Arial"/>
                <w:b w:val="0"/>
                <w:sz w:val="20"/>
                <w:szCs w:val="20"/>
                <w:lang w:val="fr-FR"/>
              </w:rPr>
              <w:t xml:space="preserve"> au système de classification des zones humides Ramsar, dans le contexte du cadre de gouvernance interactif. </w:t>
            </w:r>
            <w:r w:rsidR="00185310" w:rsidRPr="001A00DB">
              <w:rPr>
                <w:rFonts w:asciiTheme="majorHAnsi" w:hAnsiTheme="majorHAnsi" w:cs="Arial"/>
                <w:b w:val="0"/>
                <w:sz w:val="20"/>
                <w:szCs w:val="20"/>
                <w:lang w:val="fr-FR"/>
              </w:rPr>
              <w:t>Il s’agit d’informer les</w:t>
            </w:r>
            <w:r w:rsidR="00410B85" w:rsidRPr="001A00DB">
              <w:rPr>
                <w:rFonts w:asciiTheme="majorHAnsi" w:hAnsiTheme="majorHAnsi" w:cs="Arial"/>
                <w:b w:val="0"/>
                <w:sz w:val="20"/>
                <w:szCs w:val="20"/>
                <w:lang w:val="fr-FR"/>
              </w:rPr>
              <w:t xml:space="preserve"> décideurs </w:t>
            </w:r>
            <w:r w:rsidR="00A1768B" w:rsidRPr="001A00DB">
              <w:rPr>
                <w:rFonts w:asciiTheme="majorHAnsi" w:hAnsiTheme="majorHAnsi" w:cs="Arial"/>
                <w:b w:val="0"/>
                <w:sz w:val="20"/>
                <w:szCs w:val="20"/>
                <w:lang w:val="fr-FR"/>
              </w:rPr>
              <w:t>des</w:t>
            </w:r>
            <w:r w:rsidR="00410B85" w:rsidRPr="001A00DB">
              <w:rPr>
                <w:rFonts w:asciiTheme="majorHAnsi" w:hAnsiTheme="majorHAnsi" w:cs="Arial"/>
                <w:b w:val="0"/>
                <w:sz w:val="20"/>
                <w:szCs w:val="20"/>
                <w:lang w:val="fr-FR"/>
              </w:rPr>
              <w:t xml:space="preserve"> secteurs de la conservation, de l’aquaculture et des finances </w:t>
            </w:r>
            <w:r w:rsidR="00185310" w:rsidRPr="001A00DB">
              <w:rPr>
                <w:rFonts w:asciiTheme="majorHAnsi" w:hAnsiTheme="majorHAnsi" w:cs="Arial"/>
                <w:b w:val="0"/>
                <w:sz w:val="20"/>
                <w:szCs w:val="20"/>
                <w:lang w:val="fr-FR"/>
              </w:rPr>
              <w:t>sur les</w:t>
            </w:r>
            <w:r w:rsidR="00855403" w:rsidRPr="001A00DB">
              <w:rPr>
                <w:rFonts w:asciiTheme="majorHAnsi" w:hAnsiTheme="majorHAnsi" w:cs="Arial"/>
                <w:b w:val="0"/>
                <w:sz w:val="20"/>
                <w:szCs w:val="20"/>
                <w:lang w:val="fr-FR"/>
              </w:rPr>
              <w:t xml:space="preserve"> </w:t>
            </w:r>
            <w:r w:rsidR="00185310" w:rsidRPr="001A00DB">
              <w:rPr>
                <w:rFonts w:asciiTheme="majorHAnsi" w:hAnsiTheme="majorHAnsi" w:cs="Arial"/>
                <w:b w:val="0"/>
                <w:sz w:val="20"/>
                <w:szCs w:val="20"/>
                <w:lang w:val="fr-FR"/>
              </w:rPr>
              <w:t xml:space="preserve">impacts </w:t>
            </w:r>
            <w:r w:rsidR="00410B85" w:rsidRPr="001A00DB">
              <w:rPr>
                <w:rFonts w:asciiTheme="majorHAnsi" w:hAnsiTheme="majorHAnsi" w:cs="Arial"/>
                <w:b w:val="0"/>
                <w:sz w:val="20"/>
                <w:szCs w:val="20"/>
                <w:lang w:val="fr-FR"/>
              </w:rPr>
              <w:t xml:space="preserve">environnementaux et sociaux de l’aquaculture. Le document d’orientation </w:t>
            </w:r>
            <w:r w:rsidR="00185310" w:rsidRPr="001A00DB">
              <w:rPr>
                <w:rFonts w:asciiTheme="majorHAnsi" w:hAnsiTheme="majorHAnsi" w:cs="Arial"/>
                <w:b w:val="0"/>
                <w:sz w:val="20"/>
                <w:szCs w:val="20"/>
                <w:lang w:val="fr-FR"/>
              </w:rPr>
              <w:lastRenderedPageBreak/>
              <w:t xml:space="preserve">discutera des risques posés par </w:t>
            </w:r>
            <w:r w:rsidR="00410B85" w:rsidRPr="001A00DB">
              <w:rPr>
                <w:rFonts w:asciiTheme="majorHAnsi" w:hAnsiTheme="majorHAnsi" w:cs="Arial"/>
                <w:b w:val="0"/>
                <w:sz w:val="20"/>
                <w:szCs w:val="20"/>
                <w:lang w:val="fr-FR"/>
              </w:rPr>
              <w:t xml:space="preserve">l’aquaculture </w:t>
            </w:r>
            <w:r w:rsidR="00185310" w:rsidRPr="001A00DB">
              <w:rPr>
                <w:rFonts w:asciiTheme="majorHAnsi" w:hAnsiTheme="majorHAnsi" w:cs="Arial"/>
                <w:b w:val="0"/>
                <w:sz w:val="20"/>
                <w:szCs w:val="20"/>
                <w:lang w:val="fr-FR"/>
              </w:rPr>
              <w:t>et de son potentiel</w:t>
            </w:r>
            <w:r w:rsidR="00795F3C" w:rsidRPr="001A00DB">
              <w:rPr>
                <w:rFonts w:asciiTheme="majorHAnsi" w:hAnsiTheme="majorHAnsi" w:cs="Arial"/>
                <w:b w:val="0"/>
                <w:sz w:val="20"/>
                <w:szCs w:val="20"/>
                <w:lang w:val="fr-FR"/>
              </w:rPr>
              <w:t xml:space="preserve"> </w:t>
            </w:r>
            <w:r w:rsidR="00410B85" w:rsidRPr="001A00DB">
              <w:rPr>
                <w:rFonts w:asciiTheme="majorHAnsi" w:hAnsiTheme="majorHAnsi" w:cs="Arial"/>
                <w:b w:val="0"/>
                <w:sz w:val="20"/>
                <w:szCs w:val="20"/>
                <w:lang w:val="fr-FR"/>
              </w:rPr>
              <w:t>pour contribuer à la sécurité alimentaire, à l’utilisation rationnelle des zones humides et, en conséquence, au dével</w:t>
            </w:r>
            <w:r w:rsidR="001979B9" w:rsidRPr="001A00DB">
              <w:rPr>
                <w:rFonts w:asciiTheme="majorHAnsi" w:hAnsiTheme="majorHAnsi" w:cs="Arial"/>
                <w:b w:val="0"/>
                <w:sz w:val="20"/>
                <w:szCs w:val="20"/>
                <w:lang w:val="fr-FR"/>
              </w:rPr>
              <w:t xml:space="preserve">oppement durable et équitable. </w:t>
            </w:r>
          </w:p>
          <w:p w14:paraId="021F6BE6" w14:textId="77777777" w:rsidR="00914A1A" w:rsidRPr="001A00DB" w:rsidRDefault="00914A1A" w:rsidP="00914A1A">
            <w:pPr>
              <w:rPr>
                <w:rFonts w:asciiTheme="majorHAnsi" w:hAnsiTheme="majorHAnsi" w:cs="Arial"/>
                <w:b w:val="0"/>
                <w:sz w:val="20"/>
                <w:szCs w:val="20"/>
                <w:lang w:val="fr-FR"/>
              </w:rPr>
            </w:pPr>
          </w:p>
          <w:p w14:paraId="0A7B131A" w14:textId="099F3D5C"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xml:space="preserve"> : </w:t>
            </w:r>
            <w:r w:rsidR="00410B85" w:rsidRPr="001A00DB">
              <w:rPr>
                <w:rFonts w:asciiTheme="majorHAnsi" w:hAnsiTheme="majorHAnsi" w:cs="Arial"/>
                <w:b w:val="0"/>
                <w:sz w:val="20"/>
                <w:szCs w:val="20"/>
                <w:lang w:val="fr-FR"/>
              </w:rPr>
              <w:t>Document d’orientation sur l’</w:t>
            </w:r>
            <w:r w:rsidR="00914A1A" w:rsidRPr="001A00DB">
              <w:rPr>
                <w:rFonts w:asciiTheme="majorHAnsi" w:hAnsiTheme="majorHAnsi" w:cs="Arial"/>
                <w:b w:val="0"/>
                <w:sz w:val="20"/>
                <w:szCs w:val="20"/>
                <w:lang w:val="fr-FR"/>
              </w:rPr>
              <w:t>aquaculture</w:t>
            </w:r>
            <w:r w:rsidR="00E01336" w:rsidRPr="001A00DB">
              <w:rPr>
                <w:rFonts w:asciiTheme="majorHAnsi" w:hAnsiTheme="majorHAnsi" w:cs="Arial"/>
                <w:b w:val="0"/>
                <w:sz w:val="20"/>
                <w:szCs w:val="20"/>
                <w:lang w:val="fr-FR"/>
              </w:rPr>
              <w:t xml:space="preserve"> </w:t>
            </w:r>
            <w:r w:rsidR="00410B85" w:rsidRPr="001A00DB">
              <w:rPr>
                <w:rFonts w:asciiTheme="majorHAnsi" w:hAnsiTheme="majorHAnsi" w:cs="Arial"/>
                <w:b w:val="0"/>
                <w:sz w:val="20"/>
                <w:szCs w:val="20"/>
                <w:lang w:val="fr-FR"/>
              </w:rPr>
              <w:t>et l’utilisation rationnelle des zones humides.</w:t>
            </w:r>
          </w:p>
          <w:p w14:paraId="2E9876EF" w14:textId="77777777" w:rsidR="00914A1A" w:rsidRPr="001A00DB" w:rsidRDefault="00914A1A" w:rsidP="00914A1A">
            <w:pPr>
              <w:rPr>
                <w:rFonts w:asciiTheme="majorHAnsi" w:hAnsiTheme="majorHAnsi" w:cs="Arial"/>
                <w:b w:val="0"/>
                <w:sz w:val="20"/>
                <w:szCs w:val="20"/>
                <w:lang w:val="fr-FR"/>
              </w:rPr>
            </w:pPr>
          </w:p>
          <w:p w14:paraId="6186B29D" w14:textId="43587DF7" w:rsidR="00914A1A" w:rsidRPr="001A00DB" w:rsidRDefault="00931645" w:rsidP="00A1768B">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410B85" w:rsidRPr="001A00DB">
              <w:rPr>
                <w:rFonts w:asciiTheme="majorHAnsi" w:hAnsiTheme="majorHAnsi" w:cs="Arial"/>
                <w:b w:val="0"/>
                <w:sz w:val="20"/>
                <w:szCs w:val="20"/>
                <w:lang w:val="fr-FR"/>
              </w:rPr>
              <w:t xml:space="preserve">Décideurs </w:t>
            </w:r>
            <w:r w:rsidR="00A1768B" w:rsidRPr="001A00DB">
              <w:rPr>
                <w:rFonts w:asciiTheme="majorHAnsi" w:hAnsiTheme="majorHAnsi" w:cs="Arial"/>
                <w:b w:val="0"/>
                <w:sz w:val="20"/>
                <w:szCs w:val="20"/>
                <w:lang w:val="fr-FR"/>
              </w:rPr>
              <w:t>des</w:t>
            </w:r>
            <w:r w:rsidR="00410B85" w:rsidRPr="001A00DB">
              <w:rPr>
                <w:rFonts w:asciiTheme="majorHAnsi" w:hAnsiTheme="majorHAnsi" w:cs="Arial"/>
                <w:b w:val="0"/>
                <w:sz w:val="20"/>
                <w:szCs w:val="20"/>
                <w:lang w:val="fr-FR"/>
              </w:rPr>
              <w:t xml:space="preserve"> communautés de la conservation et de l’</w:t>
            </w:r>
            <w:r w:rsidR="00914A1A" w:rsidRPr="001A00DB">
              <w:rPr>
                <w:rFonts w:asciiTheme="majorHAnsi" w:hAnsiTheme="majorHAnsi" w:cs="Arial"/>
                <w:b w:val="0"/>
                <w:sz w:val="20"/>
                <w:szCs w:val="20"/>
                <w:lang w:val="fr-FR"/>
              </w:rPr>
              <w:t>aquaculture.</w:t>
            </w:r>
            <w:r w:rsidR="00E01336" w:rsidRPr="001A00DB">
              <w:rPr>
                <w:rFonts w:asciiTheme="majorHAnsi" w:hAnsiTheme="majorHAnsi" w:cs="Arial"/>
                <w:b w:val="0"/>
                <w:sz w:val="20"/>
                <w:szCs w:val="20"/>
                <w:lang w:val="fr-FR"/>
              </w:rPr>
              <w:t xml:space="preserve"> </w:t>
            </w:r>
          </w:p>
        </w:tc>
        <w:tc>
          <w:tcPr>
            <w:tcW w:w="494" w:type="pct"/>
          </w:tcPr>
          <w:p w14:paraId="077F0E10" w14:textId="6081B938" w:rsidR="00914A1A" w:rsidRPr="001A00DB" w:rsidRDefault="00485A40" w:rsidP="004F5487">
            <w:pPr>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9</w:t>
            </w:r>
            <w:r w:rsidR="00795F3C" w:rsidRPr="001A00DB">
              <w:rPr>
                <w:rFonts w:asciiTheme="majorHAnsi" w:hAnsiTheme="majorHAnsi" w:cs="Arial"/>
                <w:b w:val="0"/>
                <w:sz w:val="20"/>
                <w:szCs w:val="20"/>
                <w:lang w:val="fr-FR"/>
              </w:rPr>
              <w:t>000 [</w:t>
            </w:r>
            <w:r w:rsidR="004F5487" w:rsidRPr="001A00DB">
              <w:rPr>
                <w:rFonts w:asciiTheme="majorHAnsi" w:hAnsiTheme="majorHAnsi" w:cs="Arial"/>
                <w:b w:val="0"/>
                <w:sz w:val="20"/>
                <w:szCs w:val="20"/>
                <w:lang w:val="fr-FR"/>
              </w:rPr>
              <w:t xml:space="preserve">possibilité d’organiser un petit atelier de </w:t>
            </w:r>
            <w:r w:rsidR="004F5487" w:rsidRPr="001A00DB">
              <w:rPr>
                <w:rFonts w:asciiTheme="majorHAnsi" w:hAnsiTheme="majorHAnsi" w:cs="Arial"/>
                <w:b w:val="0"/>
                <w:sz w:val="20"/>
                <w:szCs w:val="20"/>
                <w:lang w:val="fr-FR"/>
              </w:rPr>
              <w:lastRenderedPageBreak/>
              <w:t xml:space="preserve">rédaction lié au </w:t>
            </w:r>
            <w:r w:rsidR="00795F3C" w:rsidRPr="001A00DB">
              <w:rPr>
                <w:rFonts w:asciiTheme="majorHAnsi" w:hAnsiTheme="majorHAnsi" w:cs="Arial"/>
                <w:b w:val="0"/>
                <w:sz w:val="20"/>
                <w:szCs w:val="20"/>
                <w:lang w:val="fr-FR"/>
              </w:rPr>
              <w:t xml:space="preserve">SoWWS </w:t>
            </w:r>
            <w:r w:rsidR="004F5487" w:rsidRPr="001A00DB">
              <w:rPr>
                <w:rFonts w:asciiTheme="majorHAnsi" w:hAnsiTheme="majorHAnsi" w:cs="Arial"/>
                <w:b w:val="0"/>
                <w:sz w:val="20"/>
                <w:szCs w:val="20"/>
                <w:lang w:val="fr-FR"/>
              </w:rPr>
              <w:t>ou d’autres réunions de rédaction</w:t>
            </w:r>
            <w:r w:rsidR="00795F3C" w:rsidRPr="001A00DB">
              <w:rPr>
                <w:rFonts w:asciiTheme="majorHAnsi" w:hAnsiTheme="majorHAnsi" w:cs="Arial"/>
                <w:b w:val="0"/>
                <w:sz w:val="20"/>
                <w:szCs w:val="20"/>
                <w:lang w:val="fr-FR"/>
              </w:rPr>
              <w:t>]</w:t>
            </w:r>
          </w:p>
        </w:tc>
      </w:tr>
    </w:tbl>
    <w:p w14:paraId="4F6A9B2B" w14:textId="04F48F32" w:rsidR="00836984" w:rsidRPr="001A00DB" w:rsidRDefault="00836984" w:rsidP="00914A1A">
      <w:pPr>
        <w:rPr>
          <w:rFonts w:asciiTheme="majorHAnsi" w:hAnsiTheme="majorHAnsi" w:cs="Arial"/>
          <w:sz w:val="20"/>
          <w:szCs w:val="20"/>
          <w:lang w:val="fr-FR"/>
        </w:rPr>
      </w:pPr>
    </w:p>
    <w:p w14:paraId="35261EB9" w14:textId="77777777" w:rsidR="00836984" w:rsidRPr="001A00DB" w:rsidRDefault="00836984">
      <w:pPr>
        <w:rPr>
          <w:rFonts w:asciiTheme="majorHAnsi" w:hAnsiTheme="majorHAnsi" w:cs="Arial"/>
          <w:sz w:val="20"/>
          <w:szCs w:val="20"/>
          <w:lang w:val="fr-FR"/>
        </w:rPr>
      </w:pPr>
      <w:r w:rsidRPr="001A00DB">
        <w:rPr>
          <w:rFonts w:asciiTheme="majorHAnsi" w:hAnsiTheme="majorHAnsi" w:cs="Arial"/>
          <w:sz w:val="20"/>
          <w:szCs w:val="20"/>
          <w:lang w:val="fr-FR"/>
        </w:rPr>
        <w:br w:type="page"/>
      </w:r>
    </w:p>
    <w:p w14:paraId="13537D24" w14:textId="77777777" w:rsidR="00914A1A" w:rsidRPr="001A00DB" w:rsidRDefault="00914A1A" w:rsidP="00914A1A">
      <w:pPr>
        <w:rPr>
          <w:rFonts w:asciiTheme="majorHAnsi" w:hAnsiTheme="majorHAnsi" w:cs="Arial"/>
          <w:sz w:val="20"/>
          <w:szCs w:val="20"/>
          <w:lang w:val="fr-FR"/>
        </w:rPr>
      </w:pPr>
    </w:p>
    <w:tbl>
      <w:tblPr>
        <w:tblStyle w:val="TableGrid"/>
        <w:tblpPr w:leftFromText="180" w:rightFromText="180" w:horzAnchor="margin" w:tblpY="204"/>
        <w:tblW w:w="5000" w:type="pct"/>
        <w:tblLook w:val="04A0" w:firstRow="1" w:lastRow="0" w:firstColumn="1" w:lastColumn="0" w:noHBand="0" w:noVBand="1"/>
      </w:tblPr>
      <w:tblGrid>
        <w:gridCol w:w="14174"/>
      </w:tblGrid>
      <w:tr w:rsidR="00914A1A" w:rsidRPr="00E7362F" w14:paraId="0079E8A8" w14:textId="77777777" w:rsidTr="00914A1A">
        <w:tc>
          <w:tcPr>
            <w:tcW w:w="5000" w:type="pct"/>
            <w:shd w:val="clear" w:color="auto" w:fill="000000" w:themeFill="text1"/>
          </w:tcPr>
          <w:p w14:paraId="47CF8DA6" w14:textId="2002154C" w:rsidR="00914A1A" w:rsidRPr="00F75FAD" w:rsidRDefault="00AB3020" w:rsidP="006F1B0C">
            <w:pPr>
              <w:pStyle w:val="Heading1"/>
              <w:spacing w:before="0"/>
              <w:outlineLvl w:val="0"/>
              <w:rPr>
                <w:rFonts w:asciiTheme="majorHAnsi" w:hAnsiTheme="majorHAnsi"/>
                <w:b/>
                <w:color w:val="FFFFFF" w:themeColor="background1"/>
                <w:sz w:val="20"/>
                <w:szCs w:val="20"/>
                <w:lang w:val="fr-CH"/>
              </w:rPr>
            </w:pPr>
            <w:bookmarkStart w:id="8" w:name="_Toc455995962"/>
            <w:r w:rsidRPr="00F75FAD">
              <w:rPr>
                <w:rFonts w:asciiTheme="majorHAnsi" w:hAnsiTheme="majorHAnsi"/>
                <w:b/>
                <w:color w:val="FFFFFF" w:themeColor="background1"/>
                <w:sz w:val="20"/>
                <w:szCs w:val="20"/>
                <w:lang w:val="fr-CH"/>
              </w:rPr>
              <w:t>Domaine de travail thématique n</w:t>
            </w:r>
            <w:r w:rsidRPr="00F75FAD">
              <w:rPr>
                <w:rFonts w:asciiTheme="majorHAnsi" w:hAnsiTheme="majorHAnsi"/>
                <w:b/>
                <w:color w:val="FFFFFF" w:themeColor="background1"/>
                <w:sz w:val="20"/>
                <w:szCs w:val="20"/>
                <w:vertAlign w:val="superscript"/>
                <w:lang w:val="fr-CH"/>
              </w:rPr>
              <w:t>o</w:t>
            </w:r>
            <w:r w:rsidRPr="00F75FAD">
              <w:rPr>
                <w:rFonts w:asciiTheme="majorHAnsi" w:hAnsiTheme="majorHAnsi"/>
                <w:b/>
                <w:color w:val="FFFFFF" w:themeColor="background1"/>
                <w:sz w:val="20"/>
                <w:szCs w:val="20"/>
                <w:lang w:val="fr-CH"/>
              </w:rPr>
              <w:t xml:space="preserve"> 5 : </w:t>
            </w:r>
            <w:r w:rsidR="000F4FDF" w:rsidRPr="00F75FAD">
              <w:rPr>
                <w:rFonts w:asciiTheme="majorHAnsi" w:hAnsiTheme="majorHAnsi"/>
                <w:b/>
                <w:color w:val="FFFFFF" w:themeColor="background1"/>
                <w:sz w:val="20"/>
                <w:szCs w:val="20"/>
                <w:lang w:val="fr-CH"/>
              </w:rPr>
              <w:t>Changement climatique et zones humides : Méthodologies novatrices pour la restauration des zones humides</w:t>
            </w:r>
            <w:bookmarkEnd w:id="8"/>
            <w:r w:rsidR="000F4FDF" w:rsidRPr="00F75FAD">
              <w:rPr>
                <w:rFonts w:asciiTheme="majorHAnsi" w:hAnsiTheme="majorHAnsi"/>
                <w:b/>
                <w:color w:val="FFFFFF" w:themeColor="background1"/>
                <w:sz w:val="20"/>
                <w:szCs w:val="20"/>
                <w:lang w:val="fr-CH"/>
              </w:rPr>
              <w:t xml:space="preserve"> </w:t>
            </w:r>
          </w:p>
        </w:tc>
      </w:tr>
    </w:tbl>
    <w:tbl>
      <w:tblPr>
        <w:tblStyle w:val="TableGrid2"/>
        <w:tblW w:w="5000" w:type="pct"/>
        <w:jc w:val="center"/>
        <w:tblLook w:val="04A0" w:firstRow="1" w:lastRow="0" w:firstColumn="1" w:lastColumn="0" w:noHBand="0" w:noVBand="1"/>
      </w:tblPr>
      <w:tblGrid>
        <w:gridCol w:w="3561"/>
        <w:gridCol w:w="10613"/>
      </w:tblGrid>
      <w:tr w:rsidR="00914A1A" w:rsidRPr="00E7362F" w14:paraId="6599B775" w14:textId="77777777" w:rsidTr="00914A1A">
        <w:trPr>
          <w:jc w:val="center"/>
        </w:trPr>
        <w:tc>
          <w:tcPr>
            <w:tcW w:w="1256" w:type="pct"/>
          </w:tcPr>
          <w:p w14:paraId="112FDD3C" w14:textId="3F6EAAAC" w:rsidR="00914A1A" w:rsidRPr="001A00DB" w:rsidRDefault="00A1768B" w:rsidP="00914A1A">
            <w:pPr>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Leader</w:t>
            </w:r>
            <w:r w:rsidR="00C139E4" w:rsidRPr="001A00DB">
              <w:rPr>
                <w:rFonts w:asciiTheme="majorHAnsi" w:eastAsia="Calibri" w:hAnsiTheme="majorHAnsi" w:cs="Arial"/>
                <w:sz w:val="20"/>
                <w:szCs w:val="20"/>
                <w:lang w:val="fr-FR"/>
              </w:rPr>
              <w:t>(s) de groupe de travail et participants :</w:t>
            </w:r>
          </w:p>
        </w:tc>
        <w:tc>
          <w:tcPr>
            <w:tcW w:w="3744" w:type="pct"/>
          </w:tcPr>
          <w:p w14:paraId="74471266" w14:textId="2AAC2A18" w:rsidR="00914A1A" w:rsidRPr="001A00DB" w:rsidRDefault="007E44F1" w:rsidP="007E44F1">
            <w:pPr>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 xml:space="preserve">Susana Aguilar, Peter Davies, Lars Dinesen, </w:t>
            </w:r>
            <w:r w:rsidR="00914A1A" w:rsidRPr="001A00DB">
              <w:rPr>
                <w:rFonts w:asciiTheme="majorHAnsi" w:eastAsia="Calibri" w:hAnsiTheme="majorHAnsi" w:cs="Arial"/>
                <w:b w:val="0"/>
                <w:sz w:val="20"/>
                <w:szCs w:val="20"/>
                <w:lang w:val="fr-FR"/>
              </w:rPr>
              <w:t>Siobhan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Fennessy</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w:t>
            </w:r>
            <w:r w:rsidR="00A1768B" w:rsidRPr="001A00DB">
              <w:rPr>
                <w:rFonts w:asciiTheme="majorHAnsi" w:eastAsia="Calibri" w:hAnsiTheme="majorHAnsi" w:cs="Arial"/>
                <w:b w:val="0"/>
                <w:sz w:val="20"/>
                <w:szCs w:val="20"/>
                <w:lang w:val="fr-FR"/>
              </w:rPr>
              <w:t>co-leader</w:t>
            </w:r>
            <w:r w:rsidR="00914A1A" w:rsidRPr="001A00DB">
              <w:rPr>
                <w:rFonts w:asciiTheme="majorHAnsi" w:eastAsia="Calibri" w:hAnsiTheme="majorHAnsi" w:cs="Arial"/>
                <w:b w:val="0"/>
                <w:sz w:val="20"/>
                <w:szCs w:val="20"/>
                <w:lang w:val="fr-FR"/>
              </w:rPr>
              <w:t>),</w:t>
            </w:r>
            <w:r w:rsidRPr="001A00DB">
              <w:rPr>
                <w:rFonts w:asciiTheme="majorHAnsi" w:eastAsia="Calibri" w:hAnsiTheme="majorHAnsi" w:cs="Arial"/>
                <w:b w:val="0"/>
                <w:sz w:val="20"/>
                <w:szCs w:val="20"/>
                <w:lang w:val="fr-FR"/>
              </w:rPr>
              <w:t xml:space="preserve">Max Finlayson, </w:t>
            </w:r>
            <w:r w:rsidR="00914A1A" w:rsidRPr="001A00DB">
              <w:rPr>
                <w:rFonts w:asciiTheme="majorHAnsi" w:eastAsia="Calibri" w:hAnsiTheme="majorHAnsi" w:cs="Arial"/>
                <w:b w:val="0"/>
                <w:sz w:val="20"/>
                <w:szCs w:val="20"/>
                <w:lang w:val="fr-FR"/>
              </w:rPr>
              <w:t>Vicent</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V.</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Hilomen,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Jari</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Ilmonen,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Kassim</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Kulindwa,</w:t>
            </w:r>
            <w:r w:rsidR="00A62B29" w:rsidRPr="001A00DB">
              <w:rPr>
                <w:rFonts w:asciiTheme="majorHAnsi" w:eastAsia="Calibri" w:hAnsiTheme="majorHAnsi" w:cs="Arial"/>
                <w:b w:val="0"/>
                <w:sz w:val="20"/>
                <w:szCs w:val="20"/>
                <w:lang w:val="fr-FR"/>
              </w:rPr>
              <w:t xml:space="preserve"> Dulce Infante Mata, </w:t>
            </w:r>
            <w:r w:rsidR="00914A1A" w:rsidRPr="001A00DB">
              <w:rPr>
                <w:rFonts w:asciiTheme="majorHAnsi" w:eastAsia="Calibri" w:hAnsiTheme="majorHAnsi" w:cs="Arial"/>
                <w:b w:val="0"/>
                <w:sz w:val="20"/>
                <w:szCs w:val="20"/>
                <w:lang w:val="fr-FR"/>
              </w:rPr>
              <w:t>Ritesh</w:t>
            </w:r>
            <w:r w:rsidR="00E01336" w:rsidRPr="001A00DB">
              <w:rPr>
                <w:rFonts w:asciiTheme="majorHAnsi" w:eastAsia="Calibri" w:hAnsiTheme="majorHAnsi" w:cs="Arial"/>
                <w:b w:val="0"/>
                <w:sz w:val="20"/>
                <w:szCs w:val="20"/>
                <w:lang w:val="fr-FR"/>
              </w:rPr>
              <w:t xml:space="preserve"> </w:t>
            </w:r>
            <w:r w:rsidR="000F4FDF" w:rsidRPr="001A00DB">
              <w:rPr>
                <w:rFonts w:asciiTheme="majorHAnsi" w:eastAsia="Calibri" w:hAnsiTheme="majorHAnsi" w:cs="Arial"/>
                <w:b w:val="0"/>
                <w:sz w:val="20"/>
                <w:szCs w:val="20"/>
                <w:lang w:val="fr-FR"/>
              </w:rPr>
              <w:t>Kumar</w:t>
            </w:r>
            <w:r w:rsidRPr="001A00DB">
              <w:rPr>
                <w:rFonts w:asciiTheme="majorHAnsi" w:eastAsia="Calibri" w:hAnsiTheme="majorHAnsi" w:cs="Arial"/>
                <w:b w:val="0"/>
                <w:sz w:val="20"/>
                <w:szCs w:val="20"/>
                <w:lang w:val="fr-FR"/>
              </w:rPr>
              <w:t>, Guangchun Lei (co-leader)</w:t>
            </w:r>
          </w:p>
        </w:tc>
      </w:tr>
      <w:tr w:rsidR="00914A1A" w:rsidRPr="00E7362F" w14:paraId="0DB5D064" w14:textId="77777777" w:rsidTr="00914A1A">
        <w:trPr>
          <w:jc w:val="center"/>
        </w:trPr>
        <w:tc>
          <w:tcPr>
            <w:tcW w:w="1256" w:type="pct"/>
          </w:tcPr>
          <w:p w14:paraId="151137B0" w14:textId="5A5664A2" w:rsidR="00914A1A" w:rsidRPr="001A00DB" w:rsidRDefault="00C139E4" w:rsidP="00914A1A">
            <w:pPr>
              <w:rPr>
                <w:rFonts w:asciiTheme="majorHAnsi" w:eastAsia="Calibri" w:hAnsiTheme="majorHAnsi" w:cs="Arial"/>
                <w:sz w:val="20"/>
                <w:szCs w:val="20"/>
                <w:lang w:val="fr-FR"/>
              </w:rPr>
            </w:pPr>
            <w:r w:rsidRPr="001A00DB">
              <w:rPr>
                <w:rFonts w:asciiTheme="majorHAnsi" w:eastAsia="Calibri" w:hAnsiTheme="majorHAnsi" w:cs="Arial"/>
                <w:sz w:val="20"/>
                <w:szCs w:val="20"/>
                <w:lang w:val="fr-FR"/>
              </w:rPr>
              <w:t>Organisations participantes : [OIP/observateurs/autres]</w:t>
            </w:r>
          </w:p>
        </w:tc>
        <w:tc>
          <w:tcPr>
            <w:tcW w:w="3744" w:type="pct"/>
          </w:tcPr>
          <w:p w14:paraId="50920AD1" w14:textId="68D774F2" w:rsidR="00914A1A" w:rsidRPr="001A00DB" w:rsidRDefault="00663A6C" w:rsidP="001979B9">
            <w:pPr>
              <w:rPr>
                <w:rFonts w:asciiTheme="majorHAnsi" w:eastAsia="Calibri" w:hAnsiTheme="majorHAnsi" w:cs="Arial"/>
                <w:b w:val="0"/>
                <w:sz w:val="20"/>
                <w:szCs w:val="20"/>
                <w:lang w:val="fr-FR"/>
              </w:rPr>
            </w:pPr>
            <w:r w:rsidRPr="001A00DB">
              <w:rPr>
                <w:rFonts w:asciiTheme="majorHAnsi" w:eastAsia="Calibri" w:hAnsiTheme="majorHAnsi" w:cs="Arial"/>
                <w:b w:val="0"/>
                <w:sz w:val="20"/>
                <w:szCs w:val="20"/>
                <w:lang w:val="fr-FR"/>
              </w:rPr>
              <w:t xml:space="preserve">BirdLife International (Zoltan Waliczky), </w:t>
            </w:r>
            <w:r w:rsidR="00914A1A" w:rsidRPr="001A00DB">
              <w:rPr>
                <w:rFonts w:asciiTheme="majorHAnsi" w:eastAsia="Calibri" w:hAnsiTheme="majorHAnsi" w:cs="Arial"/>
                <w:b w:val="0"/>
                <w:sz w:val="20"/>
                <w:szCs w:val="20"/>
                <w:lang w:val="fr-FR"/>
              </w:rPr>
              <w:t>WI</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(Marcel</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Silvius)/</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UNESCO-MAB</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(Marie</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Prchalova),</w:t>
            </w:r>
            <w:r w:rsidR="001979B9" w:rsidRPr="001A00DB">
              <w:rPr>
                <w:rFonts w:asciiTheme="majorHAnsi" w:eastAsia="Calibri" w:hAnsiTheme="majorHAnsi" w:cs="Arial"/>
                <w:b w:val="0"/>
                <w:sz w:val="20"/>
                <w:szCs w:val="20"/>
                <w:lang w:val="fr-FR"/>
              </w:rPr>
              <w:t xml:space="preserve"> SWS (Nick Davidson), </w:t>
            </w:r>
            <w:r w:rsidR="00914A1A" w:rsidRPr="001A00DB">
              <w:rPr>
                <w:rFonts w:asciiTheme="majorHAnsi" w:eastAsia="Calibri" w:hAnsiTheme="majorHAnsi" w:cs="Arial"/>
                <w:b w:val="0"/>
                <w:sz w:val="20"/>
                <w:szCs w:val="20"/>
                <w:lang w:val="fr-FR"/>
              </w:rPr>
              <w:t>Tour</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du</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Valat</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(Christian</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Perennou)</w:t>
            </w:r>
            <w:r w:rsidR="001979B9" w:rsidRPr="001A00DB">
              <w:rPr>
                <w:rFonts w:asciiTheme="majorHAnsi" w:eastAsia="Calibri" w:hAnsiTheme="majorHAnsi" w:cs="Arial"/>
                <w:b w:val="0"/>
                <w:sz w:val="20"/>
                <w:szCs w:val="20"/>
                <w:lang w:val="fr-FR"/>
              </w:rPr>
              <w:t>, ONU-Habitat (Rob McInnes)</w:t>
            </w:r>
            <w:r w:rsidR="00914A1A"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000F4FDF" w:rsidRPr="001A00DB">
              <w:rPr>
                <w:rFonts w:asciiTheme="majorHAnsi" w:eastAsia="Calibri" w:hAnsiTheme="majorHAnsi" w:cs="Arial"/>
                <w:b w:val="0"/>
                <w:sz w:val="20"/>
                <w:szCs w:val="20"/>
                <w:lang w:val="fr-FR"/>
              </w:rPr>
              <w:t>CN GEST</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Canada</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(Barry</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Warner),</w:t>
            </w:r>
            <w:r w:rsidR="00E01336" w:rsidRPr="001A00DB">
              <w:rPr>
                <w:rFonts w:asciiTheme="majorHAnsi" w:eastAsia="Calibri" w:hAnsiTheme="majorHAnsi" w:cs="Arial"/>
                <w:b w:val="0"/>
                <w:sz w:val="20"/>
                <w:szCs w:val="20"/>
                <w:lang w:val="fr-FR"/>
              </w:rPr>
              <w:t xml:space="preserve"> </w:t>
            </w:r>
            <w:r w:rsidR="000F4FDF" w:rsidRPr="001A00DB">
              <w:rPr>
                <w:rFonts w:asciiTheme="majorHAnsi" w:eastAsia="Calibri" w:hAnsiTheme="majorHAnsi" w:cs="Arial"/>
                <w:b w:val="0"/>
                <w:sz w:val="20"/>
                <w:szCs w:val="20"/>
                <w:lang w:val="fr-FR"/>
              </w:rPr>
              <w:t>CN GEST Malaisie</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(Abdulla</w:t>
            </w:r>
            <w:r w:rsidR="00E01336" w:rsidRPr="001A00DB">
              <w:rPr>
                <w:rFonts w:asciiTheme="majorHAnsi" w:eastAsia="Calibri" w:hAnsiTheme="majorHAnsi" w:cs="Arial"/>
                <w:b w:val="0"/>
                <w:sz w:val="20"/>
                <w:szCs w:val="20"/>
                <w:lang w:val="fr-FR"/>
              </w:rPr>
              <w:t xml:space="preserve"> </w:t>
            </w:r>
            <w:r w:rsidR="00914A1A" w:rsidRPr="001A00DB">
              <w:rPr>
                <w:rFonts w:asciiTheme="majorHAnsi" w:eastAsia="Calibri" w:hAnsiTheme="majorHAnsi" w:cs="Arial"/>
                <w:b w:val="0"/>
                <w:sz w:val="20"/>
                <w:szCs w:val="20"/>
                <w:lang w:val="fr-FR"/>
              </w:rPr>
              <w:t>Rahman</w:t>
            </w:r>
            <w:r w:rsidRPr="001A00DB">
              <w:rPr>
                <w:rFonts w:asciiTheme="majorHAnsi" w:eastAsia="Calibri" w:hAnsiTheme="majorHAnsi" w:cs="Arial"/>
                <w:b w:val="0"/>
                <w:sz w:val="20"/>
                <w:szCs w:val="20"/>
                <w:lang w:val="fr-FR"/>
              </w:rPr>
              <w:t xml:space="preserve"> Kassim</w:t>
            </w:r>
            <w:r w:rsidR="00914A1A" w:rsidRPr="001A00DB">
              <w:rPr>
                <w:rFonts w:asciiTheme="majorHAnsi" w:eastAsia="Calibri" w:hAnsiTheme="majorHAnsi" w:cs="Arial"/>
                <w:b w:val="0"/>
                <w:sz w:val="20"/>
                <w:szCs w:val="20"/>
                <w:lang w:val="fr-FR"/>
              </w:rPr>
              <w:t>),</w:t>
            </w:r>
            <w:r w:rsidRPr="001A00DB">
              <w:rPr>
                <w:rFonts w:asciiTheme="majorHAnsi" w:eastAsia="Calibri" w:hAnsiTheme="majorHAnsi" w:cs="Arial"/>
                <w:b w:val="0"/>
                <w:sz w:val="20"/>
                <w:szCs w:val="20"/>
                <w:lang w:val="fr-FR"/>
              </w:rPr>
              <w:t xml:space="preserve"> CN GEST Portugal (Ana Mendes)</w:t>
            </w:r>
            <w:r w:rsidR="00914A1A" w:rsidRPr="001A00DB">
              <w:rPr>
                <w:rFonts w:asciiTheme="majorHAnsi" w:eastAsia="Calibri" w:hAnsiTheme="majorHAnsi" w:cs="Arial"/>
                <w:b w:val="0"/>
                <w:sz w:val="20"/>
                <w:szCs w:val="20"/>
                <w:lang w:val="fr-FR"/>
              </w:rPr>
              <w:t>,</w:t>
            </w:r>
            <w:r w:rsidR="00E01336" w:rsidRPr="001A00DB">
              <w:rPr>
                <w:rFonts w:asciiTheme="majorHAnsi" w:eastAsia="Calibri" w:hAnsiTheme="majorHAnsi" w:cs="Arial"/>
                <w:b w:val="0"/>
                <w:sz w:val="20"/>
                <w:szCs w:val="20"/>
                <w:lang w:val="fr-FR"/>
              </w:rPr>
              <w:t xml:space="preserve"> </w:t>
            </w:r>
            <w:r w:rsidRPr="001A00DB">
              <w:rPr>
                <w:rFonts w:asciiTheme="majorHAnsi" w:eastAsia="Calibri" w:hAnsiTheme="majorHAnsi" w:cs="Arial"/>
                <w:b w:val="0"/>
                <w:sz w:val="20"/>
                <w:szCs w:val="20"/>
                <w:lang w:val="fr-FR"/>
              </w:rPr>
              <w:t>Société internationale de la tourbe (Jack Rieley)</w:t>
            </w:r>
          </w:p>
        </w:tc>
      </w:tr>
    </w:tbl>
    <w:p w14:paraId="1308455A" w14:textId="77777777" w:rsidR="00914A1A" w:rsidRPr="001A00DB" w:rsidRDefault="00914A1A" w:rsidP="00914A1A">
      <w:pPr>
        <w:rPr>
          <w:rFonts w:asciiTheme="majorHAnsi" w:hAnsiTheme="majorHAnsi" w:cs="Arial"/>
          <w:sz w:val="20"/>
          <w:szCs w:val="20"/>
          <w:lang w:val="fr-FR"/>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61"/>
        <w:gridCol w:w="801"/>
        <w:gridCol w:w="1005"/>
        <w:gridCol w:w="1132"/>
        <w:gridCol w:w="8361"/>
        <w:gridCol w:w="1396"/>
      </w:tblGrid>
      <w:tr w:rsidR="00914A1A" w:rsidRPr="001A00DB" w14:paraId="32EAE771" w14:textId="77777777" w:rsidTr="00CA5375">
        <w:trPr>
          <w:tblHeader/>
        </w:trPr>
        <w:tc>
          <w:tcPr>
            <w:tcW w:w="516" w:type="pct"/>
            <w:shd w:val="clear" w:color="auto" w:fill="D9D9D9" w:themeFill="background1" w:themeFillShade="D9"/>
          </w:tcPr>
          <w:p w14:paraId="5A0899A1" w14:textId="3F490D08" w:rsidR="00914A1A" w:rsidRPr="001A00DB" w:rsidRDefault="00E64065"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N</w:t>
            </w:r>
            <w:r w:rsidRPr="001A00DB">
              <w:rPr>
                <w:rFonts w:asciiTheme="majorHAnsi" w:hAnsiTheme="majorHAnsi" w:cs="Arial"/>
                <w:sz w:val="20"/>
                <w:szCs w:val="20"/>
                <w:vertAlign w:val="superscript"/>
                <w:lang w:val="fr-FR"/>
              </w:rPr>
              <w:t>o</w:t>
            </w:r>
            <w:r w:rsidRPr="001A00DB">
              <w:rPr>
                <w:rFonts w:asciiTheme="majorHAnsi" w:hAnsiTheme="majorHAnsi" w:cs="Arial"/>
                <w:sz w:val="20"/>
                <w:szCs w:val="20"/>
                <w:lang w:val="fr-FR"/>
              </w:rPr>
              <w:t xml:space="preserve"> de tâche, titre</w:t>
            </w:r>
          </w:p>
        </w:tc>
        <w:tc>
          <w:tcPr>
            <w:tcW w:w="283" w:type="pct"/>
            <w:shd w:val="clear" w:color="auto" w:fill="D9D9D9" w:themeFill="background1" w:themeFillShade="D9"/>
          </w:tcPr>
          <w:p w14:paraId="16FA8930" w14:textId="58F14BAF" w:rsidR="00914A1A" w:rsidRPr="001A00DB" w:rsidRDefault="00E64065"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Priorité</w:t>
            </w:r>
          </w:p>
        </w:tc>
        <w:tc>
          <w:tcPr>
            <w:tcW w:w="355" w:type="pct"/>
            <w:shd w:val="clear" w:color="auto" w:fill="D9D9D9" w:themeFill="background1" w:themeFillShade="D9"/>
          </w:tcPr>
          <w:p w14:paraId="246DA5CB" w14:textId="38728D5C" w:rsidR="00914A1A" w:rsidRPr="001A00DB" w:rsidRDefault="00E64065"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Résolution</w:t>
            </w:r>
          </w:p>
        </w:tc>
        <w:tc>
          <w:tcPr>
            <w:tcW w:w="400" w:type="pct"/>
            <w:shd w:val="clear" w:color="auto" w:fill="D9D9D9" w:themeFill="background1" w:themeFillShade="D9"/>
          </w:tcPr>
          <w:p w14:paraId="1D7E2ECC" w14:textId="7D7039FC" w:rsidR="00914A1A" w:rsidRPr="001A00DB" w:rsidRDefault="00E64065" w:rsidP="00914A1A">
            <w:pPr>
              <w:jc w:val="center"/>
              <w:rPr>
                <w:rFonts w:asciiTheme="majorHAnsi" w:hAnsiTheme="majorHAnsi" w:cs="Arial"/>
                <w:sz w:val="20"/>
                <w:szCs w:val="20"/>
                <w:lang w:val="fr-FR"/>
              </w:rPr>
            </w:pPr>
            <w:r w:rsidRPr="001A00DB">
              <w:rPr>
                <w:rFonts w:asciiTheme="majorHAnsi" w:eastAsia="Calibri" w:hAnsiTheme="majorHAnsi" w:cs="Arial"/>
                <w:sz w:val="20"/>
                <w:szCs w:val="20"/>
                <w:lang w:val="fr-FR"/>
              </w:rPr>
              <w:t>But et objectif PS</w:t>
            </w:r>
          </w:p>
        </w:tc>
        <w:tc>
          <w:tcPr>
            <w:tcW w:w="2953" w:type="pct"/>
            <w:shd w:val="clear" w:color="auto" w:fill="D9D9D9" w:themeFill="background1" w:themeFillShade="D9"/>
          </w:tcPr>
          <w:p w14:paraId="0CD5F79E" w14:textId="06ADBF0A" w:rsidR="00914A1A" w:rsidRPr="001A00DB" w:rsidRDefault="00E64065" w:rsidP="00E64065">
            <w:pPr>
              <w:jc w:val="center"/>
              <w:rPr>
                <w:rFonts w:asciiTheme="majorHAnsi" w:hAnsiTheme="majorHAnsi" w:cs="Arial"/>
                <w:sz w:val="20"/>
                <w:szCs w:val="20"/>
                <w:lang w:val="fr-FR"/>
              </w:rPr>
            </w:pPr>
            <w:r w:rsidRPr="001A00DB">
              <w:rPr>
                <w:rFonts w:asciiTheme="majorHAnsi" w:hAnsiTheme="majorHAnsi" w:cs="Arial"/>
                <w:sz w:val="20"/>
                <w:szCs w:val="20"/>
                <w:lang w:val="fr-FR"/>
              </w:rPr>
              <w:t>Description de tâche, public ciblé et résultats escomptés</w:t>
            </w:r>
          </w:p>
        </w:tc>
        <w:tc>
          <w:tcPr>
            <w:tcW w:w="493" w:type="pct"/>
            <w:shd w:val="clear" w:color="auto" w:fill="D9D9D9" w:themeFill="background1" w:themeFillShade="D9"/>
          </w:tcPr>
          <w:p w14:paraId="07892206" w14:textId="7B0D0CA9" w:rsidR="00914A1A" w:rsidRPr="001A00DB" w:rsidRDefault="00E64065" w:rsidP="00914A1A">
            <w:pPr>
              <w:jc w:val="center"/>
              <w:rPr>
                <w:rFonts w:asciiTheme="majorHAnsi" w:hAnsiTheme="majorHAnsi" w:cs="Arial"/>
                <w:sz w:val="20"/>
                <w:szCs w:val="20"/>
                <w:lang w:val="fr-FR"/>
              </w:rPr>
            </w:pPr>
            <w:r w:rsidRPr="001A00DB">
              <w:rPr>
                <w:rFonts w:asciiTheme="majorHAnsi" w:hAnsiTheme="majorHAnsi" w:cs="Arial"/>
                <w:sz w:val="20"/>
                <w:szCs w:val="20"/>
                <w:lang w:val="fr-FR"/>
              </w:rPr>
              <w:t>Coûts</w:t>
            </w:r>
            <w:r w:rsidR="00E01336" w:rsidRPr="001A00DB">
              <w:rPr>
                <w:rFonts w:asciiTheme="majorHAnsi" w:hAnsiTheme="majorHAnsi" w:cs="Arial"/>
                <w:sz w:val="20"/>
                <w:szCs w:val="20"/>
                <w:lang w:val="fr-FR"/>
              </w:rPr>
              <w:t xml:space="preserve"> </w:t>
            </w:r>
            <w:r w:rsidR="00914A1A" w:rsidRPr="001A00DB">
              <w:rPr>
                <w:rFonts w:asciiTheme="majorHAnsi" w:hAnsiTheme="majorHAnsi" w:cs="Arial"/>
                <w:sz w:val="20"/>
                <w:szCs w:val="20"/>
                <w:lang w:val="fr-FR"/>
              </w:rPr>
              <w:t>CHF</w:t>
            </w:r>
          </w:p>
        </w:tc>
      </w:tr>
      <w:tr w:rsidR="00914A1A" w:rsidRPr="00E7362F" w14:paraId="47719E1F" w14:textId="77777777" w:rsidTr="00CA5375">
        <w:tc>
          <w:tcPr>
            <w:tcW w:w="516" w:type="pct"/>
          </w:tcPr>
          <w:p w14:paraId="78BDBAC8" w14:textId="18988595" w:rsidR="00914A1A" w:rsidRPr="001A00DB" w:rsidRDefault="00914A1A" w:rsidP="000F4FDF">
            <w:pPr>
              <w:rPr>
                <w:rFonts w:asciiTheme="majorHAnsi" w:hAnsiTheme="majorHAnsi" w:cs="Arial"/>
                <w:b w:val="0"/>
                <w:sz w:val="20"/>
                <w:szCs w:val="20"/>
                <w:lang w:val="fr-FR" w:eastAsia="zh-CN"/>
              </w:rPr>
            </w:pPr>
            <w:r w:rsidRPr="001A00DB">
              <w:rPr>
                <w:rFonts w:asciiTheme="majorHAnsi" w:hAnsiTheme="majorHAnsi" w:cs="Arial"/>
                <w:b w:val="0"/>
                <w:sz w:val="20"/>
                <w:szCs w:val="20"/>
                <w:lang w:val="fr-FR" w:eastAsia="zh-CN"/>
              </w:rPr>
              <w:t>5.1</w:t>
            </w:r>
            <w:r w:rsidR="00E01336" w:rsidRPr="001A00DB">
              <w:rPr>
                <w:rFonts w:asciiTheme="majorHAnsi" w:hAnsiTheme="majorHAnsi" w:cs="Arial"/>
                <w:b w:val="0"/>
                <w:sz w:val="20"/>
                <w:szCs w:val="20"/>
                <w:lang w:val="fr-FR" w:eastAsia="zh-CN"/>
              </w:rPr>
              <w:t xml:space="preserve"> </w:t>
            </w:r>
            <w:r w:rsidR="000F4FDF" w:rsidRPr="001A00DB">
              <w:rPr>
                <w:rFonts w:asciiTheme="majorHAnsi" w:hAnsiTheme="majorHAnsi" w:cs="Arial"/>
                <w:b w:val="0"/>
                <w:sz w:val="20"/>
                <w:szCs w:val="20"/>
                <w:lang w:val="fr-FR" w:eastAsia="zh-CN"/>
              </w:rPr>
              <w:t>Promouvoir les meilleures pratiques de restauration des zones humides</w:t>
            </w:r>
          </w:p>
        </w:tc>
        <w:tc>
          <w:tcPr>
            <w:tcW w:w="283" w:type="pct"/>
          </w:tcPr>
          <w:p w14:paraId="21B3779B" w14:textId="1CAEE89B" w:rsidR="00914A1A" w:rsidRPr="001A00DB" w:rsidRDefault="00C70B86" w:rsidP="00C70B86">
            <w:pPr>
              <w:rPr>
                <w:rFonts w:asciiTheme="majorHAnsi" w:hAnsiTheme="majorHAnsi" w:cs="Arial"/>
                <w:b w:val="0"/>
                <w:sz w:val="20"/>
                <w:szCs w:val="20"/>
                <w:lang w:val="fr-FR"/>
              </w:rPr>
            </w:pPr>
            <w:r w:rsidRPr="001A00DB">
              <w:rPr>
                <w:rFonts w:asciiTheme="majorHAnsi" w:hAnsiTheme="majorHAnsi" w:cs="Arial"/>
                <w:b w:val="0"/>
                <w:sz w:val="20"/>
                <w:szCs w:val="20"/>
                <w:lang w:val="fr-FR"/>
              </w:rPr>
              <w:t>H</w:t>
            </w:r>
            <w:r w:rsidR="008E6B37" w:rsidRPr="001A00DB">
              <w:rPr>
                <w:rFonts w:asciiTheme="majorHAnsi" w:hAnsiTheme="majorHAnsi" w:cs="Arial"/>
                <w:b w:val="0"/>
                <w:sz w:val="20"/>
                <w:szCs w:val="20"/>
                <w:lang w:val="fr-FR"/>
              </w:rPr>
              <w:t>aute</w:t>
            </w:r>
          </w:p>
        </w:tc>
        <w:tc>
          <w:tcPr>
            <w:tcW w:w="355" w:type="pct"/>
          </w:tcPr>
          <w:p w14:paraId="7D002CFA" w14:textId="7F38DA7B" w:rsidR="00914A1A" w:rsidRPr="001A00DB" w:rsidRDefault="00811EC6"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XII.2; XII.11, </w:t>
            </w:r>
            <w:r w:rsidRPr="001A00DB">
              <w:rPr>
                <w:rFonts w:ascii="Calibri" w:hAnsi="Calibri" w:cs="Arial"/>
                <w:b w:val="0"/>
                <w:sz w:val="20"/>
                <w:szCs w:val="20"/>
                <w:lang w:val="fr-FR"/>
              </w:rPr>
              <w:t>¶</w:t>
            </w:r>
            <w:r w:rsidRPr="001A00DB">
              <w:rPr>
                <w:rFonts w:asciiTheme="majorHAnsi" w:hAnsiTheme="majorHAnsi" w:cs="Arial"/>
                <w:b w:val="0"/>
                <w:sz w:val="20"/>
                <w:szCs w:val="20"/>
                <w:lang w:val="fr-FR"/>
              </w:rPr>
              <w:t xml:space="preserve"> 28</w:t>
            </w:r>
          </w:p>
        </w:tc>
        <w:tc>
          <w:tcPr>
            <w:tcW w:w="400" w:type="pct"/>
          </w:tcPr>
          <w:p w14:paraId="0ACA7174" w14:textId="12AEEC2A" w:rsidR="00914A1A" w:rsidRPr="001A00DB" w:rsidRDefault="00811EC6" w:rsidP="00914A1A">
            <w:pPr>
              <w:rPr>
                <w:rFonts w:asciiTheme="majorHAnsi" w:eastAsia="Calibri" w:hAnsiTheme="majorHAnsi" w:cs="Arial"/>
                <w:b w:val="0"/>
                <w:bCs/>
                <w:sz w:val="20"/>
                <w:szCs w:val="20"/>
                <w:lang w:val="fr-FR"/>
              </w:rPr>
            </w:pPr>
            <w:r w:rsidRPr="001A00DB">
              <w:rPr>
                <w:rFonts w:asciiTheme="majorHAnsi" w:hAnsiTheme="majorHAnsi" w:cs="Arial"/>
                <w:b w:val="0"/>
                <w:sz w:val="20"/>
                <w:szCs w:val="20"/>
                <w:lang w:val="fr-FR" w:eastAsia="zh-CN"/>
              </w:rPr>
              <w:t>1.3, 1.4; 2.5, 2.7; 3.8,</w:t>
            </w:r>
            <w:r w:rsidR="004F5487" w:rsidRPr="001A00DB">
              <w:rPr>
                <w:rFonts w:asciiTheme="majorHAnsi" w:hAnsiTheme="majorHAnsi" w:cs="Arial"/>
                <w:b w:val="0"/>
                <w:sz w:val="20"/>
                <w:szCs w:val="20"/>
                <w:lang w:val="fr-FR" w:eastAsia="zh-CN"/>
              </w:rPr>
              <w:t xml:space="preserve"> </w:t>
            </w:r>
            <w:r w:rsidRPr="001A00DB">
              <w:rPr>
                <w:rFonts w:asciiTheme="majorHAnsi" w:hAnsiTheme="majorHAnsi" w:cs="Arial"/>
                <w:b w:val="0"/>
                <w:sz w:val="20"/>
                <w:szCs w:val="20"/>
                <w:lang w:val="fr-FR" w:eastAsia="zh-CN"/>
              </w:rPr>
              <w:t>3.9, 3.11, 3.12; 4.14</w:t>
            </w:r>
          </w:p>
        </w:tc>
        <w:tc>
          <w:tcPr>
            <w:tcW w:w="2953" w:type="pct"/>
          </w:tcPr>
          <w:p w14:paraId="136F21B8" w14:textId="4133DB4E" w:rsidR="00914A1A" w:rsidRPr="001A00DB" w:rsidRDefault="00931645" w:rsidP="00914A1A">
            <w:pPr>
              <w:tabs>
                <w:tab w:val="left" w:pos="0"/>
              </w:tab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914A1A" w:rsidRPr="001A00DB">
              <w:rPr>
                <w:rFonts w:asciiTheme="majorHAnsi" w:hAnsiTheme="majorHAnsi" w:cs="Arial"/>
                <w:b w:val="0"/>
                <w:sz w:val="20"/>
                <w:szCs w:val="20"/>
                <w:lang w:val="fr-FR"/>
              </w:rPr>
              <w:t>Compil</w:t>
            </w:r>
            <w:r w:rsidR="000F4FDF" w:rsidRPr="001A00DB">
              <w:rPr>
                <w:rFonts w:asciiTheme="majorHAnsi" w:hAnsiTheme="majorHAnsi" w:cs="Arial"/>
                <w:b w:val="0"/>
                <w:sz w:val="20"/>
                <w:szCs w:val="20"/>
                <w:lang w:val="fr-FR"/>
              </w:rPr>
              <w:t xml:space="preserve">er les meilleures pratiques de restauration des zones humides pour l’atténuation des changements climatiques et l’adaptation à ces changements, y compris les politiques, instruments et incitations et les innovations techniques de différentes régions. </w:t>
            </w:r>
          </w:p>
          <w:p w14:paraId="296D5AA0" w14:textId="77777777" w:rsidR="00914A1A" w:rsidRPr="001A00DB" w:rsidRDefault="00914A1A" w:rsidP="00914A1A">
            <w:pPr>
              <w:tabs>
                <w:tab w:val="left" w:pos="0"/>
              </w:tabs>
              <w:rPr>
                <w:rFonts w:asciiTheme="majorHAnsi" w:hAnsiTheme="majorHAnsi" w:cs="Arial"/>
                <w:sz w:val="20"/>
                <w:szCs w:val="20"/>
                <w:u w:val="single"/>
                <w:lang w:val="fr-FR"/>
              </w:rPr>
            </w:pPr>
          </w:p>
          <w:p w14:paraId="633A6A3D" w14:textId="2CAE656C" w:rsidR="00914A1A" w:rsidRPr="001A00DB" w:rsidRDefault="00931645" w:rsidP="00914A1A">
            <w:pPr>
              <w:tabs>
                <w:tab w:val="left" w:pos="0"/>
              </w:tab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xml:space="preserve"> : </w:t>
            </w:r>
          </w:p>
          <w:p w14:paraId="530A9641" w14:textId="2F3876B7" w:rsidR="00914A1A" w:rsidRPr="001A00DB" w:rsidRDefault="00914A1A" w:rsidP="00914A1A">
            <w:pPr>
              <w:tabs>
                <w:tab w:val="left" w:pos="0"/>
              </w:tabs>
              <w:rPr>
                <w:rFonts w:asciiTheme="majorHAnsi" w:hAnsiTheme="majorHAnsi" w:cs="Arial"/>
                <w:b w:val="0"/>
                <w:sz w:val="20"/>
                <w:szCs w:val="20"/>
                <w:lang w:val="fr-FR"/>
              </w:rPr>
            </w:pPr>
            <w:r w:rsidRPr="001A00DB">
              <w:rPr>
                <w:rFonts w:asciiTheme="majorHAnsi" w:hAnsiTheme="majorHAnsi" w:cs="Arial"/>
                <w:b w:val="0"/>
                <w:sz w:val="20"/>
                <w:szCs w:val="20"/>
                <w:lang w:val="fr-FR"/>
              </w:rPr>
              <w:t>1)</w:t>
            </w:r>
            <w:r w:rsidR="00E01336" w:rsidRPr="001A00DB">
              <w:rPr>
                <w:rFonts w:asciiTheme="majorHAnsi" w:hAnsiTheme="majorHAnsi" w:cs="Arial"/>
                <w:b w:val="0"/>
                <w:sz w:val="20"/>
                <w:szCs w:val="20"/>
                <w:lang w:val="fr-FR"/>
              </w:rPr>
              <w:t xml:space="preserve"> </w:t>
            </w:r>
            <w:r w:rsidR="000F4FDF" w:rsidRPr="001A00DB">
              <w:rPr>
                <w:rFonts w:asciiTheme="majorHAnsi" w:hAnsiTheme="majorHAnsi" w:cs="Arial"/>
                <w:b w:val="0"/>
                <w:sz w:val="20"/>
                <w:szCs w:val="20"/>
                <w:lang w:val="fr-FR"/>
              </w:rPr>
              <w:t>En s’appuyant sur la note d’information Ramsar</w:t>
            </w:r>
            <w:r w:rsidR="00811EC6" w:rsidRPr="001A00DB">
              <w:rPr>
                <w:rFonts w:asciiTheme="majorHAnsi" w:hAnsiTheme="majorHAnsi" w:cs="Arial"/>
                <w:b w:val="0"/>
                <w:sz w:val="20"/>
                <w:szCs w:val="20"/>
                <w:lang w:val="fr-FR"/>
              </w:rPr>
              <w:t xml:space="preserve"> n° 5</w:t>
            </w:r>
            <w:r w:rsidRPr="001A00DB">
              <w:rPr>
                <w:rFonts w:asciiTheme="majorHAnsi" w:hAnsiTheme="majorHAnsi" w:cs="Arial"/>
                <w:b w:val="0"/>
                <w:sz w:val="20"/>
                <w:szCs w:val="20"/>
                <w:lang w:val="fr-FR"/>
              </w:rPr>
              <w:t>,</w:t>
            </w:r>
            <w:r w:rsidR="00E01336" w:rsidRPr="001A00DB">
              <w:rPr>
                <w:rFonts w:asciiTheme="majorHAnsi" w:hAnsiTheme="majorHAnsi" w:cs="Arial"/>
                <w:b w:val="0"/>
                <w:sz w:val="20"/>
                <w:szCs w:val="20"/>
                <w:lang w:val="fr-FR"/>
              </w:rPr>
              <w:t xml:space="preserve"> </w:t>
            </w:r>
            <w:r w:rsidR="000F4FDF" w:rsidRPr="001A00DB">
              <w:rPr>
                <w:rFonts w:asciiTheme="majorHAnsi" w:hAnsiTheme="majorHAnsi" w:cs="Arial"/>
                <w:b w:val="0"/>
                <w:sz w:val="20"/>
                <w:szCs w:val="20"/>
                <w:lang w:val="fr-FR"/>
              </w:rPr>
              <w:t xml:space="preserve">une nouvelle note d’information soulignera le potentiel et </w:t>
            </w:r>
            <w:r w:rsidR="00A1768B" w:rsidRPr="001A00DB">
              <w:rPr>
                <w:rFonts w:asciiTheme="majorHAnsi" w:hAnsiTheme="majorHAnsi" w:cs="Arial"/>
                <w:b w:val="0"/>
                <w:sz w:val="20"/>
                <w:szCs w:val="20"/>
                <w:lang w:val="fr-FR"/>
              </w:rPr>
              <w:t>la justification de</w:t>
            </w:r>
            <w:r w:rsidR="000F4FDF" w:rsidRPr="001A00DB">
              <w:rPr>
                <w:rFonts w:asciiTheme="majorHAnsi" w:hAnsiTheme="majorHAnsi" w:cs="Arial"/>
                <w:b w:val="0"/>
                <w:sz w:val="20"/>
                <w:szCs w:val="20"/>
                <w:lang w:val="fr-FR"/>
              </w:rPr>
              <w:t xml:space="preserve"> la restauration des zones humides dans le contexte des changements climatiques.</w:t>
            </w:r>
            <w:r w:rsidR="00E01336" w:rsidRPr="001A00DB">
              <w:rPr>
                <w:rFonts w:asciiTheme="majorHAnsi" w:hAnsiTheme="majorHAnsi" w:cs="Arial"/>
                <w:b w:val="0"/>
                <w:sz w:val="20"/>
                <w:szCs w:val="20"/>
                <w:lang w:val="fr-FR"/>
              </w:rPr>
              <w:t xml:space="preserve"> </w:t>
            </w:r>
          </w:p>
          <w:p w14:paraId="58330B43" w14:textId="77777777" w:rsidR="00914A1A" w:rsidRPr="001A00DB" w:rsidRDefault="00914A1A" w:rsidP="00914A1A">
            <w:pPr>
              <w:tabs>
                <w:tab w:val="left" w:pos="0"/>
              </w:tabs>
              <w:rPr>
                <w:rFonts w:asciiTheme="majorHAnsi" w:hAnsiTheme="majorHAnsi" w:cs="Arial"/>
                <w:b w:val="0"/>
                <w:sz w:val="20"/>
                <w:szCs w:val="20"/>
                <w:lang w:val="fr-FR"/>
              </w:rPr>
            </w:pPr>
          </w:p>
          <w:p w14:paraId="3943E667" w14:textId="338BC8F9" w:rsidR="00914A1A" w:rsidRPr="001A00DB" w:rsidRDefault="00914A1A" w:rsidP="00914A1A">
            <w:pPr>
              <w:tabs>
                <w:tab w:val="left" w:pos="0"/>
              </w:tabs>
              <w:rPr>
                <w:rFonts w:asciiTheme="majorHAnsi" w:hAnsiTheme="majorHAnsi" w:cs="Arial"/>
                <w:b w:val="0"/>
                <w:sz w:val="20"/>
                <w:szCs w:val="20"/>
                <w:lang w:val="fr-FR"/>
              </w:rPr>
            </w:pPr>
            <w:r w:rsidRPr="001A00DB">
              <w:rPr>
                <w:rFonts w:asciiTheme="majorHAnsi" w:hAnsiTheme="majorHAnsi" w:cs="Arial"/>
                <w:b w:val="0"/>
                <w:sz w:val="20"/>
                <w:szCs w:val="20"/>
                <w:lang w:val="fr-FR"/>
              </w:rPr>
              <w:t>2)</w:t>
            </w:r>
            <w:r w:rsidR="00E01336" w:rsidRPr="001A00DB">
              <w:rPr>
                <w:rFonts w:asciiTheme="majorHAnsi" w:hAnsiTheme="majorHAnsi" w:cs="Arial"/>
                <w:b w:val="0"/>
                <w:sz w:val="20"/>
                <w:szCs w:val="20"/>
                <w:lang w:val="fr-FR"/>
              </w:rPr>
              <w:t xml:space="preserve"> </w:t>
            </w:r>
            <w:r w:rsidR="000F4FDF" w:rsidRPr="001A00DB">
              <w:rPr>
                <w:rFonts w:asciiTheme="majorHAnsi" w:hAnsiTheme="majorHAnsi" w:cs="Arial"/>
                <w:b w:val="0"/>
                <w:sz w:val="20"/>
                <w:szCs w:val="20"/>
                <w:lang w:val="fr-FR"/>
              </w:rPr>
              <w:t>Un document d’orientation discutera des meilleures pratiques et politiques pour les incitations et instruments de restauration des zones humides (p. ex., fonds carbone/secteur privé/VCS</w:t>
            </w:r>
            <w:r w:rsidR="004F5487" w:rsidRPr="001A00DB">
              <w:rPr>
                <w:rFonts w:asciiTheme="majorHAnsi" w:hAnsiTheme="majorHAnsi" w:cs="Arial"/>
                <w:b w:val="0"/>
                <w:sz w:val="20"/>
                <w:szCs w:val="20"/>
                <w:lang w:val="fr-FR"/>
              </w:rPr>
              <w:t xml:space="preserve"> </w:t>
            </w:r>
            <w:r w:rsidR="00102344" w:rsidRPr="001A00DB">
              <w:rPr>
                <w:rFonts w:asciiTheme="majorHAnsi" w:hAnsiTheme="majorHAnsi" w:cs="Arial"/>
                <w:b w:val="0"/>
                <w:sz w:val="20"/>
                <w:szCs w:val="20"/>
                <w:lang w:val="fr-FR"/>
              </w:rPr>
              <w:t>- Verified Carbon Standard</w:t>
            </w:r>
            <w:r w:rsidR="000F4FDF" w:rsidRPr="001A00DB">
              <w:rPr>
                <w:rFonts w:asciiTheme="majorHAnsi" w:hAnsiTheme="majorHAnsi" w:cs="Arial"/>
                <w:b w:val="0"/>
                <w:sz w:val="20"/>
                <w:szCs w:val="20"/>
                <w:lang w:val="fr-FR"/>
              </w:rPr>
              <w:t>/CCBA</w:t>
            </w:r>
            <w:r w:rsidR="00102344" w:rsidRPr="001A00DB">
              <w:rPr>
                <w:rFonts w:asciiTheme="majorHAnsi" w:hAnsiTheme="majorHAnsi" w:cs="Arial"/>
                <w:b w:val="0"/>
                <w:sz w:val="20"/>
                <w:szCs w:val="20"/>
                <w:lang w:val="fr-FR"/>
              </w:rPr>
              <w:t>-Climate, Community &amp; Biodiversity Alliance)</w:t>
            </w:r>
            <w:r w:rsidR="000F4FDF" w:rsidRPr="001A00DB">
              <w:rPr>
                <w:rFonts w:asciiTheme="majorHAnsi" w:hAnsiTheme="majorHAnsi" w:cs="Arial"/>
                <w:b w:val="0"/>
                <w:sz w:val="20"/>
                <w:szCs w:val="20"/>
                <w:lang w:val="fr-FR"/>
              </w:rPr>
              <w:t xml:space="preserve"> pour expliquer pourquoi des ressources doivent être investies dans ces efforts.</w:t>
            </w:r>
            <w:r w:rsidR="00E01336" w:rsidRPr="001A00DB">
              <w:rPr>
                <w:rFonts w:asciiTheme="majorHAnsi" w:hAnsiTheme="majorHAnsi" w:cs="Arial"/>
                <w:b w:val="0"/>
                <w:sz w:val="20"/>
                <w:szCs w:val="20"/>
                <w:lang w:val="fr-FR"/>
              </w:rPr>
              <w:t xml:space="preserve"> </w:t>
            </w:r>
          </w:p>
          <w:p w14:paraId="7CEAC7D2" w14:textId="77777777" w:rsidR="00914A1A" w:rsidRPr="001A00DB" w:rsidRDefault="00914A1A" w:rsidP="00914A1A">
            <w:pPr>
              <w:tabs>
                <w:tab w:val="left" w:pos="0"/>
              </w:tabs>
              <w:rPr>
                <w:rFonts w:asciiTheme="majorHAnsi" w:hAnsiTheme="majorHAnsi" w:cs="Arial"/>
                <w:b w:val="0"/>
                <w:sz w:val="20"/>
                <w:szCs w:val="20"/>
                <w:lang w:val="fr-FR"/>
              </w:rPr>
            </w:pPr>
          </w:p>
          <w:p w14:paraId="1AEC761F" w14:textId="0CB12B1C" w:rsidR="00914A1A" w:rsidRPr="001A00DB" w:rsidRDefault="00931645" w:rsidP="000F4FDF">
            <w:pPr>
              <w:tabs>
                <w:tab w:val="left" w:pos="0"/>
              </w:tabs>
              <w:rPr>
                <w:rFonts w:asciiTheme="majorHAnsi" w:hAnsiTheme="majorHAnsi" w:cs="Arial"/>
                <w:sz w:val="20"/>
                <w:szCs w:val="20"/>
                <w:u w:val="single"/>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0F4FDF" w:rsidRPr="001A00DB">
              <w:rPr>
                <w:rFonts w:asciiTheme="majorHAnsi" w:hAnsiTheme="majorHAnsi" w:cs="Arial"/>
                <w:b w:val="0"/>
                <w:sz w:val="20"/>
                <w:szCs w:val="20"/>
                <w:lang w:val="fr-FR"/>
              </w:rPr>
              <w:t>Décideurs et praticiens</w:t>
            </w:r>
            <w:r w:rsidR="00811EC6" w:rsidRPr="001A00DB">
              <w:rPr>
                <w:rFonts w:asciiTheme="majorHAnsi" w:hAnsiTheme="majorHAnsi" w:cs="Arial"/>
                <w:b w:val="0"/>
                <w:sz w:val="20"/>
                <w:szCs w:val="20"/>
                <w:lang w:val="fr-FR"/>
              </w:rPr>
              <w:t xml:space="preserve"> (administrateurs de zones humides)</w:t>
            </w:r>
            <w:r w:rsidR="00E01336" w:rsidRPr="001A00DB">
              <w:rPr>
                <w:rFonts w:asciiTheme="majorHAnsi" w:hAnsiTheme="majorHAnsi" w:cs="Arial"/>
                <w:sz w:val="20"/>
                <w:szCs w:val="20"/>
                <w:u w:val="single"/>
                <w:lang w:val="fr-FR"/>
              </w:rPr>
              <w:t xml:space="preserve"> </w:t>
            </w:r>
          </w:p>
        </w:tc>
        <w:tc>
          <w:tcPr>
            <w:tcW w:w="493" w:type="pct"/>
          </w:tcPr>
          <w:p w14:paraId="4AD3BEBA" w14:textId="6BAB713B" w:rsidR="004F5487" w:rsidRPr="001A00DB" w:rsidRDefault="004F5487" w:rsidP="004F5487">
            <w:pPr>
              <w:rPr>
                <w:rFonts w:asciiTheme="majorHAnsi" w:hAnsiTheme="majorHAnsi" w:cs="Arial"/>
                <w:b w:val="0"/>
                <w:sz w:val="20"/>
                <w:szCs w:val="20"/>
                <w:lang w:val="fr-FR"/>
              </w:rPr>
            </w:pPr>
            <w:r w:rsidRPr="001A00DB">
              <w:rPr>
                <w:rFonts w:asciiTheme="majorHAnsi" w:hAnsiTheme="majorHAnsi" w:cs="Arial"/>
                <w:b w:val="0"/>
                <w:sz w:val="20"/>
                <w:szCs w:val="20"/>
                <w:lang w:val="fr-FR"/>
              </w:rPr>
              <w:t>Jusqu’à</w:t>
            </w:r>
            <w:r w:rsidR="00811EC6" w:rsidRPr="001A00DB">
              <w:rPr>
                <w:rFonts w:asciiTheme="majorHAnsi" w:hAnsiTheme="majorHAnsi" w:cs="Arial"/>
                <w:b w:val="0"/>
                <w:sz w:val="20"/>
                <w:szCs w:val="20"/>
                <w:lang w:val="fr-FR"/>
              </w:rPr>
              <w:t xml:space="preserve"> 22</w:t>
            </w:r>
            <w:r w:rsidRPr="001A00DB">
              <w:rPr>
                <w:rFonts w:asciiTheme="majorHAnsi" w:hAnsiTheme="majorHAnsi" w:cs="Arial"/>
                <w:b w:val="0"/>
                <w:sz w:val="20"/>
                <w:szCs w:val="20"/>
                <w:lang w:val="fr-FR"/>
              </w:rPr>
              <w:t> </w:t>
            </w:r>
            <w:r w:rsidR="00811EC6" w:rsidRPr="001A00DB">
              <w:rPr>
                <w:rFonts w:asciiTheme="majorHAnsi" w:hAnsiTheme="majorHAnsi" w:cs="Arial"/>
                <w:b w:val="0"/>
                <w:sz w:val="20"/>
                <w:szCs w:val="20"/>
                <w:lang w:val="fr-FR"/>
              </w:rPr>
              <w:t>000 [13</w:t>
            </w:r>
            <w:r w:rsidRPr="001A00DB">
              <w:rPr>
                <w:rFonts w:asciiTheme="majorHAnsi" w:hAnsiTheme="majorHAnsi" w:cs="Arial"/>
                <w:b w:val="0"/>
                <w:sz w:val="20"/>
                <w:szCs w:val="20"/>
                <w:lang w:val="fr-FR"/>
              </w:rPr>
              <w:t> </w:t>
            </w:r>
            <w:r w:rsidR="00811EC6" w:rsidRPr="001A00DB">
              <w:rPr>
                <w:rFonts w:asciiTheme="majorHAnsi" w:hAnsiTheme="majorHAnsi" w:cs="Arial"/>
                <w:b w:val="0"/>
                <w:sz w:val="20"/>
                <w:szCs w:val="20"/>
                <w:lang w:val="fr-FR"/>
              </w:rPr>
              <w:t xml:space="preserve">000 </w:t>
            </w:r>
            <w:r w:rsidRPr="001A00DB">
              <w:rPr>
                <w:rFonts w:asciiTheme="majorHAnsi" w:hAnsiTheme="majorHAnsi" w:cs="Arial"/>
                <w:b w:val="0"/>
                <w:sz w:val="20"/>
                <w:szCs w:val="20"/>
                <w:lang w:val="fr-FR"/>
              </w:rPr>
              <w:t xml:space="preserve">pour une note d’information et </w:t>
            </w:r>
            <w:r w:rsidR="00811EC6" w:rsidRPr="001A00DB">
              <w:rPr>
                <w:rFonts w:asciiTheme="majorHAnsi" w:hAnsiTheme="majorHAnsi" w:cs="Arial"/>
                <w:b w:val="0"/>
                <w:sz w:val="20"/>
                <w:szCs w:val="20"/>
                <w:lang w:val="fr-FR"/>
              </w:rPr>
              <w:t xml:space="preserve">9000 </w:t>
            </w:r>
            <w:r w:rsidRPr="001A00DB">
              <w:rPr>
                <w:rFonts w:asciiTheme="majorHAnsi" w:hAnsiTheme="majorHAnsi" w:cs="Arial"/>
                <w:b w:val="0"/>
                <w:sz w:val="20"/>
                <w:szCs w:val="20"/>
                <w:lang w:val="fr-FR"/>
              </w:rPr>
              <w:t xml:space="preserve">pour un document d’orientation; possibilité d’organiser un petit atelier de rédaction lié au </w:t>
            </w:r>
          </w:p>
          <w:p w14:paraId="7C7C4BB7" w14:textId="5120BBBE" w:rsidR="00914A1A" w:rsidRPr="001A00DB" w:rsidRDefault="00811EC6" w:rsidP="004F5487">
            <w:pPr>
              <w:rPr>
                <w:rFonts w:asciiTheme="majorHAnsi" w:hAnsiTheme="majorHAnsi" w:cs="Arial"/>
                <w:b w:val="0"/>
                <w:sz w:val="20"/>
                <w:szCs w:val="20"/>
                <w:lang w:val="fr-FR"/>
              </w:rPr>
            </w:pPr>
            <w:r w:rsidRPr="001A00DB">
              <w:rPr>
                <w:rFonts w:asciiTheme="majorHAnsi" w:hAnsiTheme="majorHAnsi" w:cs="Arial"/>
                <w:b w:val="0"/>
                <w:sz w:val="20"/>
                <w:szCs w:val="20"/>
                <w:lang w:val="fr-FR"/>
              </w:rPr>
              <w:t>SoWWS o</w:t>
            </w:r>
            <w:r w:rsidR="004F5487" w:rsidRPr="001A00DB">
              <w:rPr>
                <w:rFonts w:asciiTheme="majorHAnsi" w:hAnsiTheme="majorHAnsi" w:cs="Arial"/>
                <w:b w:val="0"/>
                <w:sz w:val="20"/>
                <w:szCs w:val="20"/>
                <w:lang w:val="fr-FR"/>
              </w:rPr>
              <w:t>u d’autres ateliers de rédaction</w:t>
            </w:r>
            <w:r w:rsidRPr="001A00DB">
              <w:rPr>
                <w:rFonts w:asciiTheme="majorHAnsi" w:hAnsiTheme="majorHAnsi" w:cs="Arial"/>
                <w:b w:val="0"/>
                <w:sz w:val="20"/>
                <w:szCs w:val="20"/>
                <w:lang w:val="fr-FR"/>
              </w:rPr>
              <w:t>]</w:t>
            </w:r>
          </w:p>
        </w:tc>
      </w:tr>
      <w:tr w:rsidR="00914A1A" w:rsidRPr="001A00DB" w14:paraId="1658DD1A" w14:textId="77777777" w:rsidTr="00CA5375">
        <w:tc>
          <w:tcPr>
            <w:tcW w:w="516" w:type="pct"/>
          </w:tcPr>
          <w:p w14:paraId="6CCBE1CD" w14:textId="4AB7F54B" w:rsidR="00914A1A" w:rsidRPr="001A00DB" w:rsidRDefault="00914A1A" w:rsidP="000F4FDF">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lastRenderedPageBreak/>
              <w:t>5.2</w:t>
            </w:r>
            <w:r w:rsidR="00E01336" w:rsidRPr="001A00DB">
              <w:rPr>
                <w:rFonts w:asciiTheme="majorHAnsi" w:hAnsiTheme="majorHAnsi" w:cs="Arial"/>
                <w:b w:val="0"/>
                <w:sz w:val="20"/>
                <w:szCs w:val="20"/>
                <w:lang w:val="fr-FR"/>
              </w:rPr>
              <w:t xml:space="preserve"> </w:t>
            </w:r>
            <w:r w:rsidR="000F4FDF" w:rsidRPr="001A00DB">
              <w:rPr>
                <w:rFonts w:asciiTheme="majorHAnsi" w:hAnsiTheme="majorHAnsi" w:cs="Arial"/>
                <w:b w:val="0"/>
                <w:sz w:val="20"/>
                <w:szCs w:val="20"/>
                <w:lang w:val="fr-FR"/>
              </w:rPr>
              <w:t xml:space="preserve">Incidences de la </w:t>
            </w:r>
            <w:r w:rsidRPr="001A00DB">
              <w:rPr>
                <w:rFonts w:asciiTheme="majorHAnsi" w:hAnsiTheme="majorHAnsi" w:cs="Arial"/>
                <w:b w:val="0"/>
                <w:sz w:val="20"/>
                <w:szCs w:val="20"/>
                <w:lang w:val="fr-FR"/>
              </w:rPr>
              <w:t>REDD-plus</w:t>
            </w:r>
            <w:r w:rsidR="00E01336" w:rsidRPr="001A00DB">
              <w:rPr>
                <w:rFonts w:asciiTheme="majorHAnsi" w:hAnsiTheme="majorHAnsi" w:cs="Arial"/>
                <w:b w:val="0"/>
                <w:sz w:val="20"/>
                <w:szCs w:val="20"/>
                <w:lang w:val="fr-FR"/>
              </w:rPr>
              <w:t xml:space="preserve"> </w:t>
            </w:r>
            <w:r w:rsidR="000F4FDF" w:rsidRPr="001A00DB">
              <w:rPr>
                <w:rFonts w:asciiTheme="majorHAnsi" w:hAnsiTheme="majorHAnsi" w:cs="Arial"/>
                <w:b w:val="0"/>
                <w:sz w:val="20"/>
                <w:szCs w:val="20"/>
                <w:lang w:val="fr-FR"/>
              </w:rPr>
              <w:t xml:space="preserve">pour l’utilisation rationnelle des zones humides </w:t>
            </w:r>
          </w:p>
          <w:p w14:paraId="64A26DCE" w14:textId="77777777" w:rsidR="00914A1A" w:rsidRPr="001A00DB" w:rsidRDefault="00914A1A" w:rsidP="000F4FDF">
            <w:pPr>
              <w:keepNext/>
              <w:keepLines/>
              <w:rPr>
                <w:rFonts w:asciiTheme="majorHAnsi" w:hAnsiTheme="majorHAnsi" w:cs="Arial"/>
                <w:b w:val="0"/>
                <w:sz w:val="20"/>
                <w:szCs w:val="20"/>
                <w:lang w:val="fr-FR"/>
              </w:rPr>
            </w:pPr>
          </w:p>
        </w:tc>
        <w:tc>
          <w:tcPr>
            <w:tcW w:w="283" w:type="pct"/>
          </w:tcPr>
          <w:p w14:paraId="465B6D40" w14:textId="77777777" w:rsidR="00914A1A" w:rsidRPr="001A00DB" w:rsidRDefault="00914A1A" w:rsidP="000F4FDF">
            <w:pPr>
              <w:keepNext/>
              <w:keepLines/>
              <w:rPr>
                <w:rFonts w:asciiTheme="majorHAnsi" w:hAnsiTheme="majorHAnsi" w:cs="Arial"/>
                <w:b w:val="0"/>
                <w:sz w:val="20"/>
                <w:szCs w:val="20"/>
                <w:lang w:val="fr-FR"/>
              </w:rPr>
            </w:pPr>
          </w:p>
        </w:tc>
        <w:tc>
          <w:tcPr>
            <w:tcW w:w="355" w:type="pct"/>
          </w:tcPr>
          <w:p w14:paraId="3C7AFBEE" w14:textId="59510E3B" w:rsidR="00914A1A" w:rsidRPr="001A00DB" w:rsidRDefault="00CA5375" w:rsidP="001979B9">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rPr>
              <w:t xml:space="preserve">XII.2; XII.5, </w:t>
            </w:r>
            <w:r w:rsidR="004B32FB" w:rsidRPr="001A00DB">
              <w:rPr>
                <w:rFonts w:asciiTheme="majorHAnsi" w:hAnsiTheme="majorHAnsi" w:cs="Arial"/>
                <w:b w:val="0"/>
                <w:sz w:val="20"/>
                <w:szCs w:val="20"/>
                <w:lang w:val="fr-FR"/>
              </w:rPr>
              <w:t>annexe</w:t>
            </w:r>
            <w:r w:rsidRPr="001A00DB">
              <w:rPr>
                <w:rFonts w:asciiTheme="majorHAnsi" w:hAnsiTheme="majorHAnsi" w:cs="Arial"/>
                <w:b w:val="0"/>
                <w:sz w:val="20"/>
                <w:szCs w:val="20"/>
                <w:lang w:val="fr-FR"/>
              </w:rPr>
              <w:t xml:space="preserve"> 1, </w:t>
            </w:r>
            <w:r w:rsidRPr="001A00DB">
              <w:rPr>
                <w:rFonts w:ascii="Calibri" w:hAnsi="Calibri" w:cs="Arial"/>
                <w:b w:val="0"/>
                <w:sz w:val="20"/>
                <w:szCs w:val="20"/>
                <w:lang w:val="fr-FR"/>
              </w:rPr>
              <w:t>¶</w:t>
            </w:r>
            <w:r w:rsidRPr="001A00DB">
              <w:rPr>
                <w:rFonts w:asciiTheme="majorHAnsi" w:hAnsiTheme="majorHAnsi" w:cs="Arial"/>
                <w:b w:val="0"/>
                <w:sz w:val="20"/>
                <w:szCs w:val="20"/>
                <w:lang w:val="fr-FR"/>
              </w:rPr>
              <w:t>¶</w:t>
            </w:r>
            <w:r w:rsidRPr="001A00DB">
              <w:rPr>
                <w:rFonts w:ascii="Calibri" w:hAnsi="Calibri" w:cs="Arial"/>
                <w:b w:val="0"/>
                <w:sz w:val="20"/>
                <w:szCs w:val="20"/>
                <w:lang w:val="fr-FR"/>
              </w:rPr>
              <w:t xml:space="preserve"> 1-2</w:t>
            </w:r>
          </w:p>
        </w:tc>
        <w:tc>
          <w:tcPr>
            <w:tcW w:w="400" w:type="pct"/>
          </w:tcPr>
          <w:p w14:paraId="551F9E78" w14:textId="7CD36810" w:rsidR="00914A1A" w:rsidRPr="001A00DB" w:rsidRDefault="00CA5375" w:rsidP="000F4FDF">
            <w:pPr>
              <w:keepNext/>
              <w:keepLines/>
              <w:rPr>
                <w:rFonts w:asciiTheme="majorHAnsi" w:hAnsiTheme="majorHAnsi" w:cs="Arial"/>
                <w:b w:val="0"/>
                <w:sz w:val="20"/>
                <w:szCs w:val="20"/>
                <w:lang w:val="fr-FR"/>
              </w:rPr>
            </w:pPr>
            <w:r w:rsidRPr="001A00DB">
              <w:rPr>
                <w:rFonts w:asciiTheme="majorHAnsi" w:hAnsiTheme="majorHAnsi" w:cs="Arial"/>
                <w:b w:val="0"/>
                <w:sz w:val="20"/>
                <w:szCs w:val="20"/>
                <w:lang w:val="fr-FR" w:eastAsia="zh-CN"/>
              </w:rPr>
              <w:t>3.8,</w:t>
            </w:r>
            <w:r w:rsidR="00A76CC7" w:rsidRPr="001A00DB">
              <w:rPr>
                <w:rFonts w:asciiTheme="majorHAnsi" w:hAnsiTheme="majorHAnsi" w:cs="Arial"/>
                <w:b w:val="0"/>
                <w:sz w:val="20"/>
                <w:szCs w:val="20"/>
                <w:lang w:val="fr-FR" w:eastAsia="zh-CN"/>
              </w:rPr>
              <w:t xml:space="preserve"> </w:t>
            </w:r>
            <w:r w:rsidRPr="001A00DB">
              <w:rPr>
                <w:rFonts w:asciiTheme="majorHAnsi" w:hAnsiTheme="majorHAnsi" w:cs="Arial"/>
                <w:b w:val="0"/>
                <w:sz w:val="20"/>
                <w:szCs w:val="20"/>
                <w:lang w:val="fr-FR" w:eastAsia="zh-CN"/>
              </w:rPr>
              <w:t>3.9, 3.11, 3.12; 4.14</w:t>
            </w:r>
          </w:p>
        </w:tc>
        <w:tc>
          <w:tcPr>
            <w:tcW w:w="2953" w:type="pct"/>
          </w:tcPr>
          <w:p w14:paraId="390F4699" w14:textId="7F5D7BC5" w:rsidR="00914A1A" w:rsidRPr="001A00DB" w:rsidRDefault="00931645" w:rsidP="000F4FDF">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0F4FDF" w:rsidRPr="001A00DB">
              <w:rPr>
                <w:rFonts w:asciiTheme="majorHAnsi" w:hAnsiTheme="majorHAnsi" w:cs="Arial"/>
                <w:b w:val="0"/>
                <w:sz w:val="20"/>
                <w:szCs w:val="20"/>
                <w:lang w:val="fr-FR"/>
              </w:rPr>
              <w:t xml:space="preserve">Examen des décisions prises par les accords multilatéraux sur l’environnement concernant la </w:t>
            </w:r>
            <w:r w:rsidR="00914A1A" w:rsidRPr="001A00DB">
              <w:rPr>
                <w:rFonts w:asciiTheme="majorHAnsi" w:hAnsiTheme="majorHAnsi" w:cs="Arial"/>
                <w:b w:val="0"/>
                <w:sz w:val="20"/>
                <w:szCs w:val="20"/>
                <w:lang w:val="fr-FR"/>
              </w:rPr>
              <w:t>REDD-plus</w:t>
            </w:r>
            <w:r w:rsidR="00E01336" w:rsidRPr="001A00DB">
              <w:rPr>
                <w:rFonts w:asciiTheme="majorHAnsi" w:hAnsiTheme="majorHAnsi" w:cs="Arial"/>
                <w:b w:val="0"/>
                <w:sz w:val="20"/>
                <w:szCs w:val="20"/>
                <w:lang w:val="fr-FR"/>
              </w:rPr>
              <w:t xml:space="preserve"> </w:t>
            </w:r>
            <w:r w:rsidR="000F4FDF" w:rsidRPr="001A00DB">
              <w:rPr>
                <w:rFonts w:asciiTheme="majorHAnsi" w:hAnsiTheme="majorHAnsi" w:cs="Arial"/>
                <w:b w:val="0"/>
                <w:sz w:val="20"/>
                <w:szCs w:val="20"/>
                <w:lang w:val="fr-FR"/>
              </w:rPr>
              <w:t>et leurs incidences pour</w:t>
            </w:r>
            <w:r w:rsidR="00CA5375" w:rsidRPr="001A00DB">
              <w:rPr>
                <w:rFonts w:asciiTheme="majorHAnsi" w:hAnsiTheme="majorHAnsi" w:cs="Arial"/>
                <w:b w:val="0"/>
                <w:sz w:val="20"/>
                <w:szCs w:val="20"/>
                <w:lang w:val="fr-FR"/>
              </w:rPr>
              <w:t xml:space="preserve"> la restauration (amélioration) et </w:t>
            </w:r>
            <w:r w:rsidR="000F4FDF" w:rsidRPr="001A00DB">
              <w:rPr>
                <w:rFonts w:asciiTheme="majorHAnsi" w:hAnsiTheme="majorHAnsi" w:cs="Arial"/>
                <w:b w:val="0"/>
                <w:sz w:val="20"/>
                <w:szCs w:val="20"/>
                <w:lang w:val="fr-FR"/>
              </w:rPr>
              <w:t>l’utilisation</w:t>
            </w:r>
            <w:r w:rsidR="00CA5375" w:rsidRPr="001A00DB">
              <w:rPr>
                <w:rFonts w:asciiTheme="majorHAnsi" w:hAnsiTheme="majorHAnsi" w:cs="Arial"/>
                <w:b w:val="0"/>
                <w:sz w:val="20"/>
                <w:szCs w:val="20"/>
                <w:lang w:val="fr-FR"/>
              </w:rPr>
              <w:t xml:space="preserve"> rationnelle des zones humides.</w:t>
            </w:r>
          </w:p>
          <w:p w14:paraId="1A142FBB" w14:textId="77777777" w:rsidR="00914A1A" w:rsidRPr="001A00DB" w:rsidRDefault="00914A1A" w:rsidP="000F4FDF">
            <w:pPr>
              <w:keepNext/>
              <w:keepLines/>
              <w:rPr>
                <w:rFonts w:asciiTheme="majorHAnsi" w:hAnsiTheme="majorHAnsi" w:cs="Arial"/>
                <w:b w:val="0"/>
                <w:sz w:val="20"/>
                <w:szCs w:val="20"/>
                <w:u w:val="single"/>
                <w:lang w:val="fr-FR"/>
              </w:rPr>
            </w:pPr>
          </w:p>
          <w:p w14:paraId="1377CBBD" w14:textId="39759D3A" w:rsidR="00914A1A" w:rsidRPr="001A00DB" w:rsidRDefault="00931645" w:rsidP="000F4FDF">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xml:space="preserve"> : </w:t>
            </w:r>
            <w:r w:rsidR="00CA5375" w:rsidRPr="001A00DB">
              <w:rPr>
                <w:rFonts w:asciiTheme="majorHAnsi" w:hAnsiTheme="majorHAnsi" w:cs="Arial"/>
                <w:b w:val="0"/>
                <w:sz w:val="20"/>
                <w:szCs w:val="20"/>
                <w:lang w:val="fr-FR"/>
              </w:rPr>
              <w:t>Document d’orientation</w:t>
            </w:r>
            <w:r w:rsidR="000F4FDF" w:rsidRPr="001A00DB">
              <w:rPr>
                <w:rFonts w:asciiTheme="majorHAnsi" w:hAnsiTheme="majorHAnsi" w:cs="Arial"/>
                <w:b w:val="0"/>
                <w:sz w:val="20"/>
                <w:szCs w:val="20"/>
                <w:lang w:val="fr-FR"/>
              </w:rPr>
              <w:t xml:space="preserve">. </w:t>
            </w:r>
          </w:p>
          <w:p w14:paraId="75CFCAFA" w14:textId="77777777" w:rsidR="00914A1A" w:rsidRPr="001A00DB" w:rsidRDefault="00914A1A" w:rsidP="000F4FDF">
            <w:pPr>
              <w:keepNext/>
              <w:keepLines/>
              <w:rPr>
                <w:rFonts w:asciiTheme="majorHAnsi" w:hAnsiTheme="majorHAnsi" w:cs="Arial"/>
                <w:b w:val="0"/>
                <w:sz w:val="20"/>
                <w:szCs w:val="20"/>
                <w:lang w:val="fr-FR"/>
              </w:rPr>
            </w:pPr>
          </w:p>
          <w:p w14:paraId="671082EB" w14:textId="77777777" w:rsidR="00914A1A" w:rsidRPr="001A00DB" w:rsidRDefault="00931645" w:rsidP="00CA5375">
            <w:pPr>
              <w:keepNext/>
              <w:keepLines/>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CA5375" w:rsidRPr="001A00DB">
              <w:rPr>
                <w:rFonts w:asciiTheme="majorHAnsi" w:hAnsiTheme="majorHAnsi" w:cs="Arial"/>
                <w:b w:val="0"/>
                <w:sz w:val="20"/>
                <w:szCs w:val="20"/>
                <w:lang w:val="fr-FR"/>
              </w:rPr>
              <w:t>D</w:t>
            </w:r>
            <w:r w:rsidR="000F4FDF" w:rsidRPr="001A00DB">
              <w:rPr>
                <w:rFonts w:asciiTheme="majorHAnsi" w:hAnsiTheme="majorHAnsi" w:cs="Arial"/>
                <w:b w:val="0"/>
                <w:sz w:val="20"/>
                <w:szCs w:val="20"/>
                <w:lang w:val="fr-FR"/>
              </w:rPr>
              <w:t>écideurs.</w:t>
            </w:r>
          </w:p>
          <w:p w14:paraId="3FAAD74D" w14:textId="520F9765" w:rsidR="00CA5375" w:rsidRPr="001A00DB" w:rsidRDefault="00CA5375" w:rsidP="00CA5375">
            <w:pPr>
              <w:keepNext/>
              <w:keepLines/>
              <w:rPr>
                <w:rFonts w:asciiTheme="majorHAnsi" w:hAnsiTheme="majorHAnsi" w:cs="Arial"/>
                <w:b w:val="0"/>
                <w:sz w:val="20"/>
                <w:szCs w:val="20"/>
                <w:u w:val="single"/>
                <w:lang w:val="fr-FR"/>
              </w:rPr>
            </w:pPr>
          </w:p>
        </w:tc>
        <w:tc>
          <w:tcPr>
            <w:tcW w:w="493" w:type="pct"/>
          </w:tcPr>
          <w:p w14:paraId="18126FD4" w14:textId="2D6EFDB8" w:rsidR="00914A1A" w:rsidRPr="001A00DB" w:rsidRDefault="00CA5375"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Jusqu’à 9 000</w:t>
            </w:r>
          </w:p>
        </w:tc>
      </w:tr>
      <w:tr w:rsidR="00914A1A" w:rsidRPr="00B54758" w14:paraId="578885D1" w14:textId="77777777" w:rsidTr="00CA5375">
        <w:tc>
          <w:tcPr>
            <w:tcW w:w="516" w:type="pct"/>
          </w:tcPr>
          <w:p w14:paraId="736D8D1B" w14:textId="0E197D5F" w:rsidR="00914A1A" w:rsidRPr="001A00DB" w:rsidRDefault="00914A1A" w:rsidP="000F4FDF">
            <w:pPr>
              <w:rPr>
                <w:rFonts w:asciiTheme="majorHAnsi" w:hAnsiTheme="majorHAnsi" w:cs="Arial"/>
                <w:b w:val="0"/>
                <w:sz w:val="20"/>
                <w:szCs w:val="20"/>
                <w:lang w:val="fr-FR"/>
              </w:rPr>
            </w:pPr>
            <w:r w:rsidRPr="001A00DB">
              <w:rPr>
                <w:rFonts w:asciiTheme="majorHAnsi" w:hAnsiTheme="majorHAnsi" w:cs="Arial"/>
                <w:b w:val="0"/>
                <w:sz w:val="20"/>
                <w:szCs w:val="20"/>
                <w:lang w:val="fr-FR"/>
              </w:rPr>
              <w:t>5.3</w:t>
            </w:r>
            <w:r w:rsidR="000F4FDF" w:rsidRPr="001A00DB">
              <w:rPr>
                <w:rFonts w:asciiTheme="majorHAnsi" w:hAnsiTheme="majorHAnsi" w:cs="Arial"/>
                <w:b w:val="0"/>
                <w:sz w:val="20"/>
                <w:szCs w:val="20"/>
                <w:lang w:val="fr-FR"/>
              </w:rPr>
              <w:t xml:space="preserve"> </w:t>
            </w:r>
            <w:r w:rsidRPr="001A00DB">
              <w:rPr>
                <w:rFonts w:asciiTheme="majorHAnsi" w:hAnsiTheme="majorHAnsi" w:cs="Arial"/>
                <w:b w:val="0"/>
                <w:sz w:val="20"/>
                <w:szCs w:val="20"/>
                <w:lang w:val="fr-FR"/>
              </w:rPr>
              <w:t>A</w:t>
            </w:r>
            <w:r w:rsidR="000F4FDF" w:rsidRPr="001A00DB">
              <w:rPr>
                <w:rFonts w:asciiTheme="majorHAnsi" w:hAnsiTheme="majorHAnsi" w:cs="Arial"/>
                <w:b w:val="0"/>
                <w:sz w:val="20"/>
                <w:szCs w:val="20"/>
                <w:lang w:val="fr-FR"/>
              </w:rPr>
              <w:t>vis pour la 13</w:t>
            </w:r>
            <w:r w:rsidR="000F4FDF" w:rsidRPr="001A00DB">
              <w:rPr>
                <w:rFonts w:asciiTheme="majorHAnsi" w:hAnsiTheme="majorHAnsi" w:cs="Arial"/>
                <w:b w:val="0"/>
                <w:sz w:val="20"/>
                <w:szCs w:val="20"/>
                <w:vertAlign w:val="superscript"/>
                <w:lang w:val="fr-FR"/>
              </w:rPr>
              <w:t>e</w:t>
            </w:r>
            <w:r w:rsidR="000F4FDF" w:rsidRPr="001A00DB">
              <w:rPr>
                <w:rFonts w:asciiTheme="majorHAnsi" w:hAnsiTheme="majorHAnsi" w:cs="Arial"/>
                <w:b w:val="0"/>
                <w:sz w:val="20"/>
                <w:szCs w:val="20"/>
                <w:lang w:val="fr-FR"/>
              </w:rPr>
              <w:t xml:space="preserve"> Session de la Conférence des Parties sur les méthodes pratiques de réhumidification et de restauration des tourbières </w:t>
            </w:r>
          </w:p>
        </w:tc>
        <w:tc>
          <w:tcPr>
            <w:tcW w:w="283" w:type="pct"/>
          </w:tcPr>
          <w:p w14:paraId="4CCB44B6" w14:textId="77777777" w:rsidR="00914A1A" w:rsidRPr="001A00DB" w:rsidRDefault="00914A1A" w:rsidP="00914A1A">
            <w:pPr>
              <w:rPr>
                <w:rFonts w:asciiTheme="majorHAnsi" w:hAnsiTheme="majorHAnsi" w:cs="Arial"/>
                <w:b w:val="0"/>
                <w:sz w:val="20"/>
                <w:szCs w:val="20"/>
                <w:lang w:val="fr-FR"/>
              </w:rPr>
            </w:pPr>
          </w:p>
        </w:tc>
        <w:tc>
          <w:tcPr>
            <w:tcW w:w="355" w:type="pct"/>
          </w:tcPr>
          <w:p w14:paraId="2D17D65B" w14:textId="6EB86CB1" w:rsidR="00914A1A" w:rsidRPr="001A00DB" w:rsidRDefault="00CA5375" w:rsidP="00914A1A">
            <w:pPr>
              <w:rPr>
                <w:rFonts w:asciiTheme="majorHAnsi" w:hAnsiTheme="majorHAnsi" w:cs="Arial"/>
                <w:sz w:val="20"/>
                <w:szCs w:val="20"/>
                <w:lang w:val="fr-FR"/>
              </w:rPr>
            </w:pPr>
            <w:r w:rsidRPr="001A00DB">
              <w:rPr>
                <w:rFonts w:asciiTheme="majorHAnsi" w:hAnsiTheme="majorHAnsi" w:cs="Arial"/>
                <w:b w:val="0"/>
                <w:sz w:val="20"/>
                <w:szCs w:val="20"/>
                <w:lang w:val="fr-FR"/>
              </w:rPr>
              <w:t>XII.11, ¶24(d) and ¶28</w:t>
            </w:r>
          </w:p>
        </w:tc>
        <w:tc>
          <w:tcPr>
            <w:tcW w:w="400" w:type="pct"/>
          </w:tcPr>
          <w:p w14:paraId="06872B8B" w14:textId="554C2373" w:rsidR="00914A1A" w:rsidRPr="001A00DB" w:rsidRDefault="00CA5375"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eastAsia="zh-CN"/>
              </w:rPr>
              <w:t>1.1, 1.3; 2.5, 2.6; 2.7; 3.8,</w:t>
            </w:r>
            <w:r w:rsidR="00A76CC7" w:rsidRPr="001A00DB">
              <w:rPr>
                <w:rFonts w:asciiTheme="majorHAnsi" w:hAnsiTheme="majorHAnsi" w:cs="Arial"/>
                <w:b w:val="0"/>
                <w:sz w:val="20"/>
                <w:szCs w:val="20"/>
                <w:lang w:val="fr-FR" w:eastAsia="zh-CN"/>
              </w:rPr>
              <w:t xml:space="preserve"> </w:t>
            </w:r>
            <w:r w:rsidRPr="001A00DB">
              <w:rPr>
                <w:rFonts w:asciiTheme="majorHAnsi" w:hAnsiTheme="majorHAnsi" w:cs="Arial"/>
                <w:b w:val="0"/>
                <w:sz w:val="20"/>
                <w:szCs w:val="20"/>
                <w:lang w:val="fr-FR" w:eastAsia="zh-CN"/>
              </w:rPr>
              <w:t>3.9, 3.11, 3.12; 4.14</w:t>
            </w:r>
          </w:p>
        </w:tc>
        <w:tc>
          <w:tcPr>
            <w:tcW w:w="2953" w:type="pct"/>
          </w:tcPr>
          <w:p w14:paraId="0A9E15BE" w14:textId="58580865"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Description de tâche</w:t>
            </w:r>
            <w:r w:rsidRPr="001A00DB">
              <w:rPr>
                <w:rFonts w:asciiTheme="majorHAnsi" w:hAnsiTheme="majorHAnsi" w:cs="Arial"/>
                <w:b w:val="0"/>
                <w:sz w:val="20"/>
                <w:szCs w:val="20"/>
                <w:lang w:val="fr-FR"/>
              </w:rPr>
              <w:t xml:space="preserve"> : </w:t>
            </w:r>
            <w:r w:rsidR="000F4FDF" w:rsidRPr="001A00DB">
              <w:rPr>
                <w:rFonts w:asciiTheme="majorHAnsi" w:hAnsiTheme="majorHAnsi" w:cs="Arial"/>
                <w:b w:val="0"/>
                <w:sz w:val="20"/>
                <w:szCs w:val="20"/>
                <w:lang w:val="fr-FR"/>
              </w:rPr>
              <w:t xml:space="preserve">Un </w:t>
            </w:r>
            <w:r w:rsidR="00CA5375" w:rsidRPr="001A00DB">
              <w:rPr>
                <w:rFonts w:asciiTheme="majorHAnsi" w:hAnsiTheme="majorHAnsi" w:cs="Arial"/>
                <w:b w:val="0"/>
                <w:sz w:val="20"/>
                <w:szCs w:val="20"/>
                <w:lang w:val="fr-FR"/>
              </w:rPr>
              <w:t>Ra</w:t>
            </w:r>
            <w:r w:rsidR="000F4FDF" w:rsidRPr="001A00DB">
              <w:rPr>
                <w:rFonts w:asciiTheme="majorHAnsi" w:hAnsiTheme="majorHAnsi" w:cs="Arial"/>
                <w:b w:val="0"/>
                <w:sz w:val="20"/>
                <w:szCs w:val="20"/>
                <w:lang w:val="fr-FR"/>
              </w:rPr>
              <w:t xml:space="preserve">pport technique </w:t>
            </w:r>
            <w:r w:rsidR="00CA5375" w:rsidRPr="001A00DB">
              <w:rPr>
                <w:rFonts w:asciiTheme="majorHAnsi" w:hAnsiTheme="majorHAnsi" w:cs="Arial"/>
                <w:b w:val="0"/>
                <w:sz w:val="20"/>
                <w:szCs w:val="20"/>
                <w:lang w:val="fr-FR"/>
              </w:rPr>
              <w:t xml:space="preserve">Ramsar </w:t>
            </w:r>
            <w:r w:rsidR="000F4FDF" w:rsidRPr="001A00DB">
              <w:rPr>
                <w:rFonts w:asciiTheme="majorHAnsi" w:hAnsiTheme="majorHAnsi" w:cs="Arial"/>
                <w:b w:val="0"/>
                <w:sz w:val="20"/>
                <w:szCs w:val="20"/>
                <w:lang w:val="fr-FR"/>
              </w:rPr>
              <w:t xml:space="preserve">examinant les </w:t>
            </w:r>
            <w:r w:rsidR="00CA5375" w:rsidRPr="001A00DB">
              <w:rPr>
                <w:rFonts w:asciiTheme="majorHAnsi" w:hAnsiTheme="majorHAnsi" w:cs="Arial"/>
                <w:b w:val="0"/>
                <w:sz w:val="20"/>
                <w:szCs w:val="20"/>
                <w:lang w:val="fr-FR"/>
              </w:rPr>
              <w:t xml:space="preserve">liens entre les </w:t>
            </w:r>
            <w:r w:rsidR="000F4FDF" w:rsidRPr="001A00DB">
              <w:rPr>
                <w:rFonts w:asciiTheme="majorHAnsi" w:hAnsiTheme="majorHAnsi" w:cs="Arial"/>
                <w:b w:val="0"/>
                <w:sz w:val="20"/>
                <w:szCs w:val="20"/>
                <w:lang w:val="fr-FR"/>
              </w:rPr>
              <w:t>méthodes de restauration et de réhumidification pratiques pour les tourbières</w:t>
            </w:r>
            <w:r w:rsidR="00CA5375" w:rsidRPr="001A00DB">
              <w:rPr>
                <w:rFonts w:asciiTheme="majorHAnsi" w:hAnsiTheme="majorHAnsi" w:cs="Arial"/>
                <w:b w:val="0"/>
                <w:sz w:val="20"/>
                <w:szCs w:val="20"/>
                <w:lang w:val="fr-FR"/>
              </w:rPr>
              <w:t xml:space="preserve"> afin d’empêcher le transfert du carbone des sols et de la végétation vers l’atmosphère</w:t>
            </w:r>
            <w:r w:rsidR="000F4FDF" w:rsidRPr="001A00DB">
              <w:rPr>
                <w:rFonts w:asciiTheme="majorHAnsi" w:hAnsiTheme="majorHAnsi" w:cs="Arial"/>
                <w:b w:val="0"/>
                <w:sz w:val="20"/>
                <w:szCs w:val="20"/>
                <w:lang w:val="fr-FR"/>
              </w:rPr>
              <w:t>.</w:t>
            </w:r>
          </w:p>
          <w:p w14:paraId="6DB4CDDF" w14:textId="77777777" w:rsidR="00914A1A" w:rsidRPr="001A00DB" w:rsidRDefault="00914A1A" w:rsidP="00914A1A">
            <w:pPr>
              <w:rPr>
                <w:rFonts w:asciiTheme="majorHAnsi" w:hAnsiTheme="majorHAnsi" w:cs="Arial"/>
                <w:b w:val="0"/>
                <w:sz w:val="20"/>
                <w:szCs w:val="20"/>
                <w:lang w:val="fr-FR"/>
              </w:rPr>
            </w:pPr>
          </w:p>
          <w:p w14:paraId="42A23356" w14:textId="77777777" w:rsidR="00CA5375"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Résultat(s) escompté(s)</w:t>
            </w:r>
            <w:r w:rsidRPr="001A00DB">
              <w:rPr>
                <w:rFonts w:asciiTheme="majorHAnsi" w:hAnsiTheme="majorHAnsi" w:cs="Arial"/>
                <w:b w:val="0"/>
                <w:sz w:val="20"/>
                <w:szCs w:val="20"/>
                <w:lang w:val="fr-FR"/>
              </w:rPr>
              <w:t> :</w:t>
            </w:r>
          </w:p>
          <w:p w14:paraId="631CAF70" w14:textId="77777777" w:rsidR="00CA5375" w:rsidRPr="001A00DB" w:rsidRDefault="00CA5375" w:rsidP="00914A1A">
            <w:pPr>
              <w:rPr>
                <w:rFonts w:asciiTheme="majorHAnsi" w:hAnsiTheme="majorHAnsi" w:cs="Arial"/>
                <w:b w:val="0"/>
                <w:sz w:val="20"/>
                <w:szCs w:val="20"/>
                <w:lang w:val="fr-FR"/>
              </w:rPr>
            </w:pPr>
          </w:p>
          <w:p w14:paraId="6D1BF185" w14:textId="77777777" w:rsidR="00CA5375" w:rsidRPr="001A00DB" w:rsidRDefault="00CA5375"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1)</w:t>
            </w:r>
            <w:r w:rsidR="00931645" w:rsidRPr="001A00DB">
              <w:rPr>
                <w:rFonts w:asciiTheme="majorHAnsi" w:hAnsiTheme="majorHAnsi" w:cs="Arial"/>
                <w:b w:val="0"/>
                <w:sz w:val="20"/>
                <w:szCs w:val="20"/>
                <w:lang w:val="fr-FR"/>
              </w:rPr>
              <w:t xml:space="preserve"> </w:t>
            </w:r>
            <w:r w:rsidR="000F4FDF" w:rsidRPr="001A00DB">
              <w:rPr>
                <w:rFonts w:asciiTheme="majorHAnsi" w:hAnsiTheme="majorHAnsi" w:cs="Arial"/>
                <w:b w:val="0"/>
                <w:sz w:val="20"/>
                <w:szCs w:val="20"/>
                <w:lang w:val="fr-FR"/>
              </w:rPr>
              <w:t xml:space="preserve">Rapport technique </w:t>
            </w:r>
            <w:r w:rsidRPr="001A00DB">
              <w:rPr>
                <w:rFonts w:asciiTheme="majorHAnsi" w:hAnsiTheme="majorHAnsi" w:cs="Arial"/>
                <w:b w:val="0"/>
                <w:sz w:val="20"/>
                <w:szCs w:val="20"/>
                <w:lang w:val="fr-FR"/>
              </w:rPr>
              <w:t xml:space="preserve">Ramsar </w:t>
            </w:r>
            <w:r w:rsidR="000F4FDF" w:rsidRPr="001A00DB">
              <w:rPr>
                <w:rFonts w:asciiTheme="majorHAnsi" w:hAnsiTheme="majorHAnsi" w:cs="Arial"/>
                <w:b w:val="0"/>
                <w:sz w:val="20"/>
                <w:szCs w:val="20"/>
                <w:lang w:val="fr-FR"/>
              </w:rPr>
              <w:t xml:space="preserve">en tant que vue d’ensemble et avec des références à la compilation d’expériences sur les méthodes de réhumidification fondées </w:t>
            </w:r>
            <w:r w:rsidR="00253B43" w:rsidRPr="001A00DB">
              <w:rPr>
                <w:rFonts w:asciiTheme="majorHAnsi" w:hAnsiTheme="majorHAnsi" w:cs="Arial"/>
                <w:b w:val="0"/>
                <w:sz w:val="20"/>
                <w:szCs w:val="20"/>
                <w:lang w:val="fr-FR"/>
              </w:rPr>
              <w:t>sur la littérature existante</w:t>
            </w:r>
            <w:r w:rsidRPr="001A00DB">
              <w:rPr>
                <w:rFonts w:asciiTheme="majorHAnsi" w:hAnsiTheme="majorHAnsi" w:cs="Arial"/>
                <w:b w:val="0"/>
                <w:sz w:val="20"/>
                <w:szCs w:val="20"/>
                <w:lang w:val="fr-FR"/>
              </w:rPr>
              <w:t>; et</w:t>
            </w:r>
          </w:p>
          <w:p w14:paraId="71D00B83" w14:textId="77777777" w:rsidR="00CA5375" w:rsidRPr="001A00DB" w:rsidRDefault="00CA5375" w:rsidP="00914A1A">
            <w:pPr>
              <w:rPr>
                <w:rFonts w:asciiTheme="majorHAnsi" w:hAnsiTheme="majorHAnsi" w:cs="Arial"/>
                <w:b w:val="0"/>
                <w:sz w:val="20"/>
                <w:szCs w:val="20"/>
                <w:lang w:val="fr-FR"/>
              </w:rPr>
            </w:pPr>
          </w:p>
          <w:p w14:paraId="4C4AD886" w14:textId="13E8C447" w:rsidR="00914A1A" w:rsidRPr="001A00DB" w:rsidRDefault="00CA5375" w:rsidP="00914A1A">
            <w:pPr>
              <w:rPr>
                <w:rFonts w:asciiTheme="majorHAnsi" w:hAnsiTheme="majorHAnsi" w:cs="Arial"/>
                <w:b w:val="0"/>
                <w:sz w:val="20"/>
                <w:szCs w:val="20"/>
                <w:lang w:val="fr-FR"/>
              </w:rPr>
            </w:pPr>
            <w:r w:rsidRPr="001A00DB">
              <w:rPr>
                <w:rFonts w:asciiTheme="majorHAnsi" w:hAnsiTheme="majorHAnsi" w:cs="Arial"/>
                <w:b w:val="0"/>
                <w:sz w:val="20"/>
                <w:szCs w:val="20"/>
                <w:lang w:val="fr-FR"/>
              </w:rPr>
              <w:t>2) Orientations en annexe à un projet de résolution, si les Parties le souhaitent ou sous forme de document d’information pour la COP13.</w:t>
            </w:r>
            <w:r w:rsidR="00253B43" w:rsidRPr="001A00DB">
              <w:rPr>
                <w:rFonts w:asciiTheme="majorHAnsi" w:hAnsiTheme="majorHAnsi" w:cs="Arial"/>
                <w:b w:val="0"/>
                <w:sz w:val="20"/>
                <w:szCs w:val="20"/>
                <w:lang w:val="fr-FR"/>
              </w:rPr>
              <w:t xml:space="preserve"> </w:t>
            </w:r>
          </w:p>
          <w:p w14:paraId="6E6177E6" w14:textId="77777777" w:rsidR="00914A1A" w:rsidRPr="001A00DB" w:rsidRDefault="00914A1A" w:rsidP="00914A1A">
            <w:pPr>
              <w:rPr>
                <w:rFonts w:asciiTheme="majorHAnsi" w:hAnsiTheme="majorHAnsi" w:cs="Arial"/>
                <w:b w:val="0"/>
                <w:sz w:val="20"/>
                <w:szCs w:val="20"/>
                <w:lang w:val="fr-FR"/>
              </w:rPr>
            </w:pPr>
          </w:p>
          <w:p w14:paraId="2C41AFFC" w14:textId="31314C3F" w:rsidR="00914A1A" w:rsidRPr="001A00DB" w:rsidRDefault="00931645" w:rsidP="00914A1A">
            <w:pPr>
              <w:rPr>
                <w:rFonts w:asciiTheme="majorHAnsi" w:hAnsiTheme="majorHAnsi" w:cs="Arial"/>
                <w:b w:val="0"/>
                <w:sz w:val="20"/>
                <w:szCs w:val="20"/>
                <w:lang w:val="fr-FR"/>
              </w:rPr>
            </w:pPr>
            <w:r w:rsidRPr="001A00DB">
              <w:rPr>
                <w:rFonts w:asciiTheme="majorHAnsi" w:hAnsiTheme="majorHAnsi" w:cs="Arial"/>
                <w:b w:val="0"/>
                <w:sz w:val="20"/>
                <w:szCs w:val="20"/>
                <w:u w:val="single"/>
                <w:lang w:val="fr-FR"/>
              </w:rPr>
              <w:t>Public(s) ciblé(s)</w:t>
            </w:r>
            <w:r w:rsidRPr="001A00DB">
              <w:rPr>
                <w:rFonts w:asciiTheme="majorHAnsi" w:hAnsiTheme="majorHAnsi" w:cs="Arial"/>
                <w:b w:val="0"/>
                <w:sz w:val="20"/>
                <w:szCs w:val="20"/>
                <w:lang w:val="fr-FR"/>
              </w:rPr>
              <w:t xml:space="preserve"> : </w:t>
            </w:r>
            <w:r w:rsidR="00253B43" w:rsidRPr="001A00DB">
              <w:rPr>
                <w:rFonts w:asciiTheme="majorHAnsi" w:hAnsiTheme="majorHAnsi" w:cs="Arial"/>
                <w:b w:val="0"/>
                <w:sz w:val="20"/>
                <w:szCs w:val="20"/>
                <w:lang w:val="fr-FR"/>
              </w:rPr>
              <w:t xml:space="preserve">Praticiens (administrateurs de </w:t>
            </w:r>
            <w:r w:rsidR="00CA5375" w:rsidRPr="001A00DB">
              <w:rPr>
                <w:rFonts w:asciiTheme="majorHAnsi" w:hAnsiTheme="majorHAnsi" w:cs="Arial"/>
                <w:b w:val="0"/>
                <w:sz w:val="20"/>
                <w:szCs w:val="20"/>
                <w:lang w:val="fr-FR"/>
              </w:rPr>
              <w:t>Sites Ramsar</w:t>
            </w:r>
            <w:r w:rsidR="00914A1A" w:rsidRPr="001A00DB">
              <w:rPr>
                <w:rFonts w:asciiTheme="majorHAnsi" w:hAnsiTheme="majorHAnsi" w:cs="Arial"/>
                <w:b w:val="0"/>
                <w:sz w:val="20"/>
                <w:szCs w:val="20"/>
                <w:lang w:val="fr-FR"/>
              </w:rPr>
              <w:t>)</w:t>
            </w:r>
            <w:r w:rsidR="00855403" w:rsidRPr="001A00DB">
              <w:rPr>
                <w:rFonts w:asciiTheme="majorHAnsi" w:hAnsiTheme="majorHAnsi" w:cs="Arial"/>
                <w:b w:val="0"/>
                <w:sz w:val="20"/>
                <w:szCs w:val="20"/>
                <w:lang w:val="fr-FR"/>
              </w:rPr>
              <w:t>.</w:t>
            </w:r>
          </w:p>
          <w:p w14:paraId="6F093315" w14:textId="77777777" w:rsidR="00914A1A" w:rsidRPr="001A00DB" w:rsidRDefault="00914A1A" w:rsidP="00914A1A">
            <w:pPr>
              <w:rPr>
                <w:rFonts w:asciiTheme="majorHAnsi" w:hAnsiTheme="majorHAnsi" w:cs="Arial"/>
                <w:sz w:val="20"/>
                <w:szCs w:val="20"/>
                <w:lang w:val="fr-FR"/>
              </w:rPr>
            </w:pPr>
          </w:p>
        </w:tc>
        <w:tc>
          <w:tcPr>
            <w:tcW w:w="493" w:type="pct"/>
          </w:tcPr>
          <w:p w14:paraId="4EF992FB" w14:textId="0020029A" w:rsidR="00914A1A" w:rsidRPr="00B54758" w:rsidRDefault="00CA5375" w:rsidP="00E64065">
            <w:pPr>
              <w:rPr>
                <w:rFonts w:asciiTheme="majorHAnsi" w:hAnsiTheme="majorHAnsi" w:cs="Arial"/>
                <w:b w:val="0"/>
                <w:sz w:val="20"/>
                <w:szCs w:val="20"/>
                <w:lang w:val="fr-FR"/>
              </w:rPr>
            </w:pPr>
            <w:r w:rsidRPr="001A00DB">
              <w:rPr>
                <w:rFonts w:asciiTheme="majorHAnsi" w:hAnsiTheme="majorHAnsi" w:cs="Arial"/>
                <w:b w:val="0"/>
                <w:sz w:val="20"/>
                <w:szCs w:val="20"/>
                <w:lang w:val="fr-FR"/>
              </w:rPr>
              <w:t>Jusqu’à 35 500</w:t>
            </w:r>
          </w:p>
        </w:tc>
      </w:tr>
    </w:tbl>
    <w:p w14:paraId="5476DF5E" w14:textId="77777777" w:rsidR="0072713B" w:rsidRPr="0072713B" w:rsidRDefault="0072713B" w:rsidP="0072713B">
      <w:pPr>
        <w:tabs>
          <w:tab w:val="left" w:pos="3792"/>
        </w:tabs>
        <w:rPr>
          <w:rFonts w:asciiTheme="majorHAnsi" w:eastAsia="MS Mincho" w:hAnsiTheme="majorHAnsi"/>
          <w:sz w:val="22"/>
          <w:szCs w:val="22"/>
          <w:lang w:val="fr-FR" w:eastAsia="ja-JP"/>
        </w:rPr>
      </w:pPr>
    </w:p>
    <w:sectPr w:rsidR="0072713B" w:rsidRPr="0072713B" w:rsidSect="00AA3B09">
      <w:footerReference w:type="defaul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4C9E" w14:textId="77777777" w:rsidR="003B14B1" w:rsidRDefault="003B14B1" w:rsidP="00B92085">
      <w:r>
        <w:separator/>
      </w:r>
    </w:p>
  </w:endnote>
  <w:endnote w:type="continuationSeparator" w:id="0">
    <w:p w14:paraId="02FCDA5C" w14:textId="77777777" w:rsidR="003B14B1" w:rsidRDefault="003B14B1" w:rsidP="00B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C57F" w14:textId="41C37BE4" w:rsidR="00E177FA" w:rsidRPr="00A94469" w:rsidRDefault="00E177FA">
    <w:pPr>
      <w:pStyle w:val="Footer"/>
      <w:rPr>
        <w:rFonts w:asciiTheme="majorHAnsi" w:hAnsiTheme="majorHAnsi"/>
        <w:sz w:val="20"/>
        <w:szCs w:val="20"/>
        <w:lang w:val="en-GB"/>
      </w:rPr>
    </w:pPr>
    <w:r w:rsidRPr="008656E8">
      <w:rPr>
        <w:rFonts w:asciiTheme="majorHAnsi" w:hAnsiTheme="majorHAnsi"/>
        <w:sz w:val="20"/>
        <w:szCs w:val="20"/>
        <w:lang w:val="en-GB"/>
      </w:rPr>
      <w:t>SC52-10</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AA3B09">
      <w:rPr>
        <w:rFonts w:asciiTheme="majorHAnsi" w:hAnsiTheme="majorHAnsi"/>
        <w:noProof/>
        <w:sz w:val="20"/>
        <w:szCs w:val="20"/>
        <w:lang w:val="en-GB"/>
      </w:rPr>
      <w:t>16</w:t>
    </w:r>
    <w:r w:rsidRPr="00A94469">
      <w:rPr>
        <w:rFonts w:asciiTheme="majorHAnsi" w:hAnsiTheme="maj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szCs w:val="18"/>
      </w:rPr>
      <w:id w:val="-162936300"/>
      <w:docPartObj>
        <w:docPartGallery w:val="Page Numbers (Bottom of Page)"/>
        <w:docPartUnique/>
      </w:docPartObj>
    </w:sdtPr>
    <w:sdtEndPr>
      <w:rPr>
        <w:noProof/>
      </w:rPr>
    </w:sdtEndPr>
    <w:sdtContent>
      <w:p w14:paraId="576541E0" w14:textId="3F061462" w:rsidR="00030683" w:rsidRPr="00030683" w:rsidRDefault="003B14B1">
        <w:pPr>
          <w:pStyle w:val="Footer"/>
          <w:jc w:val="center"/>
          <w:rPr>
            <w:rFonts w:asciiTheme="majorHAnsi" w:hAnsiTheme="majorHAnsi"/>
            <w:sz w:val="18"/>
            <w:szCs w:val="18"/>
          </w:rPr>
        </w:pPr>
      </w:p>
    </w:sdtContent>
  </w:sdt>
  <w:p w14:paraId="024293D4" w14:textId="77777777" w:rsidR="00030683" w:rsidRDefault="00030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2465"/>
      <w:docPartObj>
        <w:docPartGallery w:val="Page Numbers (Bottom of Page)"/>
        <w:docPartUnique/>
      </w:docPartObj>
    </w:sdtPr>
    <w:sdtEndPr>
      <w:rPr>
        <w:noProof/>
      </w:rPr>
    </w:sdtEndPr>
    <w:sdtContent>
      <w:p w14:paraId="0876616B" w14:textId="21D0BF34" w:rsidR="00F75FAD" w:rsidRDefault="00F75FAD">
        <w:pPr>
          <w:pStyle w:val="Footer"/>
          <w:jc w:val="center"/>
        </w:pPr>
        <w:r w:rsidRPr="000532B8">
          <w:rPr>
            <w:rFonts w:asciiTheme="majorHAnsi" w:hAnsiTheme="majorHAnsi"/>
            <w:sz w:val="18"/>
            <w:szCs w:val="18"/>
          </w:rPr>
          <w:fldChar w:fldCharType="begin"/>
        </w:r>
        <w:r w:rsidRPr="000532B8">
          <w:rPr>
            <w:rFonts w:asciiTheme="majorHAnsi" w:hAnsiTheme="majorHAnsi"/>
            <w:sz w:val="18"/>
            <w:szCs w:val="18"/>
          </w:rPr>
          <w:instrText xml:space="preserve"> PAGE   \* MERGEFORMAT </w:instrText>
        </w:r>
        <w:r w:rsidRPr="000532B8">
          <w:rPr>
            <w:rFonts w:asciiTheme="majorHAnsi" w:hAnsiTheme="majorHAnsi"/>
            <w:sz w:val="18"/>
            <w:szCs w:val="18"/>
          </w:rPr>
          <w:fldChar w:fldCharType="separate"/>
        </w:r>
        <w:r w:rsidR="00E41165">
          <w:rPr>
            <w:rFonts w:asciiTheme="majorHAnsi" w:hAnsiTheme="majorHAnsi"/>
            <w:noProof/>
            <w:sz w:val="18"/>
            <w:szCs w:val="18"/>
          </w:rPr>
          <w:t>3</w:t>
        </w:r>
        <w:r w:rsidRPr="000532B8">
          <w:rPr>
            <w:rFonts w:asciiTheme="majorHAnsi" w:hAnsiTheme="majorHAnsi"/>
            <w:noProof/>
            <w:sz w:val="18"/>
            <w:szCs w:val="18"/>
          </w:rPr>
          <w:fldChar w:fldCharType="end"/>
        </w:r>
      </w:p>
    </w:sdtContent>
  </w:sdt>
  <w:p w14:paraId="218BA2E0" w14:textId="444E3C91" w:rsidR="00E177FA" w:rsidRPr="00A94469" w:rsidRDefault="00E177FA" w:rsidP="00836984">
    <w:pPr>
      <w:pStyle w:val="Footer"/>
      <w:tabs>
        <w:tab w:val="clear" w:pos="9360"/>
        <w:tab w:val="right" w:pos="14175"/>
      </w:tabs>
      <w:ind w:right="3752"/>
      <w:rPr>
        <w:rFonts w:asciiTheme="majorHAnsi" w:hAnsiTheme="majorHAnsi"/>
        <w:sz w:val="20"/>
        <w:szCs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szCs w:val="18"/>
      </w:rPr>
      <w:id w:val="1502079737"/>
      <w:docPartObj>
        <w:docPartGallery w:val="Page Numbers (Bottom of Page)"/>
        <w:docPartUnique/>
      </w:docPartObj>
    </w:sdtPr>
    <w:sdtEndPr>
      <w:rPr>
        <w:noProof/>
      </w:rPr>
    </w:sdtEndPr>
    <w:sdtContent>
      <w:p w14:paraId="606F3D9C" w14:textId="77777777" w:rsidR="00E7362F" w:rsidRPr="00030683" w:rsidRDefault="00E7362F">
        <w:pPr>
          <w:pStyle w:val="Footer"/>
          <w:jc w:val="center"/>
          <w:rPr>
            <w:rFonts w:asciiTheme="majorHAnsi" w:hAnsiTheme="majorHAnsi"/>
            <w:sz w:val="18"/>
            <w:szCs w:val="18"/>
          </w:rPr>
        </w:pPr>
        <w:r w:rsidRPr="00030683">
          <w:rPr>
            <w:rFonts w:asciiTheme="majorHAnsi" w:hAnsiTheme="majorHAnsi"/>
            <w:sz w:val="18"/>
            <w:szCs w:val="18"/>
          </w:rPr>
          <w:fldChar w:fldCharType="begin"/>
        </w:r>
        <w:r w:rsidRPr="00030683">
          <w:rPr>
            <w:rFonts w:asciiTheme="majorHAnsi" w:hAnsiTheme="majorHAnsi"/>
            <w:sz w:val="18"/>
            <w:szCs w:val="18"/>
          </w:rPr>
          <w:instrText xml:space="preserve"> PAGE   \* MERGEFORMAT </w:instrText>
        </w:r>
        <w:r w:rsidRPr="00030683">
          <w:rPr>
            <w:rFonts w:asciiTheme="majorHAnsi" w:hAnsiTheme="majorHAnsi"/>
            <w:sz w:val="18"/>
            <w:szCs w:val="18"/>
          </w:rPr>
          <w:fldChar w:fldCharType="separate"/>
        </w:r>
        <w:r w:rsidR="00E41165">
          <w:rPr>
            <w:rFonts w:asciiTheme="majorHAnsi" w:hAnsiTheme="majorHAnsi"/>
            <w:noProof/>
            <w:sz w:val="18"/>
            <w:szCs w:val="18"/>
          </w:rPr>
          <w:t>2</w:t>
        </w:r>
        <w:r w:rsidRPr="00030683">
          <w:rPr>
            <w:rFonts w:asciiTheme="majorHAnsi" w:hAnsiTheme="majorHAnsi"/>
            <w:noProof/>
            <w:sz w:val="18"/>
            <w:szCs w:val="18"/>
          </w:rPr>
          <w:fldChar w:fldCharType="end"/>
        </w:r>
      </w:p>
    </w:sdtContent>
  </w:sdt>
  <w:p w14:paraId="269B72A6" w14:textId="77777777" w:rsidR="00E7362F" w:rsidRDefault="00E736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54798"/>
      <w:docPartObj>
        <w:docPartGallery w:val="Page Numbers (Bottom of Page)"/>
        <w:docPartUnique/>
      </w:docPartObj>
    </w:sdtPr>
    <w:sdtEndPr>
      <w:rPr>
        <w:rFonts w:asciiTheme="majorHAnsi" w:hAnsiTheme="majorHAnsi"/>
        <w:noProof/>
        <w:sz w:val="18"/>
        <w:szCs w:val="18"/>
      </w:rPr>
    </w:sdtEndPr>
    <w:sdtContent>
      <w:p w14:paraId="1A1D2D67" w14:textId="4038AA7E" w:rsidR="00AA3B09" w:rsidRPr="00AA3B09" w:rsidRDefault="00AA3B09">
        <w:pPr>
          <w:pStyle w:val="Footer"/>
          <w:jc w:val="center"/>
          <w:rPr>
            <w:rFonts w:asciiTheme="majorHAnsi" w:hAnsiTheme="majorHAnsi"/>
            <w:sz w:val="18"/>
            <w:szCs w:val="18"/>
          </w:rPr>
        </w:pPr>
        <w:r w:rsidRPr="00AA3B09">
          <w:rPr>
            <w:rFonts w:asciiTheme="majorHAnsi" w:hAnsiTheme="majorHAnsi"/>
            <w:sz w:val="18"/>
            <w:szCs w:val="18"/>
          </w:rPr>
          <w:fldChar w:fldCharType="begin"/>
        </w:r>
        <w:r w:rsidRPr="00AA3B09">
          <w:rPr>
            <w:rFonts w:asciiTheme="majorHAnsi" w:hAnsiTheme="majorHAnsi"/>
            <w:sz w:val="18"/>
            <w:szCs w:val="18"/>
          </w:rPr>
          <w:instrText xml:space="preserve"> PAGE   \* MERGEFORMAT </w:instrText>
        </w:r>
        <w:r w:rsidRPr="00AA3B09">
          <w:rPr>
            <w:rFonts w:asciiTheme="majorHAnsi" w:hAnsiTheme="majorHAnsi"/>
            <w:sz w:val="18"/>
            <w:szCs w:val="18"/>
          </w:rPr>
          <w:fldChar w:fldCharType="separate"/>
        </w:r>
        <w:r w:rsidR="00E41165">
          <w:rPr>
            <w:rFonts w:asciiTheme="majorHAnsi" w:hAnsiTheme="majorHAnsi"/>
            <w:noProof/>
            <w:sz w:val="18"/>
            <w:szCs w:val="18"/>
          </w:rPr>
          <w:t>17</w:t>
        </w:r>
        <w:r w:rsidRPr="00AA3B09">
          <w:rPr>
            <w:rFonts w:asciiTheme="majorHAnsi" w:hAnsiTheme="majorHAnsi"/>
            <w:noProof/>
            <w:sz w:val="18"/>
            <w:szCs w:val="18"/>
          </w:rPr>
          <w:fldChar w:fldCharType="end"/>
        </w:r>
      </w:p>
    </w:sdtContent>
  </w:sdt>
  <w:p w14:paraId="09E01075" w14:textId="42F41E97" w:rsidR="00E177FA" w:rsidRPr="00A94469" w:rsidRDefault="00E177FA" w:rsidP="00836984">
    <w:pPr>
      <w:pStyle w:val="Footer"/>
      <w:tabs>
        <w:tab w:val="clear" w:pos="9360"/>
        <w:tab w:val="right" w:pos="9072"/>
      </w:tabs>
      <w:ind w:right="3752"/>
      <w:rPr>
        <w:rFonts w:asciiTheme="majorHAnsi" w:hAnsiTheme="majorHAns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ADA11" w14:textId="77777777" w:rsidR="003B14B1" w:rsidRDefault="003B14B1" w:rsidP="00B92085">
      <w:r>
        <w:separator/>
      </w:r>
    </w:p>
  </w:footnote>
  <w:footnote w:type="continuationSeparator" w:id="0">
    <w:p w14:paraId="2F14ECD2" w14:textId="77777777" w:rsidR="003B14B1" w:rsidRDefault="003B14B1" w:rsidP="00B92085">
      <w:r>
        <w:continuationSeparator/>
      </w:r>
    </w:p>
  </w:footnote>
  <w:footnote w:id="1">
    <w:p w14:paraId="631D11A1" w14:textId="65A937F6" w:rsidR="00E177FA" w:rsidRPr="00CB521B" w:rsidRDefault="00E177FA">
      <w:pPr>
        <w:pStyle w:val="FootnoteText"/>
        <w:rPr>
          <w:rFonts w:asciiTheme="majorHAnsi" w:hAnsiTheme="majorHAnsi"/>
          <w:lang w:val="fr-CH"/>
        </w:rPr>
      </w:pPr>
      <w:r w:rsidRPr="000532B8">
        <w:rPr>
          <w:rStyle w:val="FootnoteReference"/>
          <w:rFonts w:asciiTheme="majorHAnsi" w:hAnsiTheme="majorHAnsi"/>
        </w:rPr>
        <w:footnoteRef/>
      </w:r>
      <w:r w:rsidRPr="000532B8">
        <w:rPr>
          <w:rFonts w:asciiTheme="majorHAnsi" w:hAnsiTheme="majorHAnsi"/>
          <w:lang w:val="fr-CH"/>
        </w:rPr>
        <w:t xml:space="preserve"> Le 14 mars 2016, JAXA a informé le Secrétariat Ramsar que Mme Shizu Yabe reprendrait les fonctions de M. Nobuyoshi Fujimoto </w:t>
      </w:r>
      <w:r w:rsidR="005720E5" w:rsidRPr="000532B8">
        <w:rPr>
          <w:rFonts w:asciiTheme="majorHAnsi" w:hAnsiTheme="majorHAnsi"/>
          <w:lang w:val="fr-CH"/>
        </w:rPr>
        <w:t>et représenterait</w:t>
      </w:r>
      <w:r w:rsidRPr="000532B8">
        <w:rPr>
          <w:rFonts w:asciiTheme="majorHAnsi" w:hAnsiTheme="majorHAnsi"/>
          <w:lang w:val="fr-CH"/>
        </w:rPr>
        <w:t xml:space="preserve"> JAXA au GEST.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A63F" w14:textId="7BA661DE" w:rsidR="00030683" w:rsidRPr="00030683" w:rsidRDefault="00030683" w:rsidP="00030683">
    <w:pPr>
      <w:pStyle w:val="Header"/>
      <w:jc w:val="right"/>
      <w:rPr>
        <w:sz w:val="18"/>
        <w:szCs w:val="18"/>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80A5" w14:textId="77777777" w:rsidR="00AA3B09" w:rsidRPr="00030683" w:rsidRDefault="00AA3B09" w:rsidP="00AA3B09">
    <w:pPr>
      <w:pStyle w:val="Header"/>
      <w:jc w:val="right"/>
      <w:rPr>
        <w:sz w:val="18"/>
        <w:szCs w:val="18"/>
        <w:lang w:val="fr-CH"/>
      </w:rPr>
    </w:pPr>
    <w:r w:rsidRPr="00030683">
      <w:rPr>
        <w:rFonts w:asciiTheme="majorHAnsi" w:eastAsiaTheme="minorHAnsi" w:hAnsiTheme="majorHAnsi" w:cstheme="minorBidi"/>
        <w:sz w:val="18"/>
        <w:szCs w:val="18"/>
        <w:lang w:val="fr-FR"/>
      </w:rPr>
      <w:t>Plan de travail du GEST 2016-2018</w:t>
    </w:r>
  </w:p>
  <w:p w14:paraId="25B559FA" w14:textId="77777777" w:rsidR="00AA3B09" w:rsidRPr="00AA3B09" w:rsidRDefault="00AA3B09" w:rsidP="00AA3B09">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9BF2" w14:textId="77777777" w:rsidR="00030683" w:rsidRPr="00030683" w:rsidRDefault="00030683" w:rsidP="00030683">
    <w:pPr>
      <w:pStyle w:val="Header"/>
      <w:jc w:val="right"/>
      <w:rPr>
        <w:sz w:val="18"/>
        <w:szCs w:val="18"/>
        <w:lang w:val="fr-CH"/>
      </w:rPr>
    </w:pPr>
    <w:r w:rsidRPr="00030683">
      <w:rPr>
        <w:rFonts w:asciiTheme="majorHAnsi" w:eastAsiaTheme="minorHAnsi" w:hAnsiTheme="majorHAnsi" w:cstheme="minorBidi"/>
        <w:sz w:val="18"/>
        <w:szCs w:val="18"/>
        <w:lang w:val="fr-FR"/>
      </w:rPr>
      <w:t>Plan de travail du GEST 2016-2018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ED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6272"/>
    <w:multiLevelType w:val="hybridMultilevel"/>
    <w:tmpl w:val="D5A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853"/>
    <w:multiLevelType w:val="hybridMultilevel"/>
    <w:tmpl w:val="501CD170"/>
    <w:lvl w:ilvl="0" w:tplc="1EC02834">
      <w:start w:val="1"/>
      <w:numFmt w:val="decimal"/>
      <w:lvlText w:val="%1."/>
      <w:lvlJc w:val="left"/>
      <w:pPr>
        <w:ind w:left="725" w:hanging="360"/>
      </w:pPr>
      <w:rPr>
        <w:rFonts w:hint="default"/>
        <w:b w:val="0"/>
      </w:rPr>
    </w:lvl>
    <w:lvl w:ilvl="1" w:tplc="0FA8EE7C">
      <w:start w:val="1"/>
      <w:numFmt w:val="lowerRoman"/>
      <w:lvlText w:val="%2)"/>
      <w:lvlJc w:val="left"/>
      <w:pPr>
        <w:ind w:left="1445" w:hanging="360"/>
      </w:pPr>
      <w:rPr>
        <w:rFonts w:ascii="Garamond" w:eastAsia="MS Mincho" w:hAnsi="Garamond" w:cs="Times New Roman" w:hint="default"/>
        <w:b w:val="0"/>
      </w:rPr>
    </w:lvl>
    <w:lvl w:ilvl="2" w:tplc="81CA8584">
      <w:start w:val="1"/>
      <w:numFmt w:val="lowerLetter"/>
      <w:lvlText w:val="%3."/>
      <w:lvlJc w:val="left"/>
      <w:pPr>
        <w:ind w:left="2165" w:hanging="360"/>
      </w:pPr>
      <w:rPr>
        <w:rFonts w:hint="default"/>
        <w:b w:val="0"/>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04C409CD"/>
    <w:multiLevelType w:val="hybridMultilevel"/>
    <w:tmpl w:val="FBDE0666"/>
    <w:lvl w:ilvl="0" w:tplc="D2FA5010">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02"/>
    <w:multiLevelType w:val="hybridMultilevel"/>
    <w:tmpl w:val="5E24061E"/>
    <w:lvl w:ilvl="0" w:tplc="FB8AA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80BAD"/>
    <w:multiLevelType w:val="hybridMultilevel"/>
    <w:tmpl w:val="F7FC2278"/>
    <w:lvl w:ilvl="0" w:tplc="F8687904">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E622F"/>
    <w:multiLevelType w:val="hybridMultilevel"/>
    <w:tmpl w:val="BF8CD2F4"/>
    <w:lvl w:ilvl="0" w:tplc="6DBC5E0E">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F95D69"/>
    <w:multiLevelType w:val="hybridMultilevel"/>
    <w:tmpl w:val="7D165B06"/>
    <w:lvl w:ilvl="0" w:tplc="10090003">
      <w:start w:val="1"/>
      <w:numFmt w:val="bullet"/>
      <w:lvlText w:val="o"/>
      <w:lvlJc w:val="left"/>
      <w:pPr>
        <w:ind w:left="1571" w:hanging="360"/>
      </w:pPr>
      <w:rPr>
        <w:rFonts w:ascii="Courier New" w:hAnsi="Courier New"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nsid w:val="1233603E"/>
    <w:multiLevelType w:val="hybridMultilevel"/>
    <w:tmpl w:val="73E226DE"/>
    <w:lvl w:ilvl="0" w:tplc="826E201E">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016F0"/>
    <w:multiLevelType w:val="hybridMultilevel"/>
    <w:tmpl w:val="539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221FF"/>
    <w:multiLevelType w:val="hybridMultilevel"/>
    <w:tmpl w:val="E2521DA8"/>
    <w:lvl w:ilvl="0" w:tplc="08248A8C">
      <w:start w:val="1"/>
      <w:numFmt w:val="bullet"/>
      <w:lvlText w:val="•"/>
      <w:lvlJc w:val="left"/>
      <w:pPr>
        <w:tabs>
          <w:tab w:val="num" w:pos="720"/>
        </w:tabs>
        <w:ind w:left="720" w:hanging="360"/>
      </w:pPr>
      <w:rPr>
        <w:rFonts w:ascii="Arial" w:hAnsi="Arial" w:hint="default"/>
      </w:rPr>
    </w:lvl>
    <w:lvl w:ilvl="1" w:tplc="9FF87ACC" w:tentative="1">
      <w:start w:val="1"/>
      <w:numFmt w:val="bullet"/>
      <w:lvlText w:val="•"/>
      <w:lvlJc w:val="left"/>
      <w:pPr>
        <w:tabs>
          <w:tab w:val="num" w:pos="1440"/>
        </w:tabs>
        <w:ind w:left="1440" w:hanging="360"/>
      </w:pPr>
      <w:rPr>
        <w:rFonts w:ascii="Arial" w:hAnsi="Arial" w:hint="default"/>
      </w:rPr>
    </w:lvl>
    <w:lvl w:ilvl="2" w:tplc="410E27EA" w:tentative="1">
      <w:start w:val="1"/>
      <w:numFmt w:val="bullet"/>
      <w:lvlText w:val="•"/>
      <w:lvlJc w:val="left"/>
      <w:pPr>
        <w:tabs>
          <w:tab w:val="num" w:pos="2160"/>
        </w:tabs>
        <w:ind w:left="2160" w:hanging="360"/>
      </w:pPr>
      <w:rPr>
        <w:rFonts w:ascii="Arial" w:hAnsi="Arial" w:hint="default"/>
      </w:rPr>
    </w:lvl>
    <w:lvl w:ilvl="3" w:tplc="8E8882FC" w:tentative="1">
      <w:start w:val="1"/>
      <w:numFmt w:val="bullet"/>
      <w:lvlText w:val="•"/>
      <w:lvlJc w:val="left"/>
      <w:pPr>
        <w:tabs>
          <w:tab w:val="num" w:pos="2880"/>
        </w:tabs>
        <w:ind w:left="2880" w:hanging="360"/>
      </w:pPr>
      <w:rPr>
        <w:rFonts w:ascii="Arial" w:hAnsi="Arial" w:hint="default"/>
      </w:rPr>
    </w:lvl>
    <w:lvl w:ilvl="4" w:tplc="81D2CDB6" w:tentative="1">
      <w:start w:val="1"/>
      <w:numFmt w:val="bullet"/>
      <w:lvlText w:val="•"/>
      <w:lvlJc w:val="left"/>
      <w:pPr>
        <w:tabs>
          <w:tab w:val="num" w:pos="3600"/>
        </w:tabs>
        <w:ind w:left="3600" w:hanging="360"/>
      </w:pPr>
      <w:rPr>
        <w:rFonts w:ascii="Arial" w:hAnsi="Arial" w:hint="default"/>
      </w:rPr>
    </w:lvl>
    <w:lvl w:ilvl="5" w:tplc="46AC9ED8" w:tentative="1">
      <w:start w:val="1"/>
      <w:numFmt w:val="bullet"/>
      <w:lvlText w:val="•"/>
      <w:lvlJc w:val="left"/>
      <w:pPr>
        <w:tabs>
          <w:tab w:val="num" w:pos="4320"/>
        </w:tabs>
        <w:ind w:left="4320" w:hanging="360"/>
      </w:pPr>
      <w:rPr>
        <w:rFonts w:ascii="Arial" w:hAnsi="Arial" w:hint="default"/>
      </w:rPr>
    </w:lvl>
    <w:lvl w:ilvl="6" w:tplc="57666456" w:tentative="1">
      <w:start w:val="1"/>
      <w:numFmt w:val="bullet"/>
      <w:lvlText w:val="•"/>
      <w:lvlJc w:val="left"/>
      <w:pPr>
        <w:tabs>
          <w:tab w:val="num" w:pos="5040"/>
        </w:tabs>
        <w:ind w:left="5040" w:hanging="360"/>
      </w:pPr>
      <w:rPr>
        <w:rFonts w:ascii="Arial" w:hAnsi="Arial" w:hint="default"/>
      </w:rPr>
    </w:lvl>
    <w:lvl w:ilvl="7" w:tplc="8D64B3A4" w:tentative="1">
      <w:start w:val="1"/>
      <w:numFmt w:val="bullet"/>
      <w:lvlText w:val="•"/>
      <w:lvlJc w:val="left"/>
      <w:pPr>
        <w:tabs>
          <w:tab w:val="num" w:pos="5760"/>
        </w:tabs>
        <w:ind w:left="5760" w:hanging="360"/>
      </w:pPr>
      <w:rPr>
        <w:rFonts w:ascii="Arial" w:hAnsi="Arial" w:hint="default"/>
      </w:rPr>
    </w:lvl>
    <w:lvl w:ilvl="8" w:tplc="4058E75C" w:tentative="1">
      <w:start w:val="1"/>
      <w:numFmt w:val="bullet"/>
      <w:lvlText w:val="•"/>
      <w:lvlJc w:val="left"/>
      <w:pPr>
        <w:tabs>
          <w:tab w:val="num" w:pos="6480"/>
        </w:tabs>
        <w:ind w:left="6480" w:hanging="360"/>
      </w:pPr>
      <w:rPr>
        <w:rFonts w:ascii="Arial" w:hAnsi="Arial" w:hint="default"/>
      </w:rPr>
    </w:lvl>
  </w:abstractNum>
  <w:abstractNum w:abstractNumId="11">
    <w:nsid w:val="25432DB0"/>
    <w:multiLevelType w:val="hybridMultilevel"/>
    <w:tmpl w:val="E806E182"/>
    <w:lvl w:ilvl="0" w:tplc="69FA05B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2C7149"/>
    <w:multiLevelType w:val="hybridMultilevel"/>
    <w:tmpl w:val="61EE4FCE"/>
    <w:lvl w:ilvl="0" w:tplc="43FA1EC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E7232D"/>
    <w:multiLevelType w:val="hybridMultilevel"/>
    <w:tmpl w:val="2A1E22A8"/>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2F2320B5"/>
    <w:multiLevelType w:val="hybridMultilevel"/>
    <w:tmpl w:val="F0CED3B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B34332"/>
    <w:multiLevelType w:val="hybridMultilevel"/>
    <w:tmpl w:val="7E502B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8F7D68"/>
    <w:multiLevelType w:val="hybridMultilevel"/>
    <w:tmpl w:val="A942F468"/>
    <w:lvl w:ilvl="0" w:tplc="04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nsid w:val="39855262"/>
    <w:multiLevelType w:val="hybridMultilevel"/>
    <w:tmpl w:val="817E6840"/>
    <w:lvl w:ilvl="0" w:tplc="826E201E">
      <w:start w:val="9"/>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E5DBC"/>
    <w:multiLevelType w:val="hybridMultilevel"/>
    <w:tmpl w:val="740C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35D52"/>
    <w:multiLevelType w:val="hybridMultilevel"/>
    <w:tmpl w:val="B3D47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B10BF"/>
    <w:multiLevelType w:val="multilevel"/>
    <w:tmpl w:val="39A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721C9"/>
    <w:multiLevelType w:val="hybridMultilevel"/>
    <w:tmpl w:val="A956CBA6"/>
    <w:lvl w:ilvl="0" w:tplc="CE902708">
      <w:start w:val="7"/>
      <w:numFmt w:val="decimal"/>
      <w:lvlText w:val="%1."/>
      <w:lvlJc w:val="left"/>
      <w:pPr>
        <w:ind w:left="725" w:hanging="360"/>
      </w:pPr>
      <w:rPr>
        <w:rFonts w:hint="default"/>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nsid w:val="4B7D3B88"/>
    <w:multiLevelType w:val="hybridMultilevel"/>
    <w:tmpl w:val="C7048392"/>
    <w:lvl w:ilvl="0" w:tplc="F3A6EAF4">
      <w:start w:val="1"/>
      <w:numFmt w:val="lowerRoman"/>
      <w:lvlText w:val="%1)"/>
      <w:lvlJc w:val="left"/>
      <w:pPr>
        <w:ind w:left="720" w:hanging="360"/>
      </w:pPr>
      <w:rPr>
        <w:rFonts w:asciiTheme="majorHAnsi" w:eastAsia="MS Mincho" w:hAnsiTheme="maj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E17"/>
    <w:multiLevelType w:val="hybridMultilevel"/>
    <w:tmpl w:val="70B099F8"/>
    <w:lvl w:ilvl="0" w:tplc="4232FBF8">
      <w:start w:val="1"/>
      <w:numFmt w:val="lowerLetter"/>
      <w:lvlText w:val="%1."/>
      <w:lvlJc w:val="left"/>
      <w:pPr>
        <w:ind w:left="2208" w:hanging="360"/>
      </w:pPr>
      <w:rPr>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4">
    <w:nsid w:val="4DDE01A6"/>
    <w:multiLevelType w:val="hybridMultilevel"/>
    <w:tmpl w:val="6BE0CE4E"/>
    <w:lvl w:ilvl="0" w:tplc="A75E3C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65C35"/>
    <w:multiLevelType w:val="hybridMultilevel"/>
    <w:tmpl w:val="7B4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43180"/>
    <w:multiLevelType w:val="hybridMultilevel"/>
    <w:tmpl w:val="7DE8D3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5EB5BAA"/>
    <w:multiLevelType w:val="hybridMultilevel"/>
    <w:tmpl w:val="942CD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BC2366"/>
    <w:multiLevelType w:val="hybridMultilevel"/>
    <w:tmpl w:val="95FA4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3E0596"/>
    <w:multiLevelType w:val="hybridMultilevel"/>
    <w:tmpl w:val="152A4744"/>
    <w:lvl w:ilvl="0" w:tplc="91AE416E">
      <w:start w:val="1"/>
      <w:numFmt w:val="bullet"/>
      <w:lvlText w:val="•"/>
      <w:lvlJc w:val="left"/>
      <w:pPr>
        <w:tabs>
          <w:tab w:val="num" w:pos="720"/>
        </w:tabs>
        <w:ind w:left="720" w:hanging="360"/>
      </w:pPr>
      <w:rPr>
        <w:rFonts w:ascii="Arial" w:hAnsi="Arial" w:hint="default"/>
      </w:rPr>
    </w:lvl>
    <w:lvl w:ilvl="1" w:tplc="8940CAA6" w:tentative="1">
      <w:start w:val="1"/>
      <w:numFmt w:val="bullet"/>
      <w:lvlText w:val="•"/>
      <w:lvlJc w:val="left"/>
      <w:pPr>
        <w:tabs>
          <w:tab w:val="num" w:pos="1440"/>
        </w:tabs>
        <w:ind w:left="1440" w:hanging="360"/>
      </w:pPr>
      <w:rPr>
        <w:rFonts w:ascii="Arial" w:hAnsi="Arial" w:hint="default"/>
      </w:rPr>
    </w:lvl>
    <w:lvl w:ilvl="2" w:tplc="CF56D35C" w:tentative="1">
      <w:start w:val="1"/>
      <w:numFmt w:val="bullet"/>
      <w:lvlText w:val="•"/>
      <w:lvlJc w:val="left"/>
      <w:pPr>
        <w:tabs>
          <w:tab w:val="num" w:pos="2160"/>
        </w:tabs>
        <w:ind w:left="2160" w:hanging="360"/>
      </w:pPr>
      <w:rPr>
        <w:rFonts w:ascii="Arial" w:hAnsi="Arial" w:hint="default"/>
      </w:rPr>
    </w:lvl>
    <w:lvl w:ilvl="3" w:tplc="00B8E08E" w:tentative="1">
      <w:start w:val="1"/>
      <w:numFmt w:val="bullet"/>
      <w:lvlText w:val="•"/>
      <w:lvlJc w:val="left"/>
      <w:pPr>
        <w:tabs>
          <w:tab w:val="num" w:pos="2880"/>
        </w:tabs>
        <w:ind w:left="2880" w:hanging="360"/>
      </w:pPr>
      <w:rPr>
        <w:rFonts w:ascii="Arial" w:hAnsi="Arial" w:hint="default"/>
      </w:rPr>
    </w:lvl>
    <w:lvl w:ilvl="4" w:tplc="27C66270" w:tentative="1">
      <w:start w:val="1"/>
      <w:numFmt w:val="bullet"/>
      <w:lvlText w:val="•"/>
      <w:lvlJc w:val="left"/>
      <w:pPr>
        <w:tabs>
          <w:tab w:val="num" w:pos="3600"/>
        </w:tabs>
        <w:ind w:left="3600" w:hanging="360"/>
      </w:pPr>
      <w:rPr>
        <w:rFonts w:ascii="Arial" w:hAnsi="Arial" w:hint="default"/>
      </w:rPr>
    </w:lvl>
    <w:lvl w:ilvl="5" w:tplc="03006B3A" w:tentative="1">
      <w:start w:val="1"/>
      <w:numFmt w:val="bullet"/>
      <w:lvlText w:val="•"/>
      <w:lvlJc w:val="left"/>
      <w:pPr>
        <w:tabs>
          <w:tab w:val="num" w:pos="4320"/>
        </w:tabs>
        <w:ind w:left="4320" w:hanging="360"/>
      </w:pPr>
      <w:rPr>
        <w:rFonts w:ascii="Arial" w:hAnsi="Arial" w:hint="default"/>
      </w:rPr>
    </w:lvl>
    <w:lvl w:ilvl="6" w:tplc="31DE5B1A" w:tentative="1">
      <w:start w:val="1"/>
      <w:numFmt w:val="bullet"/>
      <w:lvlText w:val="•"/>
      <w:lvlJc w:val="left"/>
      <w:pPr>
        <w:tabs>
          <w:tab w:val="num" w:pos="5040"/>
        </w:tabs>
        <w:ind w:left="5040" w:hanging="360"/>
      </w:pPr>
      <w:rPr>
        <w:rFonts w:ascii="Arial" w:hAnsi="Arial" w:hint="default"/>
      </w:rPr>
    </w:lvl>
    <w:lvl w:ilvl="7" w:tplc="510C9C0E" w:tentative="1">
      <w:start w:val="1"/>
      <w:numFmt w:val="bullet"/>
      <w:lvlText w:val="•"/>
      <w:lvlJc w:val="left"/>
      <w:pPr>
        <w:tabs>
          <w:tab w:val="num" w:pos="5760"/>
        </w:tabs>
        <w:ind w:left="5760" w:hanging="360"/>
      </w:pPr>
      <w:rPr>
        <w:rFonts w:ascii="Arial" w:hAnsi="Arial" w:hint="default"/>
      </w:rPr>
    </w:lvl>
    <w:lvl w:ilvl="8" w:tplc="53C63072" w:tentative="1">
      <w:start w:val="1"/>
      <w:numFmt w:val="bullet"/>
      <w:lvlText w:val="•"/>
      <w:lvlJc w:val="left"/>
      <w:pPr>
        <w:tabs>
          <w:tab w:val="num" w:pos="6480"/>
        </w:tabs>
        <w:ind w:left="6480" w:hanging="360"/>
      </w:pPr>
      <w:rPr>
        <w:rFonts w:ascii="Arial" w:hAnsi="Arial" w:hint="default"/>
      </w:rPr>
    </w:lvl>
  </w:abstractNum>
  <w:abstractNum w:abstractNumId="30">
    <w:nsid w:val="623732AB"/>
    <w:multiLevelType w:val="hybridMultilevel"/>
    <w:tmpl w:val="33106B36"/>
    <w:lvl w:ilvl="0" w:tplc="65E43F46">
      <w:start w:val="1"/>
      <w:numFmt w:val="bullet"/>
      <w:lvlText w:val="•"/>
      <w:lvlJc w:val="left"/>
      <w:pPr>
        <w:tabs>
          <w:tab w:val="num" w:pos="720"/>
        </w:tabs>
        <w:ind w:left="720" w:hanging="360"/>
      </w:pPr>
      <w:rPr>
        <w:rFonts w:ascii="Arial" w:hAnsi="Arial" w:hint="default"/>
      </w:rPr>
    </w:lvl>
    <w:lvl w:ilvl="1" w:tplc="BD947AC4" w:tentative="1">
      <w:start w:val="1"/>
      <w:numFmt w:val="bullet"/>
      <w:lvlText w:val="•"/>
      <w:lvlJc w:val="left"/>
      <w:pPr>
        <w:tabs>
          <w:tab w:val="num" w:pos="1440"/>
        </w:tabs>
        <w:ind w:left="1440" w:hanging="360"/>
      </w:pPr>
      <w:rPr>
        <w:rFonts w:ascii="Arial" w:hAnsi="Arial" w:hint="default"/>
      </w:rPr>
    </w:lvl>
    <w:lvl w:ilvl="2" w:tplc="3CEA71EA" w:tentative="1">
      <w:start w:val="1"/>
      <w:numFmt w:val="bullet"/>
      <w:lvlText w:val="•"/>
      <w:lvlJc w:val="left"/>
      <w:pPr>
        <w:tabs>
          <w:tab w:val="num" w:pos="2160"/>
        </w:tabs>
        <w:ind w:left="2160" w:hanging="360"/>
      </w:pPr>
      <w:rPr>
        <w:rFonts w:ascii="Arial" w:hAnsi="Arial" w:hint="default"/>
      </w:rPr>
    </w:lvl>
    <w:lvl w:ilvl="3" w:tplc="B5CCEFC8" w:tentative="1">
      <w:start w:val="1"/>
      <w:numFmt w:val="bullet"/>
      <w:lvlText w:val="•"/>
      <w:lvlJc w:val="left"/>
      <w:pPr>
        <w:tabs>
          <w:tab w:val="num" w:pos="2880"/>
        </w:tabs>
        <w:ind w:left="2880" w:hanging="360"/>
      </w:pPr>
      <w:rPr>
        <w:rFonts w:ascii="Arial" w:hAnsi="Arial" w:hint="default"/>
      </w:rPr>
    </w:lvl>
    <w:lvl w:ilvl="4" w:tplc="71C2ABF0" w:tentative="1">
      <w:start w:val="1"/>
      <w:numFmt w:val="bullet"/>
      <w:lvlText w:val="•"/>
      <w:lvlJc w:val="left"/>
      <w:pPr>
        <w:tabs>
          <w:tab w:val="num" w:pos="3600"/>
        </w:tabs>
        <w:ind w:left="3600" w:hanging="360"/>
      </w:pPr>
      <w:rPr>
        <w:rFonts w:ascii="Arial" w:hAnsi="Arial" w:hint="default"/>
      </w:rPr>
    </w:lvl>
    <w:lvl w:ilvl="5" w:tplc="C350596A" w:tentative="1">
      <w:start w:val="1"/>
      <w:numFmt w:val="bullet"/>
      <w:lvlText w:val="•"/>
      <w:lvlJc w:val="left"/>
      <w:pPr>
        <w:tabs>
          <w:tab w:val="num" w:pos="4320"/>
        </w:tabs>
        <w:ind w:left="4320" w:hanging="360"/>
      </w:pPr>
      <w:rPr>
        <w:rFonts w:ascii="Arial" w:hAnsi="Arial" w:hint="default"/>
      </w:rPr>
    </w:lvl>
    <w:lvl w:ilvl="6" w:tplc="C71621C0" w:tentative="1">
      <w:start w:val="1"/>
      <w:numFmt w:val="bullet"/>
      <w:lvlText w:val="•"/>
      <w:lvlJc w:val="left"/>
      <w:pPr>
        <w:tabs>
          <w:tab w:val="num" w:pos="5040"/>
        </w:tabs>
        <w:ind w:left="5040" w:hanging="360"/>
      </w:pPr>
      <w:rPr>
        <w:rFonts w:ascii="Arial" w:hAnsi="Arial" w:hint="default"/>
      </w:rPr>
    </w:lvl>
    <w:lvl w:ilvl="7" w:tplc="1FE86B56" w:tentative="1">
      <w:start w:val="1"/>
      <w:numFmt w:val="bullet"/>
      <w:lvlText w:val="•"/>
      <w:lvlJc w:val="left"/>
      <w:pPr>
        <w:tabs>
          <w:tab w:val="num" w:pos="5760"/>
        </w:tabs>
        <w:ind w:left="5760" w:hanging="360"/>
      </w:pPr>
      <w:rPr>
        <w:rFonts w:ascii="Arial" w:hAnsi="Arial" w:hint="default"/>
      </w:rPr>
    </w:lvl>
    <w:lvl w:ilvl="8" w:tplc="2E5016C2" w:tentative="1">
      <w:start w:val="1"/>
      <w:numFmt w:val="bullet"/>
      <w:lvlText w:val="•"/>
      <w:lvlJc w:val="left"/>
      <w:pPr>
        <w:tabs>
          <w:tab w:val="num" w:pos="6480"/>
        </w:tabs>
        <w:ind w:left="6480" w:hanging="360"/>
      </w:pPr>
      <w:rPr>
        <w:rFonts w:ascii="Arial" w:hAnsi="Arial" w:hint="default"/>
      </w:rPr>
    </w:lvl>
  </w:abstractNum>
  <w:abstractNum w:abstractNumId="31">
    <w:nsid w:val="6547191C"/>
    <w:multiLevelType w:val="hybridMultilevel"/>
    <w:tmpl w:val="66A6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3130D2"/>
    <w:multiLevelType w:val="hybridMultilevel"/>
    <w:tmpl w:val="3AD8E690"/>
    <w:lvl w:ilvl="0" w:tplc="DB04DED6">
      <w:start w:val="1"/>
      <w:numFmt w:val="bullet"/>
      <w:lvlText w:val="•"/>
      <w:lvlJc w:val="left"/>
      <w:pPr>
        <w:tabs>
          <w:tab w:val="num" w:pos="720"/>
        </w:tabs>
        <w:ind w:left="720" w:hanging="360"/>
      </w:pPr>
      <w:rPr>
        <w:rFonts w:ascii="Arial" w:hAnsi="Arial" w:hint="default"/>
      </w:rPr>
    </w:lvl>
    <w:lvl w:ilvl="1" w:tplc="3B9C1A8A" w:tentative="1">
      <w:start w:val="1"/>
      <w:numFmt w:val="bullet"/>
      <w:lvlText w:val="•"/>
      <w:lvlJc w:val="left"/>
      <w:pPr>
        <w:tabs>
          <w:tab w:val="num" w:pos="1440"/>
        </w:tabs>
        <w:ind w:left="1440" w:hanging="360"/>
      </w:pPr>
      <w:rPr>
        <w:rFonts w:ascii="Arial" w:hAnsi="Arial" w:hint="default"/>
      </w:rPr>
    </w:lvl>
    <w:lvl w:ilvl="2" w:tplc="70362A70" w:tentative="1">
      <w:start w:val="1"/>
      <w:numFmt w:val="bullet"/>
      <w:lvlText w:val="•"/>
      <w:lvlJc w:val="left"/>
      <w:pPr>
        <w:tabs>
          <w:tab w:val="num" w:pos="2160"/>
        </w:tabs>
        <w:ind w:left="2160" w:hanging="360"/>
      </w:pPr>
      <w:rPr>
        <w:rFonts w:ascii="Arial" w:hAnsi="Arial" w:hint="default"/>
      </w:rPr>
    </w:lvl>
    <w:lvl w:ilvl="3" w:tplc="6AC802EC" w:tentative="1">
      <w:start w:val="1"/>
      <w:numFmt w:val="bullet"/>
      <w:lvlText w:val="•"/>
      <w:lvlJc w:val="left"/>
      <w:pPr>
        <w:tabs>
          <w:tab w:val="num" w:pos="2880"/>
        </w:tabs>
        <w:ind w:left="2880" w:hanging="360"/>
      </w:pPr>
      <w:rPr>
        <w:rFonts w:ascii="Arial" w:hAnsi="Arial" w:hint="default"/>
      </w:rPr>
    </w:lvl>
    <w:lvl w:ilvl="4" w:tplc="5A781FFC" w:tentative="1">
      <w:start w:val="1"/>
      <w:numFmt w:val="bullet"/>
      <w:lvlText w:val="•"/>
      <w:lvlJc w:val="left"/>
      <w:pPr>
        <w:tabs>
          <w:tab w:val="num" w:pos="3600"/>
        </w:tabs>
        <w:ind w:left="3600" w:hanging="360"/>
      </w:pPr>
      <w:rPr>
        <w:rFonts w:ascii="Arial" w:hAnsi="Arial" w:hint="default"/>
      </w:rPr>
    </w:lvl>
    <w:lvl w:ilvl="5" w:tplc="7222DAE0" w:tentative="1">
      <w:start w:val="1"/>
      <w:numFmt w:val="bullet"/>
      <w:lvlText w:val="•"/>
      <w:lvlJc w:val="left"/>
      <w:pPr>
        <w:tabs>
          <w:tab w:val="num" w:pos="4320"/>
        </w:tabs>
        <w:ind w:left="4320" w:hanging="360"/>
      </w:pPr>
      <w:rPr>
        <w:rFonts w:ascii="Arial" w:hAnsi="Arial" w:hint="default"/>
      </w:rPr>
    </w:lvl>
    <w:lvl w:ilvl="6" w:tplc="4EC8E644" w:tentative="1">
      <w:start w:val="1"/>
      <w:numFmt w:val="bullet"/>
      <w:lvlText w:val="•"/>
      <w:lvlJc w:val="left"/>
      <w:pPr>
        <w:tabs>
          <w:tab w:val="num" w:pos="5040"/>
        </w:tabs>
        <w:ind w:left="5040" w:hanging="360"/>
      </w:pPr>
      <w:rPr>
        <w:rFonts w:ascii="Arial" w:hAnsi="Arial" w:hint="default"/>
      </w:rPr>
    </w:lvl>
    <w:lvl w:ilvl="7" w:tplc="605C2FC0" w:tentative="1">
      <w:start w:val="1"/>
      <w:numFmt w:val="bullet"/>
      <w:lvlText w:val="•"/>
      <w:lvlJc w:val="left"/>
      <w:pPr>
        <w:tabs>
          <w:tab w:val="num" w:pos="5760"/>
        </w:tabs>
        <w:ind w:left="5760" w:hanging="360"/>
      </w:pPr>
      <w:rPr>
        <w:rFonts w:ascii="Arial" w:hAnsi="Arial" w:hint="default"/>
      </w:rPr>
    </w:lvl>
    <w:lvl w:ilvl="8" w:tplc="41303CE4" w:tentative="1">
      <w:start w:val="1"/>
      <w:numFmt w:val="bullet"/>
      <w:lvlText w:val="•"/>
      <w:lvlJc w:val="left"/>
      <w:pPr>
        <w:tabs>
          <w:tab w:val="num" w:pos="6480"/>
        </w:tabs>
        <w:ind w:left="6480" w:hanging="360"/>
      </w:pPr>
      <w:rPr>
        <w:rFonts w:ascii="Arial" w:hAnsi="Arial" w:hint="default"/>
      </w:rPr>
    </w:lvl>
  </w:abstractNum>
  <w:abstractNum w:abstractNumId="33">
    <w:nsid w:val="73B24892"/>
    <w:multiLevelType w:val="hybridMultilevel"/>
    <w:tmpl w:val="82C8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4"/>
  </w:num>
  <w:num w:numId="4">
    <w:abstractNumId w:val="23"/>
  </w:num>
  <w:num w:numId="5">
    <w:abstractNumId w:val="4"/>
  </w:num>
  <w:num w:numId="6">
    <w:abstractNumId w:val="21"/>
  </w:num>
  <w:num w:numId="7">
    <w:abstractNumId w:val="6"/>
  </w:num>
  <w:num w:numId="8">
    <w:abstractNumId w:val="11"/>
  </w:num>
  <w:num w:numId="9">
    <w:abstractNumId w:val="5"/>
  </w:num>
  <w:num w:numId="10">
    <w:abstractNumId w:val="3"/>
  </w:num>
  <w:num w:numId="11">
    <w:abstractNumId w:val="12"/>
  </w:num>
  <w:num w:numId="12">
    <w:abstractNumId w:val="26"/>
  </w:num>
  <w:num w:numId="13">
    <w:abstractNumId w:val="18"/>
  </w:num>
  <w:num w:numId="14">
    <w:abstractNumId w:val="8"/>
  </w:num>
  <w:num w:numId="15">
    <w:abstractNumId w:val="17"/>
  </w:num>
  <w:num w:numId="16">
    <w:abstractNumId w:val="13"/>
  </w:num>
  <w:num w:numId="17">
    <w:abstractNumId w:val="29"/>
  </w:num>
  <w:num w:numId="18">
    <w:abstractNumId w:val="32"/>
  </w:num>
  <w:num w:numId="19">
    <w:abstractNumId w:val="30"/>
  </w:num>
  <w:num w:numId="20">
    <w:abstractNumId w:val="10"/>
  </w:num>
  <w:num w:numId="21">
    <w:abstractNumId w:val="7"/>
  </w:num>
  <w:num w:numId="22">
    <w:abstractNumId w:val="1"/>
  </w:num>
  <w:num w:numId="23">
    <w:abstractNumId w:val="16"/>
  </w:num>
  <w:num w:numId="24">
    <w:abstractNumId w:val="25"/>
  </w:num>
  <w:num w:numId="25">
    <w:abstractNumId w:val="14"/>
  </w:num>
  <w:num w:numId="26">
    <w:abstractNumId w:val="15"/>
  </w:num>
  <w:num w:numId="27">
    <w:abstractNumId w:val="9"/>
  </w:num>
  <w:num w:numId="28">
    <w:abstractNumId w:val="0"/>
  </w:num>
  <w:num w:numId="29">
    <w:abstractNumId w:val="28"/>
  </w:num>
  <w:num w:numId="30">
    <w:abstractNumId w:val="19"/>
  </w:num>
  <w:num w:numId="31">
    <w:abstractNumId w:val="27"/>
  </w:num>
  <w:num w:numId="32">
    <w:abstractNumId w:val="31"/>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02833"/>
    <w:rsid w:val="00012E11"/>
    <w:rsid w:val="000202EE"/>
    <w:rsid w:val="00022FDE"/>
    <w:rsid w:val="00024AD0"/>
    <w:rsid w:val="0002742F"/>
    <w:rsid w:val="00030587"/>
    <w:rsid w:val="00030683"/>
    <w:rsid w:val="00037FF1"/>
    <w:rsid w:val="0005002E"/>
    <w:rsid w:val="000532B8"/>
    <w:rsid w:val="00054CFF"/>
    <w:rsid w:val="0006161F"/>
    <w:rsid w:val="0007003F"/>
    <w:rsid w:val="00082ACC"/>
    <w:rsid w:val="000965E4"/>
    <w:rsid w:val="000A039D"/>
    <w:rsid w:val="000B0A62"/>
    <w:rsid w:val="000B0E5D"/>
    <w:rsid w:val="000B17B5"/>
    <w:rsid w:val="000D2DCE"/>
    <w:rsid w:val="000D57FF"/>
    <w:rsid w:val="000E50B0"/>
    <w:rsid w:val="000F253D"/>
    <w:rsid w:val="000F29A9"/>
    <w:rsid w:val="000F2E6B"/>
    <w:rsid w:val="000F4FDF"/>
    <w:rsid w:val="00102344"/>
    <w:rsid w:val="001033D8"/>
    <w:rsid w:val="001127FC"/>
    <w:rsid w:val="00120DB7"/>
    <w:rsid w:val="00130D8F"/>
    <w:rsid w:val="00133427"/>
    <w:rsid w:val="00135933"/>
    <w:rsid w:val="00137A95"/>
    <w:rsid w:val="001470FC"/>
    <w:rsid w:val="001506F4"/>
    <w:rsid w:val="001571F3"/>
    <w:rsid w:val="00157B1A"/>
    <w:rsid w:val="001637EC"/>
    <w:rsid w:val="00166876"/>
    <w:rsid w:val="0017108F"/>
    <w:rsid w:val="00176F36"/>
    <w:rsid w:val="00185310"/>
    <w:rsid w:val="00186C1F"/>
    <w:rsid w:val="00196C80"/>
    <w:rsid w:val="001979B9"/>
    <w:rsid w:val="001A00DB"/>
    <w:rsid w:val="001A0653"/>
    <w:rsid w:val="001A289E"/>
    <w:rsid w:val="001A5866"/>
    <w:rsid w:val="001B7FEF"/>
    <w:rsid w:val="001D5E38"/>
    <w:rsid w:val="001E5EAD"/>
    <w:rsid w:val="0020217E"/>
    <w:rsid w:val="00206014"/>
    <w:rsid w:val="00206C47"/>
    <w:rsid w:val="00206E7C"/>
    <w:rsid w:val="00224C7A"/>
    <w:rsid w:val="002309E9"/>
    <w:rsid w:val="00233860"/>
    <w:rsid w:val="002378EC"/>
    <w:rsid w:val="00244D7B"/>
    <w:rsid w:val="00251FB6"/>
    <w:rsid w:val="002522BC"/>
    <w:rsid w:val="0025366A"/>
    <w:rsid w:val="00253A36"/>
    <w:rsid w:val="00253B43"/>
    <w:rsid w:val="00255A2D"/>
    <w:rsid w:val="0028201E"/>
    <w:rsid w:val="002B7982"/>
    <w:rsid w:val="002C5CD2"/>
    <w:rsid w:val="002D1CB4"/>
    <w:rsid w:val="002D2D47"/>
    <w:rsid w:val="002E39D4"/>
    <w:rsid w:val="002E3E1D"/>
    <w:rsid w:val="002F0703"/>
    <w:rsid w:val="002F7DF2"/>
    <w:rsid w:val="00302D29"/>
    <w:rsid w:val="00313789"/>
    <w:rsid w:val="0032229E"/>
    <w:rsid w:val="00331336"/>
    <w:rsid w:val="00332C9A"/>
    <w:rsid w:val="003365C7"/>
    <w:rsid w:val="003408ED"/>
    <w:rsid w:val="00352BA4"/>
    <w:rsid w:val="003552EC"/>
    <w:rsid w:val="00357CE7"/>
    <w:rsid w:val="0036405F"/>
    <w:rsid w:val="00366B51"/>
    <w:rsid w:val="00372E0C"/>
    <w:rsid w:val="003760D6"/>
    <w:rsid w:val="0038153A"/>
    <w:rsid w:val="003862ED"/>
    <w:rsid w:val="003A160F"/>
    <w:rsid w:val="003A4876"/>
    <w:rsid w:val="003B14B1"/>
    <w:rsid w:val="003B6083"/>
    <w:rsid w:val="003C449F"/>
    <w:rsid w:val="003D6F87"/>
    <w:rsid w:val="003E1FA4"/>
    <w:rsid w:val="003E499A"/>
    <w:rsid w:val="003E5CD6"/>
    <w:rsid w:val="003E68FE"/>
    <w:rsid w:val="003E773D"/>
    <w:rsid w:val="003F03FA"/>
    <w:rsid w:val="003F42B1"/>
    <w:rsid w:val="003F6411"/>
    <w:rsid w:val="003F6478"/>
    <w:rsid w:val="00410B85"/>
    <w:rsid w:val="00414C93"/>
    <w:rsid w:val="00443FB2"/>
    <w:rsid w:val="004466F6"/>
    <w:rsid w:val="004503E8"/>
    <w:rsid w:val="004565C0"/>
    <w:rsid w:val="004623F8"/>
    <w:rsid w:val="00477174"/>
    <w:rsid w:val="004829CC"/>
    <w:rsid w:val="00483B33"/>
    <w:rsid w:val="00485A40"/>
    <w:rsid w:val="00491055"/>
    <w:rsid w:val="00491713"/>
    <w:rsid w:val="0049265A"/>
    <w:rsid w:val="00496E6B"/>
    <w:rsid w:val="004A137C"/>
    <w:rsid w:val="004A340F"/>
    <w:rsid w:val="004A3B65"/>
    <w:rsid w:val="004A4F3C"/>
    <w:rsid w:val="004B2804"/>
    <w:rsid w:val="004B31D6"/>
    <w:rsid w:val="004B32FB"/>
    <w:rsid w:val="004B4D50"/>
    <w:rsid w:val="004F5487"/>
    <w:rsid w:val="004F5BD1"/>
    <w:rsid w:val="00501577"/>
    <w:rsid w:val="00502323"/>
    <w:rsid w:val="0050367C"/>
    <w:rsid w:val="00506C10"/>
    <w:rsid w:val="00510BDE"/>
    <w:rsid w:val="00512383"/>
    <w:rsid w:val="005203ED"/>
    <w:rsid w:val="005216F1"/>
    <w:rsid w:val="00521F7A"/>
    <w:rsid w:val="0052281A"/>
    <w:rsid w:val="005266A2"/>
    <w:rsid w:val="00531307"/>
    <w:rsid w:val="00536C73"/>
    <w:rsid w:val="005425D1"/>
    <w:rsid w:val="0054303C"/>
    <w:rsid w:val="00544197"/>
    <w:rsid w:val="0054794E"/>
    <w:rsid w:val="00553E75"/>
    <w:rsid w:val="005557C3"/>
    <w:rsid w:val="00565A19"/>
    <w:rsid w:val="00566D72"/>
    <w:rsid w:val="005720E5"/>
    <w:rsid w:val="00580213"/>
    <w:rsid w:val="00591F9D"/>
    <w:rsid w:val="005A01B4"/>
    <w:rsid w:val="005B16B4"/>
    <w:rsid w:val="005B7B50"/>
    <w:rsid w:val="005C234E"/>
    <w:rsid w:val="005C7A49"/>
    <w:rsid w:val="005C7E58"/>
    <w:rsid w:val="005D1240"/>
    <w:rsid w:val="005E0933"/>
    <w:rsid w:val="005E30D4"/>
    <w:rsid w:val="005E7862"/>
    <w:rsid w:val="005F5D36"/>
    <w:rsid w:val="006216A4"/>
    <w:rsid w:val="00626D38"/>
    <w:rsid w:val="0063048F"/>
    <w:rsid w:val="00641559"/>
    <w:rsid w:val="00656349"/>
    <w:rsid w:val="00662039"/>
    <w:rsid w:val="00663A6C"/>
    <w:rsid w:val="00664CE1"/>
    <w:rsid w:val="00667632"/>
    <w:rsid w:val="00676F53"/>
    <w:rsid w:val="0068412C"/>
    <w:rsid w:val="006934E8"/>
    <w:rsid w:val="00693A1B"/>
    <w:rsid w:val="006A3F05"/>
    <w:rsid w:val="006A4B64"/>
    <w:rsid w:val="006A5DA2"/>
    <w:rsid w:val="006B11A2"/>
    <w:rsid w:val="006B18A9"/>
    <w:rsid w:val="006B1DFA"/>
    <w:rsid w:val="006B5C5F"/>
    <w:rsid w:val="006C03C2"/>
    <w:rsid w:val="006C0AEC"/>
    <w:rsid w:val="006C541D"/>
    <w:rsid w:val="006D55D6"/>
    <w:rsid w:val="006E2B9A"/>
    <w:rsid w:val="006F08A3"/>
    <w:rsid w:val="006F1AF8"/>
    <w:rsid w:val="006F1B0C"/>
    <w:rsid w:val="00703261"/>
    <w:rsid w:val="0070486B"/>
    <w:rsid w:val="00713474"/>
    <w:rsid w:val="007215C6"/>
    <w:rsid w:val="00721A9F"/>
    <w:rsid w:val="007247E2"/>
    <w:rsid w:val="00726B77"/>
    <w:rsid w:val="0072713B"/>
    <w:rsid w:val="00742C1C"/>
    <w:rsid w:val="00744912"/>
    <w:rsid w:val="007508C5"/>
    <w:rsid w:val="00751672"/>
    <w:rsid w:val="00752C5C"/>
    <w:rsid w:val="007572F7"/>
    <w:rsid w:val="00761320"/>
    <w:rsid w:val="00771505"/>
    <w:rsid w:val="00782FB8"/>
    <w:rsid w:val="00787C8D"/>
    <w:rsid w:val="0079165A"/>
    <w:rsid w:val="0079513B"/>
    <w:rsid w:val="00795F3C"/>
    <w:rsid w:val="007A0789"/>
    <w:rsid w:val="007A40E0"/>
    <w:rsid w:val="007A41D7"/>
    <w:rsid w:val="007A5771"/>
    <w:rsid w:val="007A5CFB"/>
    <w:rsid w:val="007A5E09"/>
    <w:rsid w:val="007B5675"/>
    <w:rsid w:val="007B6712"/>
    <w:rsid w:val="007C3AE1"/>
    <w:rsid w:val="007C5645"/>
    <w:rsid w:val="007C5D54"/>
    <w:rsid w:val="007C62E9"/>
    <w:rsid w:val="007D07CF"/>
    <w:rsid w:val="007E34EC"/>
    <w:rsid w:val="007E44F1"/>
    <w:rsid w:val="007E4FF5"/>
    <w:rsid w:val="007E69E6"/>
    <w:rsid w:val="007F07C2"/>
    <w:rsid w:val="007F6F59"/>
    <w:rsid w:val="0080122A"/>
    <w:rsid w:val="00807F64"/>
    <w:rsid w:val="00811EC6"/>
    <w:rsid w:val="0081604E"/>
    <w:rsid w:val="0081702E"/>
    <w:rsid w:val="00817246"/>
    <w:rsid w:val="008245C8"/>
    <w:rsid w:val="00836984"/>
    <w:rsid w:val="00840BB1"/>
    <w:rsid w:val="00847F3E"/>
    <w:rsid w:val="00851CF2"/>
    <w:rsid w:val="0085476E"/>
    <w:rsid w:val="00855403"/>
    <w:rsid w:val="008656E8"/>
    <w:rsid w:val="00865CE0"/>
    <w:rsid w:val="00884941"/>
    <w:rsid w:val="008945FD"/>
    <w:rsid w:val="008C0118"/>
    <w:rsid w:val="008C0B9F"/>
    <w:rsid w:val="008D5DA7"/>
    <w:rsid w:val="008E19CA"/>
    <w:rsid w:val="008E6B37"/>
    <w:rsid w:val="008F1C8C"/>
    <w:rsid w:val="00903741"/>
    <w:rsid w:val="00914A1A"/>
    <w:rsid w:val="00917A8C"/>
    <w:rsid w:val="00920E7F"/>
    <w:rsid w:val="00931645"/>
    <w:rsid w:val="0093570F"/>
    <w:rsid w:val="009401B3"/>
    <w:rsid w:val="00955B5D"/>
    <w:rsid w:val="00955C62"/>
    <w:rsid w:val="00970842"/>
    <w:rsid w:val="009746C1"/>
    <w:rsid w:val="00975E7E"/>
    <w:rsid w:val="009A7F56"/>
    <w:rsid w:val="009C111E"/>
    <w:rsid w:val="009C440A"/>
    <w:rsid w:val="009D1F5A"/>
    <w:rsid w:val="009E16DC"/>
    <w:rsid w:val="00A1002F"/>
    <w:rsid w:val="00A124BD"/>
    <w:rsid w:val="00A1768B"/>
    <w:rsid w:val="00A41C65"/>
    <w:rsid w:val="00A53EFE"/>
    <w:rsid w:val="00A54112"/>
    <w:rsid w:val="00A62B29"/>
    <w:rsid w:val="00A76CC7"/>
    <w:rsid w:val="00A87BC1"/>
    <w:rsid w:val="00A921D3"/>
    <w:rsid w:val="00A94469"/>
    <w:rsid w:val="00A94921"/>
    <w:rsid w:val="00AA13CD"/>
    <w:rsid w:val="00AA223F"/>
    <w:rsid w:val="00AA3B09"/>
    <w:rsid w:val="00AB2826"/>
    <w:rsid w:val="00AB3020"/>
    <w:rsid w:val="00AB78B9"/>
    <w:rsid w:val="00AC45B7"/>
    <w:rsid w:val="00AD15D6"/>
    <w:rsid w:val="00AD2094"/>
    <w:rsid w:val="00AD7D43"/>
    <w:rsid w:val="00AF1432"/>
    <w:rsid w:val="00B02716"/>
    <w:rsid w:val="00B07C1F"/>
    <w:rsid w:val="00B122E0"/>
    <w:rsid w:val="00B12778"/>
    <w:rsid w:val="00B238AD"/>
    <w:rsid w:val="00B24027"/>
    <w:rsid w:val="00B24644"/>
    <w:rsid w:val="00B2784B"/>
    <w:rsid w:val="00B32124"/>
    <w:rsid w:val="00B33F56"/>
    <w:rsid w:val="00B40EED"/>
    <w:rsid w:val="00B41A2A"/>
    <w:rsid w:val="00B50244"/>
    <w:rsid w:val="00B50569"/>
    <w:rsid w:val="00B52CE6"/>
    <w:rsid w:val="00B54758"/>
    <w:rsid w:val="00B64C5B"/>
    <w:rsid w:val="00B73ABF"/>
    <w:rsid w:val="00B81559"/>
    <w:rsid w:val="00B827A6"/>
    <w:rsid w:val="00B92085"/>
    <w:rsid w:val="00B95E72"/>
    <w:rsid w:val="00BA1CFC"/>
    <w:rsid w:val="00BA555F"/>
    <w:rsid w:val="00BB65A3"/>
    <w:rsid w:val="00BB7725"/>
    <w:rsid w:val="00BC60F3"/>
    <w:rsid w:val="00BD4E75"/>
    <w:rsid w:val="00BE63FD"/>
    <w:rsid w:val="00BF57F5"/>
    <w:rsid w:val="00BF6823"/>
    <w:rsid w:val="00C03160"/>
    <w:rsid w:val="00C06490"/>
    <w:rsid w:val="00C139E4"/>
    <w:rsid w:val="00C2201D"/>
    <w:rsid w:val="00C22102"/>
    <w:rsid w:val="00C23109"/>
    <w:rsid w:val="00C231B8"/>
    <w:rsid w:val="00C70B86"/>
    <w:rsid w:val="00C73220"/>
    <w:rsid w:val="00C769FD"/>
    <w:rsid w:val="00C8217C"/>
    <w:rsid w:val="00C9443F"/>
    <w:rsid w:val="00C97577"/>
    <w:rsid w:val="00CA5375"/>
    <w:rsid w:val="00CA75EF"/>
    <w:rsid w:val="00CB22A6"/>
    <w:rsid w:val="00CB3638"/>
    <w:rsid w:val="00CB3946"/>
    <w:rsid w:val="00CB521B"/>
    <w:rsid w:val="00CD1F50"/>
    <w:rsid w:val="00CD206C"/>
    <w:rsid w:val="00CD2BED"/>
    <w:rsid w:val="00CD7998"/>
    <w:rsid w:val="00CE03C1"/>
    <w:rsid w:val="00CE22E2"/>
    <w:rsid w:val="00D01A66"/>
    <w:rsid w:val="00D20081"/>
    <w:rsid w:val="00D24AF7"/>
    <w:rsid w:val="00D40B8A"/>
    <w:rsid w:val="00D5078D"/>
    <w:rsid w:val="00D50F54"/>
    <w:rsid w:val="00D60BFE"/>
    <w:rsid w:val="00D62FF3"/>
    <w:rsid w:val="00D63503"/>
    <w:rsid w:val="00D700B2"/>
    <w:rsid w:val="00D7595A"/>
    <w:rsid w:val="00D805BB"/>
    <w:rsid w:val="00D8361B"/>
    <w:rsid w:val="00D84612"/>
    <w:rsid w:val="00D8533F"/>
    <w:rsid w:val="00D86AFE"/>
    <w:rsid w:val="00DB567E"/>
    <w:rsid w:val="00DB5D35"/>
    <w:rsid w:val="00DF0AF6"/>
    <w:rsid w:val="00E00AFA"/>
    <w:rsid w:val="00E01336"/>
    <w:rsid w:val="00E13E42"/>
    <w:rsid w:val="00E177FA"/>
    <w:rsid w:val="00E23894"/>
    <w:rsid w:val="00E24ED0"/>
    <w:rsid w:val="00E3603A"/>
    <w:rsid w:val="00E41165"/>
    <w:rsid w:val="00E41318"/>
    <w:rsid w:val="00E52773"/>
    <w:rsid w:val="00E56010"/>
    <w:rsid w:val="00E5617B"/>
    <w:rsid w:val="00E57B1E"/>
    <w:rsid w:val="00E64065"/>
    <w:rsid w:val="00E7362F"/>
    <w:rsid w:val="00E77562"/>
    <w:rsid w:val="00E81E1C"/>
    <w:rsid w:val="00E909D1"/>
    <w:rsid w:val="00E9361B"/>
    <w:rsid w:val="00EA0941"/>
    <w:rsid w:val="00EA61A9"/>
    <w:rsid w:val="00EC509E"/>
    <w:rsid w:val="00EC5666"/>
    <w:rsid w:val="00EC5C59"/>
    <w:rsid w:val="00ED1B77"/>
    <w:rsid w:val="00ED4DA2"/>
    <w:rsid w:val="00ED74E2"/>
    <w:rsid w:val="00EE2AAD"/>
    <w:rsid w:val="00EF211E"/>
    <w:rsid w:val="00F02C6F"/>
    <w:rsid w:val="00F06E9D"/>
    <w:rsid w:val="00F13053"/>
    <w:rsid w:val="00F3062A"/>
    <w:rsid w:val="00F3068C"/>
    <w:rsid w:val="00F424F9"/>
    <w:rsid w:val="00F47319"/>
    <w:rsid w:val="00F52F75"/>
    <w:rsid w:val="00F571E9"/>
    <w:rsid w:val="00F64020"/>
    <w:rsid w:val="00F74AFE"/>
    <w:rsid w:val="00F74E97"/>
    <w:rsid w:val="00F75FAD"/>
    <w:rsid w:val="00F80EF2"/>
    <w:rsid w:val="00F81995"/>
    <w:rsid w:val="00F82E36"/>
    <w:rsid w:val="00F8475A"/>
    <w:rsid w:val="00FA09BF"/>
    <w:rsid w:val="00FA5AB6"/>
    <w:rsid w:val="00FC6358"/>
    <w:rsid w:val="00FE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4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qFormat/>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0789"/>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F75"/>
    <w:pPr>
      <w:spacing w:before="100" w:beforeAutospacing="1" w:after="100" w:afterAutospacing="1"/>
    </w:pPr>
  </w:style>
  <w:style w:type="character" w:customStyle="1" w:styleId="apple-converted-space">
    <w:name w:val="apple-converted-space"/>
    <w:basedOn w:val="DefaultParagraphFont"/>
    <w:rsid w:val="00F52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qFormat/>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0789"/>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F75"/>
    <w:pPr>
      <w:spacing w:before="100" w:beforeAutospacing="1" w:after="100" w:afterAutospacing="1"/>
    </w:pPr>
  </w:style>
  <w:style w:type="character" w:customStyle="1" w:styleId="apple-converted-space">
    <w:name w:val="apple-converted-space"/>
    <w:basedOn w:val="DefaultParagraphFont"/>
    <w:rsid w:val="00F5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59D4-05BB-499A-A711-06B8F1DF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5719</Words>
  <Characters>32542</Characters>
  <Application>Microsoft Office Word</Application>
  <DocSecurity>0</DocSecurity>
  <Lines>1084</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Stetson University College of Law</Company>
  <LinksUpToDate>false</LinksUpToDate>
  <CharactersWithSpaces>37904</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2</cp:revision>
  <cp:lastPrinted>2016-07-03T21:44:00Z</cp:lastPrinted>
  <dcterms:created xsi:type="dcterms:W3CDTF">2016-07-11T15:21:00Z</dcterms:created>
  <dcterms:modified xsi:type="dcterms:W3CDTF">2016-07-11T15:21:00Z</dcterms:modified>
</cp:coreProperties>
</file>