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DE1E" w14:textId="0EBA0E25" w:rsidR="00A9234B" w:rsidRPr="00A9234B" w:rsidRDefault="00A9234B" w:rsidP="00A9234B">
      <w:pPr>
        <w:jc w:val="center"/>
        <w:rPr>
          <w:rFonts w:asciiTheme="majorHAnsi" w:hAnsiTheme="majorHAnsi" w:cs="Arial"/>
          <w:b/>
          <w:lang w:val="es-ES_tradnl"/>
        </w:rPr>
      </w:pPr>
    </w:p>
    <w:p w14:paraId="21BB075B" w14:textId="77777777" w:rsidR="00A9234B" w:rsidRPr="00A9234B" w:rsidRDefault="00A9234B" w:rsidP="00A9234B">
      <w:pPr>
        <w:jc w:val="center"/>
        <w:rPr>
          <w:rFonts w:asciiTheme="majorHAnsi" w:hAnsiTheme="majorHAnsi" w:cs="Arial"/>
          <w:b/>
          <w:lang w:val="es-ES_tradnl"/>
        </w:rPr>
      </w:pPr>
    </w:p>
    <w:p w14:paraId="1F15FB76" w14:textId="77777777" w:rsidR="00A9234B" w:rsidRPr="00A9234B" w:rsidRDefault="00A9234B" w:rsidP="00A9234B">
      <w:pPr>
        <w:jc w:val="center"/>
        <w:rPr>
          <w:rFonts w:asciiTheme="majorHAnsi" w:hAnsiTheme="majorHAnsi" w:cs="Arial"/>
          <w:b/>
          <w:lang w:val="es-ES_tradnl"/>
        </w:rPr>
      </w:pPr>
    </w:p>
    <w:p w14:paraId="295CA9B2" w14:textId="77777777" w:rsidR="00A9234B" w:rsidRPr="00A9234B" w:rsidRDefault="00A9234B" w:rsidP="00A9234B">
      <w:pPr>
        <w:jc w:val="center"/>
        <w:rPr>
          <w:rFonts w:asciiTheme="majorHAnsi" w:hAnsiTheme="majorHAnsi" w:cs="Arial"/>
          <w:b/>
          <w:lang w:val="es-ES_tradnl"/>
        </w:rPr>
      </w:pPr>
    </w:p>
    <w:p w14:paraId="62E6E49C" w14:textId="77777777" w:rsidR="00A9234B" w:rsidRPr="00A9234B" w:rsidRDefault="00A9234B" w:rsidP="00A9234B">
      <w:pPr>
        <w:jc w:val="center"/>
        <w:rPr>
          <w:rFonts w:asciiTheme="majorHAnsi" w:hAnsiTheme="majorHAnsi" w:cs="Arial"/>
          <w:b/>
          <w:lang w:val="es-ES_tradnl"/>
        </w:rPr>
      </w:pPr>
    </w:p>
    <w:p w14:paraId="4EDD116F" w14:textId="77777777" w:rsidR="00A9234B" w:rsidRPr="00A9234B" w:rsidRDefault="00A9234B" w:rsidP="00A9234B">
      <w:pPr>
        <w:jc w:val="center"/>
        <w:rPr>
          <w:rFonts w:asciiTheme="majorHAnsi" w:hAnsiTheme="majorHAnsi" w:cs="Arial"/>
          <w:b/>
          <w:lang w:val="es-ES_tradnl"/>
        </w:rPr>
      </w:pPr>
    </w:p>
    <w:p w14:paraId="11F2A439" w14:textId="77777777" w:rsidR="00A9234B" w:rsidRPr="00A9234B" w:rsidRDefault="00A9234B" w:rsidP="00A9234B">
      <w:pPr>
        <w:jc w:val="center"/>
        <w:rPr>
          <w:rFonts w:asciiTheme="majorHAnsi" w:hAnsiTheme="majorHAnsi" w:cs="Arial"/>
          <w:b/>
          <w:lang w:val="es-ES_tradnl"/>
        </w:rPr>
      </w:pPr>
      <w:r w:rsidRPr="00A9234B">
        <w:rPr>
          <w:rFonts w:asciiTheme="majorHAnsi" w:hAnsiTheme="majorHAnsi" w:cs="Arial"/>
          <w:b/>
          <w:noProof/>
          <w:lang w:val="en-GB" w:eastAsia="en-GB"/>
        </w:rPr>
        <w:drawing>
          <wp:inline distT="0" distB="0" distL="0" distR="0" wp14:anchorId="35BC4069" wp14:editId="42CEB31C">
            <wp:extent cx="2589811" cy="17566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sh_Standard_jpeg.jpg"/>
                    <pic:cNvPicPr/>
                  </pic:nvPicPr>
                  <pic:blipFill>
                    <a:blip r:embed="rId9">
                      <a:extLst>
                        <a:ext uri="{28A0092B-C50C-407E-A947-70E740481C1C}">
                          <a14:useLocalDpi xmlns:a14="http://schemas.microsoft.com/office/drawing/2010/main" val="0"/>
                        </a:ext>
                      </a:extLst>
                    </a:blip>
                    <a:stretch>
                      <a:fillRect/>
                    </a:stretch>
                  </pic:blipFill>
                  <pic:spPr>
                    <a:xfrm>
                      <a:off x="0" y="0"/>
                      <a:ext cx="2589811" cy="1756680"/>
                    </a:xfrm>
                    <a:prstGeom prst="rect">
                      <a:avLst/>
                    </a:prstGeom>
                  </pic:spPr>
                </pic:pic>
              </a:graphicData>
            </a:graphic>
          </wp:inline>
        </w:drawing>
      </w:r>
    </w:p>
    <w:p w14:paraId="2492CA78" w14:textId="77777777" w:rsidR="00A9234B" w:rsidRPr="00A9234B" w:rsidRDefault="00A9234B" w:rsidP="00A9234B">
      <w:pPr>
        <w:rPr>
          <w:rFonts w:asciiTheme="majorHAnsi" w:hAnsiTheme="majorHAnsi" w:cs="Arial"/>
          <w:b/>
          <w:lang w:val="es-ES_tradnl"/>
        </w:rPr>
      </w:pPr>
    </w:p>
    <w:p w14:paraId="2E6E1411" w14:textId="77777777" w:rsidR="00A9234B" w:rsidRPr="00A9234B" w:rsidRDefault="00A9234B" w:rsidP="00A9234B">
      <w:pPr>
        <w:jc w:val="center"/>
        <w:rPr>
          <w:rFonts w:asciiTheme="majorHAnsi" w:hAnsiTheme="majorHAnsi" w:cs="Arial"/>
          <w:b/>
          <w:lang w:val="es-ES_tradnl"/>
        </w:rPr>
      </w:pPr>
    </w:p>
    <w:p w14:paraId="5004AC0A" w14:textId="77777777" w:rsidR="00A9234B" w:rsidRPr="00A9234B" w:rsidRDefault="00A9234B" w:rsidP="00A9234B">
      <w:pPr>
        <w:jc w:val="center"/>
        <w:rPr>
          <w:rFonts w:asciiTheme="majorHAnsi" w:hAnsiTheme="majorHAnsi" w:cs="Arial"/>
          <w:b/>
          <w:lang w:val="es-ES_tradnl"/>
        </w:rPr>
      </w:pPr>
      <w:r w:rsidRPr="00A9234B">
        <w:rPr>
          <w:rFonts w:asciiTheme="majorHAnsi" w:hAnsiTheme="majorHAnsi" w:cs="Arial"/>
          <w:b/>
          <w:lang w:val="es-ES_tradnl"/>
        </w:rPr>
        <w:t>Plan de trabajo del Grupo de Examen Científico y Técnico (GECT) para 2016-2018</w:t>
      </w:r>
    </w:p>
    <w:p w14:paraId="5E48C9A2" w14:textId="77777777" w:rsidR="00A9234B" w:rsidRPr="00A9234B" w:rsidRDefault="00A9234B" w:rsidP="00A9234B">
      <w:pPr>
        <w:jc w:val="center"/>
        <w:rPr>
          <w:rFonts w:asciiTheme="majorHAnsi" w:hAnsiTheme="majorHAnsi" w:cs="Arial"/>
          <w:b/>
          <w:lang w:val="es-ES_tradnl"/>
        </w:rPr>
      </w:pPr>
      <w:r w:rsidRPr="00A9234B">
        <w:rPr>
          <w:rFonts w:asciiTheme="majorHAnsi" w:hAnsiTheme="majorHAnsi" w:cs="Arial"/>
          <w:b/>
          <w:lang w:val="es-ES_tradnl"/>
        </w:rPr>
        <w:t>aprobado en la 52ª Reunión del Comité Permanente (13 a 17 de junio de 2016)</w:t>
      </w:r>
    </w:p>
    <w:p w14:paraId="296C2910" w14:textId="77777777" w:rsidR="00A9234B" w:rsidRPr="00A9234B" w:rsidRDefault="00A9234B" w:rsidP="00A9234B">
      <w:pPr>
        <w:jc w:val="center"/>
        <w:rPr>
          <w:rFonts w:asciiTheme="majorHAnsi" w:hAnsiTheme="majorHAnsi" w:cs="Arial"/>
          <w:b/>
          <w:lang w:val="es-ES_tradnl"/>
        </w:rPr>
      </w:pPr>
      <w:r w:rsidRPr="00A9234B">
        <w:rPr>
          <w:rFonts w:asciiTheme="majorHAnsi" w:hAnsiTheme="majorHAnsi" w:cs="Arial"/>
          <w:b/>
          <w:lang w:val="es-ES_tradnl"/>
        </w:rPr>
        <w:t xml:space="preserve"> de la Convención de Ramsar sobre los Humedales</w:t>
      </w:r>
    </w:p>
    <w:p w14:paraId="35702327" w14:textId="77777777" w:rsidR="00A9234B" w:rsidRPr="00A9234B" w:rsidRDefault="00A9234B" w:rsidP="00A9234B">
      <w:pPr>
        <w:rPr>
          <w:rFonts w:asciiTheme="majorHAnsi" w:hAnsiTheme="majorHAnsi" w:cs="Arial"/>
          <w:b/>
          <w:lang w:val="es-ES_tradnl"/>
        </w:rPr>
      </w:pPr>
      <w:r w:rsidRPr="00A9234B">
        <w:rPr>
          <w:rFonts w:asciiTheme="majorHAnsi" w:hAnsiTheme="majorHAnsi" w:cs="Arial"/>
          <w:b/>
          <w:lang w:val="es-ES_tradnl"/>
        </w:rPr>
        <w:br w:type="page"/>
      </w:r>
    </w:p>
    <w:p w14:paraId="1409592F" w14:textId="77777777" w:rsidR="00A9234B" w:rsidRDefault="00A9234B" w:rsidP="00A9234B">
      <w:pPr>
        <w:spacing w:before="240"/>
        <w:rPr>
          <w:rFonts w:asciiTheme="majorHAnsi" w:hAnsiTheme="majorHAnsi" w:cs="Arial"/>
          <w:b/>
          <w:sz w:val="22"/>
          <w:szCs w:val="22"/>
          <w:lang w:val="es-ES_tradnl"/>
        </w:rPr>
      </w:pPr>
      <w:r w:rsidRPr="00B6261E">
        <w:rPr>
          <w:rFonts w:asciiTheme="majorHAnsi" w:hAnsiTheme="majorHAnsi" w:cs="Arial"/>
          <w:b/>
          <w:sz w:val="22"/>
          <w:szCs w:val="22"/>
          <w:lang w:val="es-ES_tradnl"/>
        </w:rPr>
        <w:lastRenderedPageBreak/>
        <w:t xml:space="preserve">Nota: </w:t>
      </w:r>
    </w:p>
    <w:p w14:paraId="0D7EFE38" w14:textId="77777777" w:rsidR="00B6261E" w:rsidRPr="00B6261E" w:rsidRDefault="00B6261E" w:rsidP="00A9234B">
      <w:pPr>
        <w:spacing w:before="240"/>
        <w:rPr>
          <w:rFonts w:asciiTheme="majorHAnsi" w:hAnsiTheme="majorHAnsi" w:cs="Arial"/>
          <w:b/>
          <w:sz w:val="22"/>
          <w:szCs w:val="22"/>
          <w:lang w:val="es-ES_tradnl"/>
        </w:rPr>
      </w:pPr>
    </w:p>
    <w:p w14:paraId="45AF26CE" w14:textId="77777777" w:rsidR="00A9234B" w:rsidRDefault="00A9234B" w:rsidP="00A9234B">
      <w:pPr>
        <w:rPr>
          <w:rFonts w:asciiTheme="majorHAnsi" w:eastAsia="Calibri" w:hAnsiTheme="majorHAnsi" w:cs="Calibri"/>
          <w:color w:val="000000"/>
          <w:sz w:val="22"/>
          <w:szCs w:val="22"/>
          <w:lang w:val="es-ES_tradnl"/>
        </w:rPr>
      </w:pPr>
      <w:r w:rsidRPr="00B6261E">
        <w:rPr>
          <w:rFonts w:asciiTheme="majorHAnsi" w:eastAsia="Calibri" w:hAnsiTheme="majorHAnsi" w:cs="Calibri"/>
          <w:color w:val="000000"/>
          <w:sz w:val="22"/>
          <w:szCs w:val="22"/>
          <w:lang w:val="es-ES_tradnl"/>
        </w:rPr>
        <w:t xml:space="preserve">Durante su 19ª reunión (del 2 al 6 de noviembre de 2015), el GECT elaboró su proyecto de plan de trabajo para el trienio 2016-2018 para su aprobación por el Comité Permanente en su 51ª </w:t>
      </w:r>
      <w:r w:rsidRPr="00B6261E">
        <w:rPr>
          <w:rFonts w:asciiTheme="majorHAnsi" w:eastAsia="Calibri" w:hAnsiTheme="majorHAnsi" w:cs="Calibri"/>
          <w:sz w:val="22"/>
          <w:szCs w:val="22"/>
          <w:lang w:val="es-ES_tradnl"/>
        </w:rPr>
        <w:t>reunión (SC51), de acuerdo</w:t>
      </w:r>
      <w:r w:rsidRPr="00B6261E">
        <w:rPr>
          <w:rFonts w:asciiTheme="majorHAnsi" w:eastAsia="Calibri" w:hAnsiTheme="majorHAnsi" w:cs="Calibri"/>
          <w:color w:val="000000"/>
          <w:sz w:val="22"/>
          <w:szCs w:val="22"/>
          <w:lang w:val="es-ES_tradnl"/>
        </w:rPr>
        <w:t xml:space="preserve"> con la Resolución XII. 5 (Anexo I, párrafo 49), teniendo en cuenta las cinco áreas temáticas de trabajo aprobadas por las Partes Contratantes en la 12ª reunión de la Conferencia de las Partes (Anexo III), el Cuarto Plan Estratégico de Ramsar 2016-2024 (Resolución XII.2), y las peticiones de las Partes Contratantes en las Resoluciones adoptadas durante la 12ª reunión de la Conferencia de las Partes. De acuerdo con lo previsto por la Decisión SC51-07, el proyecto de plan de trabajo ha sido revisado después de un amplio proceso de consultas con los Coordinadores Nacionales y los Coordinadores Nacionales del GECT. El plan de trabajo del GECT fue adoptado durante la 52ª Reunión del Comité Permanente (SC52) a través de la Decisión SC52-07.</w:t>
      </w:r>
    </w:p>
    <w:p w14:paraId="7142FF71" w14:textId="77777777" w:rsidR="00B6261E" w:rsidRPr="00B6261E" w:rsidRDefault="00B6261E" w:rsidP="00A9234B">
      <w:pPr>
        <w:rPr>
          <w:rFonts w:asciiTheme="majorHAnsi" w:eastAsia="Calibri" w:hAnsiTheme="majorHAnsi" w:cs="Calibri"/>
          <w:color w:val="000000"/>
          <w:sz w:val="22"/>
          <w:szCs w:val="22"/>
          <w:lang w:val="es-ES_tradnl"/>
        </w:rPr>
      </w:pPr>
    </w:p>
    <w:p w14:paraId="6B7098A8" w14:textId="77777777" w:rsidR="00A9234B" w:rsidRPr="00B6261E" w:rsidRDefault="00A9234B" w:rsidP="00A9234B">
      <w:pPr>
        <w:rPr>
          <w:rFonts w:asciiTheme="majorHAnsi" w:eastAsia="Calibri" w:hAnsiTheme="majorHAnsi" w:cs="Calibri"/>
          <w:color w:val="000000"/>
          <w:sz w:val="22"/>
          <w:szCs w:val="22"/>
          <w:lang w:val="es-ES_tradnl"/>
        </w:rPr>
      </w:pPr>
      <w:r w:rsidRPr="00B6261E">
        <w:rPr>
          <w:rFonts w:asciiTheme="majorHAnsi" w:eastAsia="Calibri" w:hAnsiTheme="majorHAnsi" w:cs="Calibri"/>
          <w:color w:val="000000"/>
          <w:sz w:val="22"/>
          <w:szCs w:val="22"/>
          <w:lang w:val="es-ES_tradnl"/>
        </w:rPr>
        <w:t>El trabajo del GECT durante el trienio 2016-2018 se centrará en llevar a cabo las ocho tareas más prioritarias, además del informe “Estado de los humedales del mundo y de los servicios que prestan a las personas” (EHMS), según lo decidió el Comité Permanente en su 52ª reunión. En cuanto a las tareas restantes, es decir, las que no se han considerado de máxima prioridad, el trabajo se realizará durante el trienio según lo permitan el tiempo y los recursos disponibles, pero solo una vez que se haya progresado lo suficiente en las tareas más prioritarias. No se dedicarán fondos del GECT a la realización de dichas tareas restantes sin la aprobación del Grupo de Trabajo Administrativo.</w:t>
      </w:r>
    </w:p>
    <w:p w14:paraId="599D4D7B" w14:textId="77777777" w:rsidR="00A9234B" w:rsidRDefault="00A9234B" w:rsidP="00A9234B">
      <w:pPr>
        <w:rPr>
          <w:rFonts w:asciiTheme="majorHAnsi" w:eastAsia="Calibri" w:hAnsiTheme="majorHAnsi" w:cs="Calibri"/>
          <w:color w:val="000000"/>
          <w:sz w:val="22"/>
          <w:szCs w:val="22"/>
          <w:lang w:val="es-ES_tradnl"/>
        </w:rPr>
      </w:pPr>
      <w:r w:rsidRPr="00B6261E">
        <w:rPr>
          <w:rFonts w:asciiTheme="majorHAnsi" w:eastAsia="Calibri" w:hAnsiTheme="majorHAnsi" w:cs="Calibri"/>
          <w:color w:val="000000"/>
          <w:sz w:val="22"/>
          <w:szCs w:val="22"/>
          <w:lang w:val="es-ES_tradnl"/>
        </w:rPr>
        <w:t xml:space="preserve">Es importante tener en cuenta que, además de las Áreas Temáticas de Trabajo y las tareas específicas detalladas a continuación, en el marco de la Resolución XII.5, el GECT tiene una serie de funciones básicas de asesoramiento </w:t>
      </w:r>
      <w:r w:rsidRPr="00B6261E">
        <w:rPr>
          <w:rFonts w:asciiTheme="majorHAnsi" w:eastAsia="Calibri" w:hAnsiTheme="majorHAnsi" w:cs="Calibri"/>
          <w:i/>
          <w:color w:val="000000"/>
          <w:sz w:val="22"/>
          <w:szCs w:val="22"/>
          <w:lang w:val="es-ES_tradnl"/>
        </w:rPr>
        <w:t>ad hoc</w:t>
      </w:r>
      <w:r w:rsidRPr="00B6261E">
        <w:rPr>
          <w:rFonts w:asciiTheme="majorHAnsi" w:eastAsia="Calibri" w:hAnsiTheme="majorHAnsi" w:cs="Calibri"/>
          <w:color w:val="000000"/>
          <w:sz w:val="22"/>
          <w:szCs w:val="22"/>
          <w:lang w:val="es-ES_tradnl"/>
        </w:rPr>
        <w:t xml:space="preserve"> (indicadas más abajo). </w:t>
      </w:r>
    </w:p>
    <w:p w14:paraId="324E7422" w14:textId="77777777" w:rsidR="00B6261E" w:rsidRPr="00B6261E" w:rsidRDefault="00B6261E" w:rsidP="00A9234B">
      <w:pPr>
        <w:rPr>
          <w:rFonts w:asciiTheme="majorHAnsi" w:eastAsia="Calibri" w:hAnsiTheme="majorHAnsi" w:cs="Calibri"/>
          <w:color w:val="000000"/>
          <w:sz w:val="22"/>
          <w:szCs w:val="22"/>
          <w:lang w:val="es-ES_tradnl"/>
        </w:rPr>
      </w:pPr>
    </w:p>
    <w:p w14:paraId="5BEB5BA5" w14:textId="6F27B6B5" w:rsidR="00B6261E" w:rsidRDefault="00A9234B" w:rsidP="00A9234B">
      <w:pPr>
        <w:rPr>
          <w:rFonts w:asciiTheme="majorHAnsi" w:eastAsia="Calibri" w:hAnsiTheme="majorHAnsi" w:cs="Calibri"/>
          <w:color w:val="000000"/>
          <w:sz w:val="22"/>
          <w:szCs w:val="22"/>
          <w:lang w:val="es-ES_tradnl"/>
        </w:rPr>
      </w:pPr>
      <w:r w:rsidRPr="00B6261E">
        <w:rPr>
          <w:rFonts w:asciiTheme="majorHAnsi" w:eastAsia="Calibri" w:hAnsiTheme="majorHAnsi" w:cs="Calibri"/>
          <w:color w:val="000000"/>
          <w:sz w:val="22"/>
          <w:szCs w:val="22"/>
          <w:lang w:val="es-ES_tradnl"/>
        </w:rPr>
        <w:t>Los productos previstos por el presente proyecto de plan de trabajo están dirigidos a dos grupos destinatarios, de acuerdo con la Resolución XII.5, Anexo 1, párrafo 54:</w:t>
      </w:r>
    </w:p>
    <w:p w14:paraId="4F830AD2" w14:textId="77777777" w:rsidR="00B6261E" w:rsidRPr="00B6261E" w:rsidRDefault="00B6261E" w:rsidP="00A9234B">
      <w:pPr>
        <w:rPr>
          <w:rFonts w:asciiTheme="majorHAnsi" w:eastAsia="Calibri" w:hAnsiTheme="majorHAnsi" w:cs="Calibri"/>
          <w:color w:val="000000"/>
          <w:sz w:val="22"/>
          <w:szCs w:val="22"/>
          <w:lang w:val="es-ES_tradnl"/>
        </w:rPr>
      </w:pPr>
    </w:p>
    <w:p w14:paraId="0CBEF563" w14:textId="77777777" w:rsidR="00A9234B" w:rsidRPr="00B6261E" w:rsidRDefault="00A9234B" w:rsidP="00A9234B">
      <w:pPr>
        <w:pStyle w:val="ListParagraph"/>
        <w:numPr>
          <w:ilvl w:val="0"/>
          <w:numId w:val="5"/>
        </w:numPr>
        <w:rPr>
          <w:rFonts w:asciiTheme="majorHAnsi" w:eastAsia="Calibri" w:hAnsiTheme="majorHAnsi" w:cs="Calibri"/>
          <w:color w:val="000000"/>
          <w:szCs w:val="22"/>
          <w:lang w:val="es-ES_tradnl"/>
        </w:rPr>
      </w:pPr>
      <w:r w:rsidRPr="00B6261E">
        <w:rPr>
          <w:rFonts w:asciiTheme="majorHAnsi" w:eastAsia="Calibri" w:hAnsiTheme="majorHAnsi" w:cs="Calibri"/>
          <w:color w:val="000000"/>
          <w:szCs w:val="22"/>
          <w:lang w:val="es-ES_tradnl"/>
        </w:rPr>
        <w:t xml:space="preserve">Responsables de políticas, incluyendo de los sectores del agua y del medio ambiente y otros sectores afines tales como la energía, la salud y el saneamiento, la agricultura, las infraestructuras; y </w:t>
      </w:r>
    </w:p>
    <w:p w14:paraId="14D89948" w14:textId="77777777" w:rsidR="00A9234B" w:rsidRPr="00B6261E" w:rsidRDefault="00A9234B" w:rsidP="00A9234B">
      <w:pPr>
        <w:pStyle w:val="ListParagraph"/>
        <w:numPr>
          <w:ilvl w:val="0"/>
          <w:numId w:val="5"/>
        </w:numPr>
        <w:rPr>
          <w:rFonts w:asciiTheme="majorHAnsi" w:eastAsia="Calibri" w:hAnsiTheme="majorHAnsi" w:cs="Calibri"/>
          <w:color w:val="000000"/>
          <w:szCs w:val="22"/>
          <w:lang w:val="es-ES_tradnl"/>
        </w:rPr>
      </w:pPr>
      <w:r w:rsidRPr="00B6261E">
        <w:rPr>
          <w:rFonts w:asciiTheme="majorHAnsi" w:eastAsia="Calibri" w:hAnsiTheme="majorHAnsi" w:cs="Calibri"/>
          <w:color w:val="000000"/>
          <w:szCs w:val="22"/>
          <w:lang w:val="es-ES_tradnl"/>
        </w:rPr>
        <w:t>Profesionales, particularmente administradores de humedales e interesados relacionados con ellos, pero también otros de ámbitos afines, tales como gestores de áreas protegidas y personal de centros de educación sobre los humedales.</w:t>
      </w:r>
    </w:p>
    <w:p w14:paraId="547D201C" w14:textId="77777777" w:rsidR="00A9234B" w:rsidRPr="00B6261E" w:rsidRDefault="00A9234B" w:rsidP="00A9234B">
      <w:pPr>
        <w:pStyle w:val="ListParagraph"/>
        <w:ind w:left="1080"/>
        <w:rPr>
          <w:rFonts w:asciiTheme="majorHAnsi" w:eastAsia="Calibri" w:hAnsiTheme="majorHAnsi" w:cs="Calibri"/>
          <w:color w:val="000000"/>
          <w:szCs w:val="22"/>
          <w:lang w:val="es-ES_tradnl"/>
        </w:rPr>
      </w:pPr>
    </w:p>
    <w:p w14:paraId="5F45AF45" w14:textId="77777777" w:rsidR="00A9234B" w:rsidRDefault="00A9234B" w:rsidP="00A9234B">
      <w:pPr>
        <w:rPr>
          <w:rFonts w:asciiTheme="majorHAnsi" w:eastAsia="Calibri" w:hAnsiTheme="majorHAnsi" w:cs="Calibri"/>
          <w:color w:val="000000"/>
          <w:sz w:val="22"/>
          <w:szCs w:val="22"/>
          <w:lang w:val="es-ES_tradnl"/>
        </w:rPr>
      </w:pPr>
      <w:r w:rsidRPr="00B6261E">
        <w:rPr>
          <w:rFonts w:asciiTheme="majorHAnsi" w:eastAsia="Calibri" w:hAnsiTheme="majorHAnsi" w:cs="Calibri"/>
          <w:color w:val="000000"/>
          <w:sz w:val="22"/>
          <w:szCs w:val="22"/>
          <w:lang w:val="es-ES_tradnl"/>
        </w:rPr>
        <w:t xml:space="preserve">Se señala, para mayor claridad, que en el caso de los productos pensados para los administradores de sitios Ramsar, el grupo destinatario se especifica como “Profesionales (administradores de sitios Ramsar)”, mientras en el caso de los productos dirigidos a administradores de humedales en general, el grupo destinatario se especifica como “Profesionales (administradores de humedales)”. </w:t>
      </w:r>
    </w:p>
    <w:p w14:paraId="06CA0D5A" w14:textId="77777777" w:rsidR="00B6261E" w:rsidRPr="00B6261E" w:rsidRDefault="00B6261E" w:rsidP="00A9234B">
      <w:pPr>
        <w:rPr>
          <w:rFonts w:asciiTheme="majorHAnsi" w:eastAsia="Calibri" w:hAnsiTheme="majorHAnsi" w:cs="Calibri"/>
          <w:color w:val="000000"/>
          <w:sz w:val="22"/>
          <w:szCs w:val="22"/>
          <w:lang w:val="es-ES_tradnl"/>
        </w:rPr>
      </w:pPr>
    </w:p>
    <w:p w14:paraId="0F61CB2D" w14:textId="77777777" w:rsidR="00A9234B" w:rsidRPr="00B6261E" w:rsidRDefault="00A9234B" w:rsidP="00A9234B">
      <w:pPr>
        <w:rPr>
          <w:rFonts w:asciiTheme="majorHAnsi" w:hAnsiTheme="majorHAnsi" w:cs="Arial"/>
          <w:sz w:val="22"/>
          <w:szCs w:val="22"/>
          <w:lang w:val="es-ES_tradnl"/>
        </w:rPr>
      </w:pPr>
      <w:bookmarkStart w:id="0" w:name="_GoBack"/>
      <w:r w:rsidRPr="00B6261E">
        <w:rPr>
          <w:rFonts w:asciiTheme="majorHAnsi" w:hAnsiTheme="majorHAnsi" w:cs="Tahoma"/>
          <w:color w:val="000000"/>
          <w:sz w:val="22"/>
          <w:szCs w:val="22"/>
          <w:shd w:val="clear" w:color="auto" w:fill="FFFFFF"/>
          <w:lang w:val="es-ES_tradnl"/>
        </w:rPr>
        <w:t xml:space="preserve">El presupuesto indicativo para las tareas está basado normalmente en el siguiente </w:t>
      </w:r>
      <w:r w:rsidRPr="00B6261E">
        <w:rPr>
          <w:rFonts w:asciiTheme="majorHAnsi" w:hAnsiTheme="majorHAnsi" w:cs="Tahoma"/>
          <w:bCs/>
          <w:color w:val="000000"/>
          <w:sz w:val="22"/>
          <w:szCs w:val="22"/>
          <w:shd w:val="clear" w:color="auto" w:fill="FFFFFF"/>
          <w:lang w:val="es-ES_tradnl"/>
        </w:rPr>
        <w:t>supuesto</w:t>
      </w:r>
      <w:r w:rsidRPr="00B6261E">
        <w:rPr>
          <w:rFonts w:asciiTheme="majorHAnsi" w:hAnsiTheme="majorHAnsi" w:cs="Tahoma"/>
          <w:color w:val="000000"/>
          <w:sz w:val="22"/>
          <w:szCs w:val="22"/>
          <w:shd w:val="clear" w:color="auto" w:fill="FFFFFF"/>
          <w:lang w:val="es-ES_tradnl"/>
        </w:rPr>
        <w:t xml:space="preserve"> de costos de maquetación, diseño, revisión, traducción y publicación: hasta </w:t>
      </w:r>
      <w:r w:rsidRPr="00B6261E">
        <w:rPr>
          <w:rFonts w:asciiTheme="majorHAnsi" w:hAnsiTheme="majorHAnsi" w:cs="Arial"/>
          <w:sz w:val="22"/>
          <w:szCs w:val="22"/>
          <w:lang w:val="es-ES_tradnl"/>
        </w:rPr>
        <w:t xml:space="preserve">6.000 francos suizos por una Ficha Informativa; hasta 9.000 francos suizos por una Nota sobre políticas; hasta 13.000 francos suizos por una Nota Informativa; y hasta 33.500 francos suizos por un Informe Técnico de Ramsar. Dichas estimaciones están basadas en los lineamientos de la Secretaría relativos a publicaciones, y en el costo de la traducción por página. </w:t>
      </w:r>
    </w:p>
    <w:bookmarkEnd w:id="0"/>
    <w:p w14:paraId="5D1ED8B0" w14:textId="77777777" w:rsidR="00EF4061" w:rsidRPr="00A9234B" w:rsidRDefault="00EF4061" w:rsidP="00EF4061">
      <w:pPr>
        <w:rPr>
          <w:rFonts w:asciiTheme="majorHAnsi" w:hAnsiTheme="majorHAnsi" w:cs="Arial"/>
          <w:sz w:val="20"/>
          <w:szCs w:val="20"/>
          <w:lang w:val="es-ES_tradnl"/>
        </w:rPr>
      </w:pPr>
    </w:p>
    <w:p w14:paraId="77C2957A" w14:textId="3758FCC2" w:rsidR="00504EB0" w:rsidRDefault="00504EB0" w:rsidP="00EF4061">
      <w:pPr>
        <w:rPr>
          <w:rFonts w:asciiTheme="majorHAnsi" w:eastAsia="Calibri" w:hAnsiTheme="majorHAnsi" w:cs="Calibri"/>
          <w:color w:val="000000"/>
          <w:sz w:val="22"/>
          <w:szCs w:val="22"/>
          <w:lang w:val="es-ES_tradnl"/>
        </w:rPr>
      </w:pPr>
    </w:p>
    <w:p w14:paraId="6BE56176" w14:textId="77777777" w:rsidR="00504EB0" w:rsidRDefault="00504EB0">
      <w:pPr>
        <w:rPr>
          <w:rFonts w:asciiTheme="majorHAnsi" w:eastAsia="Calibri" w:hAnsiTheme="majorHAnsi" w:cs="Calibri"/>
          <w:color w:val="000000"/>
          <w:sz w:val="22"/>
          <w:szCs w:val="22"/>
          <w:lang w:val="es-ES_tradnl"/>
        </w:rPr>
      </w:pPr>
      <w:r>
        <w:rPr>
          <w:rFonts w:asciiTheme="majorHAnsi" w:eastAsia="Calibri" w:hAnsiTheme="majorHAnsi" w:cs="Calibri"/>
          <w:color w:val="000000"/>
          <w:sz w:val="22"/>
          <w:szCs w:val="22"/>
          <w:lang w:val="es-ES_tradnl"/>
        </w:rPr>
        <w:br w:type="page"/>
      </w:r>
    </w:p>
    <w:sdt>
      <w:sdtPr>
        <w:rPr>
          <w:rFonts w:ascii="Times New Roman" w:eastAsia="Times New Roman" w:hAnsi="Times New Roman"/>
          <w:b w:val="0"/>
          <w:caps w:val="0"/>
          <w:sz w:val="24"/>
          <w:szCs w:val="24"/>
          <w:lang w:val="en-US" w:eastAsia="en-US"/>
        </w:rPr>
        <w:id w:val="-99801061"/>
        <w:docPartObj>
          <w:docPartGallery w:val="Table of Contents"/>
          <w:docPartUnique/>
        </w:docPartObj>
      </w:sdtPr>
      <w:sdtEndPr>
        <w:rPr>
          <w:bCs/>
          <w:noProof/>
        </w:rPr>
      </w:sdtEndPr>
      <w:sdtContent>
        <w:p w14:paraId="487B0460" w14:textId="155EDC4D" w:rsidR="00504EB0" w:rsidRPr="00504EB0" w:rsidRDefault="00504EB0">
          <w:pPr>
            <w:pStyle w:val="TOCHeading"/>
            <w:rPr>
              <w:rFonts w:asciiTheme="majorHAnsi" w:hAnsiTheme="majorHAnsi"/>
              <w:b w:val="0"/>
            </w:rPr>
          </w:pPr>
          <w:r w:rsidRPr="00504EB0">
            <w:rPr>
              <w:rFonts w:asciiTheme="majorHAnsi" w:hAnsiTheme="majorHAnsi"/>
              <w:b w:val="0"/>
            </w:rPr>
            <w:t>índice</w:t>
          </w:r>
        </w:p>
        <w:p w14:paraId="5EB55821" w14:textId="77777777" w:rsidR="00504EB0" w:rsidRPr="00504EB0" w:rsidRDefault="00504EB0">
          <w:pPr>
            <w:pStyle w:val="TOC1"/>
            <w:rPr>
              <w:rFonts w:asciiTheme="majorHAnsi" w:eastAsiaTheme="minorEastAsia" w:hAnsiTheme="majorHAnsi" w:cstheme="minorBidi"/>
              <w:b w:val="0"/>
              <w:caps w:val="0"/>
              <w:noProof/>
              <w:lang w:eastAsia="en-GB"/>
            </w:rPr>
          </w:pPr>
          <w:r w:rsidRPr="00504EB0">
            <w:rPr>
              <w:rFonts w:asciiTheme="majorHAnsi" w:hAnsiTheme="majorHAnsi"/>
              <w:b w:val="0"/>
            </w:rPr>
            <w:fldChar w:fldCharType="begin"/>
          </w:r>
          <w:r w:rsidRPr="00504EB0">
            <w:rPr>
              <w:rFonts w:asciiTheme="majorHAnsi" w:hAnsiTheme="majorHAnsi"/>
              <w:b w:val="0"/>
            </w:rPr>
            <w:instrText xml:space="preserve"> TOC \o "1-3" \h \z \u </w:instrText>
          </w:r>
          <w:r w:rsidRPr="00504EB0">
            <w:rPr>
              <w:rFonts w:asciiTheme="majorHAnsi" w:hAnsiTheme="majorHAnsi"/>
              <w:b w:val="0"/>
            </w:rPr>
            <w:fldChar w:fldCharType="separate"/>
          </w:r>
          <w:hyperlink w:anchor="_Toc455997515" w:history="1">
            <w:r w:rsidRPr="00504EB0">
              <w:rPr>
                <w:rStyle w:val="Hyperlink"/>
                <w:rFonts w:asciiTheme="majorHAnsi" w:hAnsiTheme="majorHAnsi"/>
                <w:b w:val="0"/>
                <w:noProof/>
              </w:rPr>
              <w:t xml:space="preserve">Funciones de asesoramiento </w:t>
            </w:r>
            <w:r w:rsidRPr="00504EB0">
              <w:rPr>
                <w:rStyle w:val="Hyperlink"/>
                <w:rFonts w:asciiTheme="majorHAnsi" w:hAnsiTheme="majorHAnsi"/>
                <w:b w:val="0"/>
                <w:i/>
                <w:noProof/>
              </w:rPr>
              <w:t>ad hoc</w:t>
            </w:r>
            <w:r w:rsidRPr="00504EB0">
              <w:rPr>
                <w:rStyle w:val="Hyperlink"/>
                <w:rFonts w:asciiTheme="majorHAnsi" w:hAnsiTheme="majorHAnsi"/>
                <w:b w:val="0"/>
                <w:noProof/>
              </w:rPr>
              <w:t xml:space="preserve"> y colaboración con otros organismos y procesos internacionales</w:t>
            </w:r>
            <w:r w:rsidRPr="00504EB0">
              <w:rPr>
                <w:rFonts w:asciiTheme="majorHAnsi" w:hAnsiTheme="majorHAnsi"/>
                <w:b w:val="0"/>
                <w:noProof/>
                <w:webHidden/>
              </w:rPr>
              <w:tab/>
            </w:r>
            <w:r w:rsidRPr="00504EB0">
              <w:rPr>
                <w:rFonts w:asciiTheme="majorHAnsi" w:hAnsiTheme="majorHAnsi"/>
                <w:b w:val="0"/>
                <w:noProof/>
                <w:webHidden/>
              </w:rPr>
              <w:fldChar w:fldCharType="begin"/>
            </w:r>
            <w:r w:rsidRPr="00504EB0">
              <w:rPr>
                <w:rFonts w:asciiTheme="majorHAnsi" w:hAnsiTheme="majorHAnsi"/>
                <w:b w:val="0"/>
                <w:noProof/>
                <w:webHidden/>
              </w:rPr>
              <w:instrText xml:space="preserve"> PAGEREF _Toc455997515 \h </w:instrText>
            </w:r>
            <w:r w:rsidRPr="00504EB0">
              <w:rPr>
                <w:rFonts w:asciiTheme="majorHAnsi" w:hAnsiTheme="majorHAnsi"/>
                <w:b w:val="0"/>
                <w:noProof/>
                <w:webHidden/>
              </w:rPr>
            </w:r>
            <w:r w:rsidRPr="00504EB0">
              <w:rPr>
                <w:rFonts w:asciiTheme="majorHAnsi" w:hAnsiTheme="majorHAnsi"/>
                <w:b w:val="0"/>
                <w:noProof/>
                <w:webHidden/>
              </w:rPr>
              <w:fldChar w:fldCharType="separate"/>
            </w:r>
            <w:r w:rsidRPr="00504EB0">
              <w:rPr>
                <w:rFonts w:asciiTheme="majorHAnsi" w:hAnsiTheme="majorHAnsi"/>
                <w:b w:val="0"/>
                <w:noProof/>
                <w:webHidden/>
              </w:rPr>
              <w:t>4</w:t>
            </w:r>
            <w:r w:rsidRPr="00504EB0">
              <w:rPr>
                <w:rFonts w:asciiTheme="majorHAnsi" w:hAnsiTheme="majorHAnsi"/>
                <w:b w:val="0"/>
                <w:noProof/>
                <w:webHidden/>
              </w:rPr>
              <w:fldChar w:fldCharType="end"/>
            </w:r>
          </w:hyperlink>
        </w:p>
        <w:p w14:paraId="6E02D163" w14:textId="77777777" w:rsidR="00504EB0" w:rsidRPr="00504EB0" w:rsidRDefault="007C1A2D">
          <w:pPr>
            <w:pStyle w:val="TOC1"/>
            <w:rPr>
              <w:rFonts w:asciiTheme="majorHAnsi" w:eastAsiaTheme="minorEastAsia" w:hAnsiTheme="majorHAnsi" w:cstheme="minorBidi"/>
              <w:b w:val="0"/>
              <w:caps w:val="0"/>
              <w:noProof/>
              <w:lang w:eastAsia="en-GB"/>
            </w:rPr>
          </w:pPr>
          <w:hyperlink w:anchor="_Toc455997516" w:history="1">
            <w:r w:rsidR="00504EB0" w:rsidRPr="00504EB0">
              <w:rPr>
                <w:rStyle w:val="Hyperlink"/>
                <w:rFonts w:asciiTheme="majorHAnsi" w:hAnsiTheme="majorHAnsi"/>
                <w:b w:val="0"/>
                <w:noProof/>
              </w:rPr>
              <w:t>Área Temática de Trabajo Nº 1: Buenas prácticas en metodologías o herramientas para realizar el monitoreo  de los sitios Ramsar, incluyendo estudios, cartografías e inventarios, reconociendo las prácticas tradicionales de los pueblos indígenas y las comunidades locales</w:t>
            </w:r>
            <w:r w:rsidR="00504EB0" w:rsidRPr="00504EB0">
              <w:rPr>
                <w:rFonts w:asciiTheme="majorHAnsi" w:hAnsiTheme="majorHAnsi"/>
                <w:b w:val="0"/>
                <w:noProof/>
                <w:webHidden/>
              </w:rPr>
              <w:tab/>
            </w:r>
            <w:r w:rsidR="00504EB0" w:rsidRPr="00504EB0">
              <w:rPr>
                <w:rFonts w:asciiTheme="majorHAnsi" w:hAnsiTheme="majorHAnsi"/>
                <w:b w:val="0"/>
                <w:noProof/>
                <w:webHidden/>
              </w:rPr>
              <w:fldChar w:fldCharType="begin"/>
            </w:r>
            <w:r w:rsidR="00504EB0" w:rsidRPr="00504EB0">
              <w:rPr>
                <w:rFonts w:asciiTheme="majorHAnsi" w:hAnsiTheme="majorHAnsi"/>
                <w:b w:val="0"/>
                <w:noProof/>
                <w:webHidden/>
              </w:rPr>
              <w:instrText xml:space="preserve"> PAGEREF _Toc455997516 \h </w:instrText>
            </w:r>
            <w:r w:rsidR="00504EB0" w:rsidRPr="00504EB0">
              <w:rPr>
                <w:rFonts w:asciiTheme="majorHAnsi" w:hAnsiTheme="majorHAnsi"/>
                <w:b w:val="0"/>
                <w:noProof/>
                <w:webHidden/>
              </w:rPr>
            </w:r>
            <w:r w:rsidR="00504EB0" w:rsidRPr="00504EB0">
              <w:rPr>
                <w:rFonts w:asciiTheme="majorHAnsi" w:hAnsiTheme="majorHAnsi"/>
                <w:b w:val="0"/>
                <w:noProof/>
                <w:webHidden/>
              </w:rPr>
              <w:fldChar w:fldCharType="separate"/>
            </w:r>
            <w:r w:rsidR="00504EB0" w:rsidRPr="00504EB0">
              <w:rPr>
                <w:rFonts w:asciiTheme="majorHAnsi" w:hAnsiTheme="majorHAnsi"/>
                <w:b w:val="0"/>
                <w:noProof/>
                <w:webHidden/>
              </w:rPr>
              <w:t>6</w:t>
            </w:r>
            <w:r w:rsidR="00504EB0" w:rsidRPr="00504EB0">
              <w:rPr>
                <w:rFonts w:asciiTheme="majorHAnsi" w:hAnsiTheme="majorHAnsi"/>
                <w:b w:val="0"/>
                <w:noProof/>
                <w:webHidden/>
              </w:rPr>
              <w:fldChar w:fldCharType="end"/>
            </w:r>
          </w:hyperlink>
        </w:p>
        <w:p w14:paraId="7D27B647" w14:textId="77777777" w:rsidR="00504EB0" w:rsidRPr="00504EB0" w:rsidRDefault="007C1A2D">
          <w:pPr>
            <w:pStyle w:val="TOC1"/>
            <w:rPr>
              <w:rFonts w:asciiTheme="majorHAnsi" w:eastAsiaTheme="minorEastAsia" w:hAnsiTheme="majorHAnsi" w:cstheme="minorBidi"/>
              <w:b w:val="0"/>
              <w:caps w:val="0"/>
              <w:noProof/>
              <w:lang w:eastAsia="en-GB"/>
            </w:rPr>
          </w:pPr>
          <w:hyperlink w:anchor="_Toc455997517" w:history="1">
            <w:r w:rsidR="00504EB0" w:rsidRPr="00504EB0">
              <w:rPr>
                <w:rStyle w:val="Hyperlink"/>
                <w:rFonts w:asciiTheme="majorHAnsi" w:hAnsiTheme="majorHAnsi"/>
                <w:b w:val="0"/>
                <w:noProof/>
                <w:lang w:val="es-ES"/>
              </w:rPr>
              <w:t>Área Temática de Trabajo Nº 2: Buenas prácticas para el desarrollo y la ejecución de planes de manejo, planes de acción y otros instrumentos para los sitios Ramsar y otros humedales</w:t>
            </w:r>
            <w:r w:rsidR="00504EB0" w:rsidRPr="00504EB0">
              <w:rPr>
                <w:rFonts w:asciiTheme="majorHAnsi" w:hAnsiTheme="majorHAnsi"/>
                <w:b w:val="0"/>
                <w:noProof/>
                <w:webHidden/>
              </w:rPr>
              <w:tab/>
            </w:r>
            <w:r w:rsidR="00504EB0" w:rsidRPr="00504EB0">
              <w:rPr>
                <w:rFonts w:asciiTheme="majorHAnsi" w:hAnsiTheme="majorHAnsi"/>
                <w:b w:val="0"/>
                <w:noProof/>
                <w:webHidden/>
              </w:rPr>
              <w:fldChar w:fldCharType="begin"/>
            </w:r>
            <w:r w:rsidR="00504EB0" w:rsidRPr="00504EB0">
              <w:rPr>
                <w:rFonts w:asciiTheme="majorHAnsi" w:hAnsiTheme="majorHAnsi"/>
                <w:b w:val="0"/>
                <w:noProof/>
                <w:webHidden/>
              </w:rPr>
              <w:instrText xml:space="preserve"> PAGEREF _Toc455997517 \h </w:instrText>
            </w:r>
            <w:r w:rsidR="00504EB0" w:rsidRPr="00504EB0">
              <w:rPr>
                <w:rFonts w:asciiTheme="majorHAnsi" w:hAnsiTheme="majorHAnsi"/>
                <w:b w:val="0"/>
                <w:noProof/>
                <w:webHidden/>
              </w:rPr>
            </w:r>
            <w:r w:rsidR="00504EB0" w:rsidRPr="00504EB0">
              <w:rPr>
                <w:rFonts w:asciiTheme="majorHAnsi" w:hAnsiTheme="majorHAnsi"/>
                <w:b w:val="0"/>
                <w:noProof/>
                <w:webHidden/>
              </w:rPr>
              <w:fldChar w:fldCharType="separate"/>
            </w:r>
            <w:r w:rsidR="00504EB0" w:rsidRPr="00504EB0">
              <w:rPr>
                <w:rFonts w:asciiTheme="majorHAnsi" w:hAnsiTheme="majorHAnsi"/>
                <w:b w:val="0"/>
                <w:noProof/>
                <w:webHidden/>
              </w:rPr>
              <w:t>8</w:t>
            </w:r>
            <w:r w:rsidR="00504EB0" w:rsidRPr="00504EB0">
              <w:rPr>
                <w:rFonts w:asciiTheme="majorHAnsi" w:hAnsiTheme="majorHAnsi"/>
                <w:b w:val="0"/>
                <w:noProof/>
                <w:webHidden/>
              </w:rPr>
              <w:fldChar w:fldCharType="end"/>
            </w:r>
          </w:hyperlink>
        </w:p>
        <w:p w14:paraId="7788B09C" w14:textId="77777777" w:rsidR="00504EB0" w:rsidRPr="00504EB0" w:rsidRDefault="007C1A2D">
          <w:pPr>
            <w:pStyle w:val="TOC1"/>
            <w:rPr>
              <w:rFonts w:asciiTheme="majorHAnsi" w:eastAsiaTheme="minorEastAsia" w:hAnsiTheme="majorHAnsi" w:cstheme="minorBidi"/>
              <w:b w:val="0"/>
              <w:caps w:val="0"/>
              <w:noProof/>
              <w:lang w:eastAsia="en-GB"/>
            </w:rPr>
          </w:pPr>
          <w:hyperlink w:anchor="_Toc455997518" w:history="1">
            <w:r w:rsidR="00504EB0" w:rsidRPr="00504EB0">
              <w:rPr>
                <w:rStyle w:val="Hyperlink"/>
                <w:rFonts w:asciiTheme="majorHAnsi" w:hAnsiTheme="majorHAnsi"/>
                <w:b w:val="0"/>
                <w:noProof/>
              </w:rPr>
              <w:t>Área Temática de Trabajo Nº 3: Metodologías para determinar la valoración económica y no económica de los bienes y servicios de los humedales</w:t>
            </w:r>
            <w:r w:rsidR="00504EB0" w:rsidRPr="00504EB0">
              <w:rPr>
                <w:rFonts w:asciiTheme="majorHAnsi" w:hAnsiTheme="majorHAnsi"/>
                <w:b w:val="0"/>
                <w:noProof/>
                <w:webHidden/>
              </w:rPr>
              <w:tab/>
            </w:r>
            <w:r w:rsidR="00504EB0" w:rsidRPr="00504EB0">
              <w:rPr>
                <w:rFonts w:asciiTheme="majorHAnsi" w:hAnsiTheme="majorHAnsi"/>
                <w:b w:val="0"/>
                <w:noProof/>
                <w:webHidden/>
              </w:rPr>
              <w:fldChar w:fldCharType="begin"/>
            </w:r>
            <w:r w:rsidR="00504EB0" w:rsidRPr="00504EB0">
              <w:rPr>
                <w:rFonts w:asciiTheme="majorHAnsi" w:hAnsiTheme="majorHAnsi"/>
                <w:b w:val="0"/>
                <w:noProof/>
                <w:webHidden/>
              </w:rPr>
              <w:instrText xml:space="preserve"> PAGEREF _Toc455997518 \h </w:instrText>
            </w:r>
            <w:r w:rsidR="00504EB0" w:rsidRPr="00504EB0">
              <w:rPr>
                <w:rFonts w:asciiTheme="majorHAnsi" w:hAnsiTheme="majorHAnsi"/>
                <w:b w:val="0"/>
                <w:noProof/>
                <w:webHidden/>
              </w:rPr>
            </w:r>
            <w:r w:rsidR="00504EB0" w:rsidRPr="00504EB0">
              <w:rPr>
                <w:rFonts w:asciiTheme="majorHAnsi" w:hAnsiTheme="majorHAnsi"/>
                <w:b w:val="0"/>
                <w:noProof/>
                <w:webHidden/>
              </w:rPr>
              <w:fldChar w:fldCharType="separate"/>
            </w:r>
            <w:r w:rsidR="00504EB0" w:rsidRPr="00504EB0">
              <w:rPr>
                <w:rFonts w:asciiTheme="majorHAnsi" w:hAnsiTheme="majorHAnsi"/>
                <w:b w:val="0"/>
                <w:noProof/>
                <w:webHidden/>
              </w:rPr>
              <w:t>11</w:t>
            </w:r>
            <w:r w:rsidR="00504EB0" w:rsidRPr="00504EB0">
              <w:rPr>
                <w:rFonts w:asciiTheme="majorHAnsi" w:hAnsiTheme="majorHAnsi"/>
                <w:b w:val="0"/>
                <w:noProof/>
                <w:webHidden/>
              </w:rPr>
              <w:fldChar w:fldCharType="end"/>
            </w:r>
          </w:hyperlink>
        </w:p>
        <w:p w14:paraId="51EC4363" w14:textId="77777777" w:rsidR="00504EB0" w:rsidRPr="00504EB0" w:rsidRDefault="007C1A2D">
          <w:pPr>
            <w:pStyle w:val="TOC1"/>
            <w:rPr>
              <w:rFonts w:asciiTheme="majorHAnsi" w:eastAsiaTheme="minorEastAsia" w:hAnsiTheme="majorHAnsi" w:cstheme="minorBidi"/>
              <w:b w:val="0"/>
              <w:caps w:val="0"/>
              <w:noProof/>
              <w:lang w:eastAsia="en-GB"/>
            </w:rPr>
          </w:pPr>
          <w:hyperlink w:anchor="_Toc455997519" w:history="1">
            <w:r w:rsidR="00504EB0" w:rsidRPr="00504EB0">
              <w:rPr>
                <w:rStyle w:val="Hyperlink"/>
                <w:rFonts w:asciiTheme="majorHAnsi" w:hAnsiTheme="majorHAnsi"/>
                <w:b w:val="0"/>
                <w:noProof/>
                <w:lang w:val="es-ES"/>
              </w:rPr>
              <w:t>Área Temática de Trabajo Nº 4: Balance entre la conservación de los humedales y el desarrollo, por ejemplo, infraestructuras, urbanización, silvicultura, industrias extractivas y agricultura</w:t>
            </w:r>
            <w:r w:rsidR="00504EB0" w:rsidRPr="00504EB0">
              <w:rPr>
                <w:rFonts w:asciiTheme="majorHAnsi" w:hAnsiTheme="majorHAnsi"/>
                <w:b w:val="0"/>
                <w:noProof/>
                <w:webHidden/>
              </w:rPr>
              <w:tab/>
            </w:r>
            <w:r w:rsidR="00504EB0" w:rsidRPr="00504EB0">
              <w:rPr>
                <w:rFonts w:asciiTheme="majorHAnsi" w:hAnsiTheme="majorHAnsi"/>
                <w:b w:val="0"/>
                <w:noProof/>
                <w:webHidden/>
              </w:rPr>
              <w:fldChar w:fldCharType="begin"/>
            </w:r>
            <w:r w:rsidR="00504EB0" w:rsidRPr="00504EB0">
              <w:rPr>
                <w:rFonts w:asciiTheme="majorHAnsi" w:hAnsiTheme="majorHAnsi"/>
                <w:b w:val="0"/>
                <w:noProof/>
                <w:webHidden/>
              </w:rPr>
              <w:instrText xml:space="preserve"> PAGEREF _Toc455997519 \h </w:instrText>
            </w:r>
            <w:r w:rsidR="00504EB0" w:rsidRPr="00504EB0">
              <w:rPr>
                <w:rFonts w:asciiTheme="majorHAnsi" w:hAnsiTheme="majorHAnsi"/>
                <w:b w:val="0"/>
                <w:noProof/>
                <w:webHidden/>
              </w:rPr>
            </w:r>
            <w:r w:rsidR="00504EB0" w:rsidRPr="00504EB0">
              <w:rPr>
                <w:rFonts w:asciiTheme="majorHAnsi" w:hAnsiTheme="majorHAnsi"/>
                <w:b w:val="0"/>
                <w:noProof/>
                <w:webHidden/>
              </w:rPr>
              <w:fldChar w:fldCharType="separate"/>
            </w:r>
            <w:r w:rsidR="00504EB0" w:rsidRPr="00504EB0">
              <w:rPr>
                <w:rFonts w:asciiTheme="majorHAnsi" w:hAnsiTheme="majorHAnsi"/>
                <w:b w:val="0"/>
                <w:noProof/>
                <w:webHidden/>
              </w:rPr>
              <w:t>13</w:t>
            </w:r>
            <w:r w:rsidR="00504EB0" w:rsidRPr="00504EB0">
              <w:rPr>
                <w:rFonts w:asciiTheme="majorHAnsi" w:hAnsiTheme="majorHAnsi"/>
                <w:b w:val="0"/>
                <w:noProof/>
                <w:webHidden/>
              </w:rPr>
              <w:fldChar w:fldCharType="end"/>
            </w:r>
          </w:hyperlink>
        </w:p>
        <w:p w14:paraId="6FE20A66" w14:textId="77777777" w:rsidR="00504EB0" w:rsidRPr="00504EB0" w:rsidRDefault="007C1A2D">
          <w:pPr>
            <w:pStyle w:val="TOC1"/>
            <w:rPr>
              <w:rFonts w:asciiTheme="majorHAnsi" w:eastAsiaTheme="minorEastAsia" w:hAnsiTheme="majorHAnsi" w:cstheme="minorBidi"/>
              <w:b w:val="0"/>
              <w:caps w:val="0"/>
              <w:noProof/>
              <w:lang w:eastAsia="en-GB"/>
            </w:rPr>
          </w:pPr>
          <w:hyperlink w:anchor="_Toc455997520" w:history="1">
            <w:r w:rsidR="00504EB0" w:rsidRPr="00504EB0">
              <w:rPr>
                <w:rStyle w:val="Hyperlink"/>
                <w:rFonts w:asciiTheme="majorHAnsi" w:hAnsiTheme="majorHAnsi"/>
                <w:b w:val="0"/>
                <w:noProof/>
              </w:rPr>
              <w:t>Área Temática de Trabajo Nº 5: Cambio climático y humedales: metodologías innovadoras para la restauración de los humedales</w:t>
            </w:r>
            <w:r w:rsidR="00504EB0" w:rsidRPr="00504EB0">
              <w:rPr>
                <w:rFonts w:asciiTheme="majorHAnsi" w:hAnsiTheme="majorHAnsi"/>
                <w:b w:val="0"/>
                <w:noProof/>
                <w:webHidden/>
              </w:rPr>
              <w:tab/>
            </w:r>
            <w:r w:rsidR="00504EB0" w:rsidRPr="00504EB0">
              <w:rPr>
                <w:rFonts w:asciiTheme="majorHAnsi" w:hAnsiTheme="majorHAnsi"/>
                <w:b w:val="0"/>
                <w:noProof/>
                <w:webHidden/>
              </w:rPr>
              <w:fldChar w:fldCharType="begin"/>
            </w:r>
            <w:r w:rsidR="00504EB0" w:rsidRPr="00504EB0">
              <w:rPr>
                <w:rFonts w:asciiTheme="majorHAnsi" w:hAnsiTheme="majorHAnsi"/>
                <w:b w:val="0"/>
                <w:noProof/>
                <w:webHidden/>
              </w:rPr>
              <w:instrText xml:space="preserve"> PAGEREF _Toc455997520 \h </w:instrText>
            </w:r>
            <w:r w:rsidR="00504EB0" w:rsidRPr="00504EB0">
              <w:rPr>
                <w:rFonts w:asciiTheme="majorHAnsi" w:hAnsiTheme="majorHAnsi"/>
                <w:b w:val="0"/>
                <w:noProof/>
                <w:webHidden/>
              </w:rPr>
            </w:r>
            <w:r w:rsidR="00504EB0" w:rsidRPr="00504EB0">
              <w:rPr>
                <w:rFonts w:asciiTheme="majorHAnsi" w:hAnsiTheme="majorHAnsi"/>
                <w:b w:val="0"/>
                <w:noProof/>
                <w:webHidden/>
              </w:rPr>
              <w:fldChar w:fldCharType="separate"/>
            </w:r>
            <w:r w:rsidR="00504EB0" w:rsidRPr="00504EB0">
              <w:rPr>
                <w:rFonts w:asciiTheme="majorHAnsi" w:hAnsiTheme="majorHAnsi"/>
                <w:b w:val="0"/>
                <w:noProof/>
                <w:webHidden/>
              </w:rPr>
              <w:t>15</w:t>
            </w:r>
            <w:r w:rsidR="00504EB0" w:rsidRPr="00504EB0">
              <w:rPr>
                <w:rFonts w:asciiTheme="majorHAnsi" w:hAnsiTheme="majorHAnsi"/>
                <w:b w:val="0"/>
                <w:noProof/>
                <w:webHidden/>
              </w:rPr>
              <w:fldChar w:fldCharType="end"/>
            </w:r>
          </w:hyperlink>
        </w:p>
        <w:p w14:paraId="3263BA28" w14:textId="4DB5D84D" w:rsidR="00504EB0" w:rsidRDefault="00504EB0">
          <w:r w:rsidRPr="00504EB0">
            <w:rPr>
              <w:rFonts w:asciiTheme="majorHAnsi" w:hAnsiTheme="majorHAnsi"/>
              <w:bCs/>
              <w:noProof/>
            </w:rPr>
            <w:fldChar w:fldCharType="end"/>
          </w:r>
        </w:p>
      </w:sdtContent>
    </w:sdt>
    <w:p w14:paraId="4470D2EF" w14:textId="5D59F22C" w:rsidR="00504EB0" w:rsidRDefault="00504EB0" w:rsidP="00EF4061">
      <w:pPr>
        <w:rPr>
          <w:rFonts w:asciiTheme="majorHAnsi" w:eastAsia="Calibri" w:hAnsiTheme="majorHAnsi" w:cs="Calibri"/>
          <w:color w:val="000000"/>
          <w:sz w:val="22"/>
          <w:szCs w:val="22"/>
          <w:lang w:val="es-ES_tradnl"/>
        </w:rPr>
      </w:pPr>
    </w:p>
    <w:p w14:paraId="40822F36" w14:textId="73363595" w:rsidR="00A9234B" w:rsidRDefault="00504EB0" w:rsidP="00EF4061">
      <w:pPr>
        <w:rPr>
          <w:rFonts w:asciiTheme="majorHAnsi" w:eastAsia="Calibri" w:hAnsiTheme="majorHAnsi" w:cs="Calibri"/>
          <w:color w:val="000000"/>
          <w:sz w:val="22"/>
          <w:szCs w:val="22"/>
          <w:lang w:val="es-ES_tradnl"/>
        </w:rPr>
        <w:sectPr w:rsidR="00A9234B" w:rsidSect="009F0C12">
          <w:headerReference w:type="default" r:id="rId10"/>
          <w:footerReference w:type="default" r:id="rId11"/>
          <w:pgSz w:w="11906" w:h="16838"/>
          <w:pgMar w:top="1440" w:right="1440" w:bottom="1440" w:left="1440" w:header="709" w:footer="709" w:gutter="0"/>
          <w:cols w:space="708"/>
          <w:titlePg/>
          <w:docGrid w:linePitch="360"/>
        </w:sectPr>
      </w:pPr>
      <w:r>
        <w:rPr>
          <w:rFonts w:asciiTheme="majorHAnsi" w:eastAsia="Calibri" w:hAnsiTheme="majorHAnsi" w:cs="Calibri"/>
          <w:color w:val="000000"/>
          <w:sz w:val="22"/>
          <w:szCs w:val="22"/>
          <w:lang w:val="es-ES_tradnl"/>
        </w:rPr>
        <w:br w:type="page"/>
      </w:r>
    </w:p>
    <w:p w14:paraId="1091C734" w14:textId="77777777" w:rsidR="00EF4061" w:rsidRPr="00A9234B" w:rsidRDefault="00EF4061" w:rsidP="00EF4061">
      <w:pPr>
        <w:rPr>
          <w:rFonts w:asciiTheme="majorHAnsi" w:hAnsiTheme="majorHAnsi" w:cs="Arial"/>
          <w:sz w:val="22"/>
          <w:szCs w:val="22"/>
          <w:lang w:val="es-ES_tradnl"/>
        </w:rPr>
      </w:pPr>
    </w:p>
    <w:p w14:paraId="1A360F14" w14:textId="3A01155B" w:rsidR="00EF4061" w:rsidRPr="00504EB0" w:rsidRDefault="00B34418" w:rsidP="00504EB0">
      <w:pPr>
        <w:pStyle w:val="Heading1"/>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color w:val="FFFFFF" w:themeColor="background1"/>
          <w:sz w:val="20"/>
          <w:szCs w:val="20"/>
        </w:rPr>
      </w:pPr>
      <w:bookmarkStart w:id="1" w:name="_Toc455997515"/>
      <w:r w:rsidRPr="00504EB0">
        <w:rPr>
          <w:rFonts w:asciiTheme="majorHAnsi" w:hAnsiTheme="majorHAnsi"/>
          <w:color w:val="FFFFFF" w:themeColor="background1"/>
          <w:sz w:val="20"/>
          <w:szCs w:val="20"/>
        </w:rPr>
        <w:t xml:space="preserve">Funciones de asesoramiento </w:t>
      </w:r>
      <w:r w:rsidRPr="00504EB0">
        <w:rPr>
          <w:rFonts w:asciiTheme="majorHAnsi" w:hAnsiTheme="majorHAnsi"/>
          <w:i/>
          <w:color w:val="FFFFFF" w:themeColor="background1"/>
          <w:sz w:val="20"/>
          <w:szCs w:val="20"/>
        </w:rPr>
        <w:t>ad hoc</w:t>
      </w:r>
      <w:r w:rsidRPr="00504EB0">
        <w:rPr>
          <w:rFonts w:asciiTheme="majorHAnsi" w:hAnsiTheme="majorHAnsi"/>
          <w:color w:val="FFFFFF" w:themeColor="background1"/>
          <w:sz w:val="20"/>
          <w:szCs w:val="20"/>
        </w:rPr>
        <w:t xml:space="preserve"> y colaboración con otros organismos y procesos internacionales</w:t>
      </w:r>
      <w:bookmarkEnd w:id="1"/>
      <w:r w:rsidRPr="00504EB0">
        <w:rPr>
          <w:rFonts w:asciiTheme="majorHAnsi" w:hAnsiTheme="majorHAnsi"/>
          <w:color w:val="FFFFFF" w:themeColor="background1"/>
          <w:sz w:val="20"/>
          <w:szCs w:val="20"/>
        </w:rPr>
        <w:t xml:space="preserve"> </w:t>
      </w:r>
    </w:p>
    <w:tbl>
      <w:tblPr>
        <w:tblStyle w:val="TableGrid"/>
        <w:tblW w:w="5000" w:type="pct"/>
        <w:tblLook w:val="04A0" w:firstRow="1" w:lastRow="0" w:firstColumn="1" w:lastColumn="0" w:noHBand="0" w:noVBand="1"/>
      </w:tblPr>
      <w:tblGrid>
        <w:gridCol w:w="3886"/>
        <w:gridCol w:w="1018"/>
        <w:gridCol w:w="1347"/>
        <w:gridCol w:w="5247"/>
        <w:gridCol w:w="2676"/>
      </w:tblGrid>
      <w:tr w:rsidR="00CA77C8" w:rsidRPr="00A9234B" w14:paraId="1B8F7A53" w14:textId="77777777" w:rsidTr="00B6261E">
        <w:tc>
          <w:tcPr>
            <w:tcW w:w="1371" w:type="pct"/>
            <w:shd w:val="clear" w:color="auto" w:fill="BFBFBF" w:themeFill="background1" w:themeFillShade="BF"/>
          </w:tcPr>
          <w:p w14:paraId="26ED3088" w14:textId="62BF272D" w:rsidR="00EF4061" w:rsidRPr="00A9234B" w:rsidRDefault="00EF4061" w:rsidP="00B34418">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T</w:t>
            </w:r>
            <w:r w:rsidR="00B34418" w:rsidRPr="00A9234B">
              <w:rPr>
                <w:rFonts w:asciiTheme="majorHAnsi" w:hAnsiTheme="majorHAnsi" w:cs="Arial"/>
                <w:sz w:val="20"/>
                <w:szCs w:val="20"/>
                <w:lang w:val="es-ES_tradnl"/>
              </w:rPr>
              <w:t>ipo de asesoramiento/colaboración</w:t>
            </w:r>
          </w:p>
        </w:tc>
        <w:tc>
          <w:tcPr>
            <w:tcW w:w="359" w:type="pct"/>
            <w:shd w:val="clear" w:color="auto" w:fill="BFBFBF" w:themeFill="background1" w:themeFillShade="BF"/>
          </w:tcPr>
          <w:p w14:paraId="746BA912" w14:textId="77777777" w:rsidR="00EF4061" w:rsidRPr="00A9234B" w:rsidRDefault="00EF4061" w:rsidP="00EF4061">
            <w:pPr>
              <w:jc w:val="center"/>
              <w:rPr>
                <w:rFonts w:asciiTheme="majorHAnsi" w:hAnsiTheme="majorHAnsi" w:cs="Arial"/>
                <w:b w:val="0"/>
                <w:sz w:val="20"/>
                <w:szCs w:val="20"/>
                <w:lang w:val="es-ES_tradnl"/>
              </w:rPr>
            </w:pPr>
            <w:r w:rsidRPr="00A9234B">
              <w:rPr>
                <w:rFonts w:asciiTheme="majorHAnsi" w:hAnsiTheme="majorHAnsi" w:cs="Arial"/>
                <w:sz w:val="20"/>
                <w:szCs w:val="20"/>
                <w:lang w:val="es-ES_tradnl"/>
              </w:rPr>
              <w:t>Res.</w:t>
            </w:r>
          </w:p>
        </w:tc>
        <w:tc>
          <w:tcPr>
            <w:tcW w:w="475" w:type="pct"/>
            <w:shd w:val="clear" w:color="auto" w:fill="BFBFBF" w:themeFill="background1" w:themeFillShade="BF"/>
          </w:tcPr>
          <w:p w14:paraId="6142054F" w14:textId="5A4ED22C" w:rsidR="00EF4061" w:rsidRPr="00A9234B" w:rsidRDefault="00B34418" w:rsidP="00B34418">
            <w:pPr>
              <w:jc w:val="center"/>
              <w:rPr>
                <w:rFonts w:asciiTheme="majorHAnsi" w:hAnsiTheme="majorHAnsi" w:cs="Arial"/>
                <w:sz w:val="20"/>
                <w:szCs w:val="20"/>
                <w:lang w:val="es-ES_tradnl"/>
              </w:rPr>
            </w:pPr>
            <w:r w:rsidRPr="00A9234B">
              <w:rPr>
                <w:rFonts w:asciiTheme="majorHAnsi" w:eastAsia="Calibri" w:hAnsiTheme="majorHAnsi" w:cs="Arial"/>
                <w:sz w:val="20"/>
                <w:szCs w:val="20"/>
                <w:lang w:val="es-ES_tradnl"/>
              </w:rPr>
              <w:t>Objetivo y meta del Plan Estratégico</w:t>
            </w:r>
          </w:p>
        </w:tc>
        <w:tc>
          <w:tcPr>
            <w:tcW w:w="1851" w:type="pct"/>
            <w:shd w:val="clear" w:color="auto" w:fill="BFBFBF" w:themeFill="background1" w:themeFillShade="BF"/>
          </w:tcPr>
          <w:p w14:paraId="3CD28596" w14:textId="1CE1C03F" w:rsidR="00EF4061" w:rsidRPr="00A9234B" w:rsidRDefault="00EF4061" w:rsidP="00B34418">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Descrip</w:t>
            </w:r>
            <w:r w:rsidR="00B34418" w:rsidRPr="00A9234B">
              <w:rPr>
                <w:rFonts w:asciiTheme="majorHAnsi" w:hAnsiTheme="majorHAnsi" w:cs="Arial"/>
                <w:sz w:val="20"/>
                <w:szCs w:val="20"/>
                <w:lang w:val="es-ES_tradnl"/>
              </w:rPr>
              <w:t>ción</w:t>
            </w:r>
          </w:p>
        </w:tc>
        <w:tc>
          <w:tcPr>
            <w:tcW w:w="944" w:type="pct"/>
            <w:shd w:val="clear" w:color="auto" w:fill="BFBFBF" w:themeFill="background1" w:themeFillShade="BF"/>
          </w:tcPr>
          <w:p w14:paraId="33BA01D8" w14:textId="77777777" w:rsidR="00EF4061" w:rsidRPr="00A9234B" w:rsidRDefault="00EF4061" w:rsidP="00B34418">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Cost</w:t>
            </w:r>
            <w:r w:rsidR="00B34418" w:rsidRPr="00A9234B">
              <w:rPr>
                <w:rFonts w:asciiTheme="majorHAnsi" w:hAnsiTheme="majorHAnsi" w:cs="Arial"/>
                <w:sz w:val="20"/>
                <w:szCs w:val="20"/>
                <w:lang w:val="es-ES_tradnl"/>
              </w:rPr>
              <w:t>o</w:t>
            </w:r>
            <w:r w:rsidR="00C47297" w:rsidRPr="00A9234B">
              <w:rPr>
                <w:rFonts w:asciiTheme="majorHAnsi" w:hAnsiTheme="majorHAnsi" w:cs="Arial"/>
                <w:sz w:val="20"/>
                <w:szCs w:val="20"/>
                <w:lang w:val="es-ES_tradnl"/>
              </w:rPr>
              <w:t xml:space="preserve"> </w:t>
            </w:r>
          </w:p>
          <w:p w14:paraId="735B95D1" w14:textId="608F3E82" w:rsidR="00C47297" w:rsidRPr="00A9234B" w:rsidRDefault="00C47297" w:rsidP="00B34418">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francos suizos</w:t>
            </w:r>
          </w:p>
        </w:tc>
      </w:tr>
      <w:tr w:rsidR="00EF4061" w:rsidRPr="00504EB0" w14:paraId="467EE429" w14:textId="77777777" w:rsidTr="00B6261E">
        <w:tc>
          <w:tcPr>
            <w:tcW w:w="5000" w:type="pct"/>
            <w:gridSpan w:val="5"/>
            <w:shd w:val="clear" w:color="auto" w:fill="D9D9D9" w:themeFill="background1" w:themeFillShade="D9"/>
          </w:tcPr>
          <w:p w14:paraId="6A547E51" w14:textId="01E59B9B" w:rsidR="00EF4061" w:rsidRPr="00A9234B" w:rsidRDefault="00B34418" w:rsidP="00B34418">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 xml:space="preserve">Procesos de la Convención de </w:t>
            </w:r>
            <w:r w:rsidR="00EF4061" w:rsidRPr="00A9234B">
              <w:rPr>
                <w:rFonts w:asciiTheme="majorHAnsi" w:hAnsiTheme="majorHAnsi" w:cs="Arial"/>
                <w:sz w:val="20"/>
                <w:szCs w:val="20"/>
                <w:lang w:val="es-ES_tradnl"/>
              </w:rPr>
              <w:t xml:space="preserve">Ramsar </w:t>
            </w:r>
          </w:p>
        </w:tc>
      </w:tr>
      <w:tr w:rsidR="00CA77C8" w:rsidRPr="00504EB0" w14:paraId="1B634F9C" w14:textId="77777777" w:rsidTr="00B6261E">
        <w:tc>
          <w:tcPr>
            <w:tcW w:w="1371" w:type="pct"/>
          </w:tcPr>
          <w:p w14:paraId="0D03C09B" w14:textId="1627A940" w:rsidR="00EF4061" w:rsidRPr="00A9234B" w:rsidRDefault="00EF4061" w:rsidP="00D57C54">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Pro</w:t>
            </w:r>
            <w:r w:rsidR="00DF2144" w:rsidRPr="00A9234B">
              <w:rPr>
                <w:rFonts w:asciiTheme="majorHAnsi" w:hAnsiTheme="majorHAnsi" w:cs="Arial"/>
                <w:b w:val="0"/>
                <w:sz w:val="20"/>
                <w:szCs w:val="20"/>
                <w:lang w:val="es-ES_tradnl"/>
              </w:rPr>
              <w:t xml:space="preserve">porcionar asesoramiento a las Partes Contratantes de Ramsar e interesados directos sobre el </w:t>
            </w:r>
            <w:r w:rsidR="00D57C54" w:rsidRPr="00A9234B">
              <w:rPr>
                <w:rFonts w:asciiTheme="majorHAnsi" w:hAnsiTheme="majorHAnsi" w:cs="Arial"/>
                <w:b w:val="0"/>
                <w:sz w:val="20"/>
                <w:szCs w:val="20"/>
                <w:lang w:val="es-ES_tradnl"/>
              </w:rPr>
              <w:t>“</w:t>
            </w:r>
            <w:r w:rsidR="00DF2144" w:rsidRPr="00A9234B">
              <w:rPr>
                <w:rFonts w:asciiTheme="majorHAnsi" w:hAnsiTheme="majorHAnsi" w:cs="Arial"/>
                <w:b w:val="0"/>
                <w:sz w:val="20"/>
                <w:szCs w:val="20"/>
                <w:lang w:val="es-ES_tradnl"/>
              </w:rPr>
              <w:t xml:space="preserve">Estado de los </w:t>
            </w:r>
            <w:r w:rsidR="00D57C54" w:rsidRPr="00A9234B">
              <w:rPr>
                <w:rFonts w:asciiTheme="majorHAnsi" w:hAnsiTheme="majorHAnsi" w:cs="Arial"/>
                <w:b w:val="0"/>
                <w:sz w:val="20"/>
                <w:szCs w:val="20"/>
                <w:lang w:val="es-ES_tradnl"/>
              </w:rPr>
              <w:t>humedales del mundo y de los s</w:t>
            </w:r>
            <w:r w:rsidR="00DF2144" w:rsidRPr="00A9234B">
              <w:rPr>
                <w:rFonts w:asciiTheme="majorHAnsi" w:hAnsiTheme="majorHAnsi" w:cs="Arial"/>
                <w:b w:val="0"/>
                <w:sz w:val="20"/>
                <w:szCs w:val="20"/>
                <w:lang w:val="es-ES_tradnl"/>
              </w:rPr>
              <w:t>ervi</w:t>
            </w:r>
            <w:r w:rsidR="00D57C54" w:rsidRPr="00A9234B">
              <w:rPr>
                <w:rFonts w:asciiTheme="majorHAnsi" w:hAnsiTheme="majorHAnsi" w:cs="Arial"/>
                <w:b w:val="0"/>
                <w:sz w:val="20"/>
                <w:szCs w:val="20"/>
                <w:lang w:val="es-ES_tradnl"/>
              </w:rPr>
              <w:t xml:space="preserve">cios que prestan a las personas” </w:t>
            </w:r>
            <w:r w:rsidR="00DF2144" w:rsidRPr="00A9234B">
              <w:rPr>
                <w:rFonts w:asciiTheme="majorHAnsi" w:hAnsiTheme="majorHAnsi" w:cs="Arial"/>
                <w:b w:val="0"/>
                <w:sz w:val="20"/>
                <w:szCs w:val="20"/>
                <w:lang w:val="es-ES_tradnl"/>
              </w:rPr>
              <w:t xml:space="preserve">(EHMS) </w:t>
            </w:r>
          </w:p>
        </w:tc>
        <w:tc>
          <w:tcPr>
            <w:tcW w:w="359" w:type="pct"/>
          </w:tcPr>
          <w:p w14:paraId="6400A744"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XII.5, ¶ 25</w:t>
            </w:r>
          </w:p>
        </w:tc>
        <w:tc>
          <w:tcPr>
            <w:tcW w:w="475" w:type="pct"/>
          </w:tcPr>
          <w:p w14:paraId="081DB4F2"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3.11, 4.14, 4.16</w:t>
            </w:r>
          </w:p>
        </w:tc>
        <w:tc>
          <w:tcPr>
            <w:tcW w:w="1851" w:type="pct"/>
          </w:tcPr>
          <w:p w14:paraId="76B36833" w14:textId="6AD08CF3" w:rsidR="00EF4061" w:rsidRPr="00A9234B" w:rsidRDefault="00DF2144"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00EF4061"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Producción de la edición 2018 de la publicación periódica emblemática sobre el estado de los humedales del mundo, los factores que impulsan l</w:t>
            </w:r>
            <w:r w:rsidR="008D03FD" w:rsidRPr="00A9234B">
              <w:rPr>
                <w:rFonts w:asciiTheme="majorHAnsi" w:hAnsiTheme="majorHAnsi" w:cs="Arial"/>
                <w:b w:val="0"/>
                <w:sz w:val="20"/>
                <w:szCs w:val="20"/>
                <w:lang w:val="es-ES_tradnl"/>
              </w:rPr>
              <w:t>a pérdida de humedales y las res</w:t>
            </w:r>
            <w:r w:rsidRPr="00A9234B">
              <w:rPr>
                <w:rFonts w:asciiTheme="majorHAnsi" w:hAnsiTheme="majorHAnsi" w:cs="Arial"/>
                <w:b w:val="0"/>
                <w:sz w:val="20"/>
                <w:szCs w:val="20"/>
                <w:lang w:val="es-ES_tradnl"/>
              </w:rPr>
              <w:t xml:space="preserve">puestas para promover los objetivos de la Convención, </w:t>
            </w:r>
            <w:r w:rsidR="00C47297" w:rsidRPr="00A9234B">
              <w:rPr>
                <w:rFonts w:asciiTheme="majorHAnsi" w:hAnsiTheme="majorHAnsi" w:cs="Arial"/>
                <w:b w:val="0"/>
                <w:sz w:val="20"/>
                <w:szCs w:val="20"/>
                <w:lang w:val="es-ES_tradnl"/>
              </w:rPr>
              <w:t xml:space="preserve">con enlaces </w:t>
            </w:r>
            <w:r w:rsidRPr="00A9234B">
              <w:rPr>
                <w:rFonts w:asciiTheme="majorHAnsi" w:hAnsiTheme="majorHAnsi" w:cs="Arial"/>
                <w:b w:val="0"/>
                <w:sz w:val="20"/>
                <w:szCs w:val="20"/>
                <w:lang w:val="es-ES_tradnl"/>
              </w:rPr>
              <w:t xml:space="preserve">al Plan Estratégico y a otros procesos internacionales (tales como los </w:t>
            </w:r>
            <w:r w:rsidR="00B77D3F" w:rsidRPr="00A9234B">
              <w:rPr>
                <w:rFonts w:asciiTheme="majorHAnsi" w:hAnsiTheme="majorHAnsi" w:cs="Arial"/>
                <w:b w:val="0"/>
                <w:sz w:val="20"/>
                <w:szCs w:val="20"/>
                <w:lang w:val="es-ES_tradnl"/>
              </w:rPr>
              <w:t>Objetivos de Desarrollo Sostenible (</w:t>
            </w:r>
            <w:r w:rsidRPr="00A9234B">
              <w:rPr>
                <w:rFonts w:asciiTheme="majorHAnsi" w:hAnsiTheme="majorHAnsi" w:cs="Arial"/>
                <w:b w:val="0"/>
                <w:sz w:val="20"/>
                <w:szCs w:val="20"/>
                <w:lang w:val="es-ES_tradnl"/>
              </w:rPr>
              <w:t>ODS</w:t>
            </w:r>
            <w:r w:rsidR="00B77D3F"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las metas de Aichi, la P</w:t>
            </w:r>
            <w:r w:rsidR="00B77D3F" w:rsidRPr="00A9234B">
              <w:rPr>
                <w:rFonts w:asciiTheme="majorHAnsi" w:hAnsiTheme="majorHAnsi" w:cs="Arial"/>
                <w:b w:val="0"/>
                <w:sz w:val="20"/>
                <w:szCs w:val="20"/>
                <w:lang w:val="es-ES_tradnl"/>
              </w:rPr>
              <w:t xml:space="preserve">erspectiva </w:t>
            </w:r>
            <w:r w:rsidRPr="00A9234B">
              <w:rPr>
                <w:rFonts w:asciiTheme="majorHAnsi" w:hAnsiTheme="majorHAnsi" w:cs="Arial"/>
                <w:b w:val="0"/>
                <w:sz w:val="20"/>
                <w:szCs w:val="20"/>
                <w:lang w:val="es-ES_tradnl"/>
              </w:rPr>
              <w:t>M</w:t>
            </w:r>
            <w:r w:rsidR="00B77D3F" w:rsidRPr="00A9234B">
              <w:rPr>
                <w:rFonts w:asciiTheme="majorHAnsi" w:hAnsiTheme="majorHAnsi" w:cs="Arial"/>
                <w:b w:val="0"/>
                <w:sz w:val="20"/>
                <w:szCs w:val="20"/>
                <w:lang w:val="es-ES_tradnl"/>
              </w:rPr>
              <w:t>undial sobre la Diversidad Biológica</w:t>
            </w:r>
            <w:r w:rsidRPr="00A9234B">
              <w:rPr>
                <w:rFonts w:asciiTheme="majorHAnsi" w:hAnsiTheme="majorHAnsi" w:cs="Arial"/>
                <w:b w:val="0"/>
                <w:sz w:val="20"/>
                <w:szCs w:val="20"/>
                <w:lang w:val="es-ES_tradnl"/>
              </w:rPr>
              <w:t xml:space="preserve">). </w:t>
            </w:r>
          </w:p>
          <w:p w14:paraId="5BB166E2" w14:textId="77777777" w:rsidR="00EF4061" w:rsidRPr="00A9234B" w:rsidRDefault="00EF4061" w:rsidP="00EF4061">
            <w:pPr>
              <w:rPr>
                <w:rFonts w:asciiTheme="majorHAnsi" w:hAnsiTheme="majorHAnsi" w:cs="Arial"/>
                <w:b w:val="0"/>
                <w:sz w:val="20"/>
                <w:szCs w:val="20"/>
                <w:lang w:val="es-ES_tradnl"/>
              </w:rPr>
            </w:pPr>
          </w:p>
          <w:p w14:paraId="3FC4DDC5" w14:textId="04CA1C2B" w:rsidR="00EF4061" w:rsidRPr="00A9234B" w:rsidRDefault="00873C9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Un componente importante de esta tarea consiste en la actualización por el GECT, en colaboración con PNUMA-WCMC, del Índice de Extensión de los Humedales (WET) </w:t>
            </w:r>
            <w:r w:rsidR="00B71650" w:rsidRPr="00A9234B">
              <w:rPr>
                <w:rFonts w:asciiTheme="majorHAnsi" w:hAnsiTheme="majorHAnsi" w:cs="Arial"/>
                <w:b w:val="0"/>
                <w:sz w:val="20"/>
                <w:szCs w:val="20"/>
                <w:lang w:val="es-ES_tradnl"/>
              </w:rPr>
              <w:t xml:space="preserve">de </w:t>
            </w:r>
            <w:r w:rsidR="00631E3A" w:rsidRPr="00A9234B">
              <w:rPr>
                <w:rFonts w:asciiTheme="majorHAnsi" w:hAnsiTheme="majorHAnsi" w:cs="Arial"/>
                <w:b w:val="0"/>
                <w:sz w:val="20"/>
                <w:szCs w:val="20"/>
                <w:lang w:val="es-ES_tradnl"/>
              </w:rPr>
              <w:t xml:space="preserve">Ramsar </w:t>
            </w:r>
            <w:r w:rsidRPr="00A9234B">
              <w:rPr>
                <w:rFonts w:asciiTheme="majorHAnsi" w:hAnsiTheme="majorHAnsi" w:cs="Arial"/>
                <w:b w:val="0"/>
                <w:sz w:val="20"/>
                <w:szCs w:val="20"/>
                <w:lang w:val="es-ES_tradnl"/>
              </w:rPr>
              <w:t xml:space="preserve">con el fin de aportar un análisis de las tendencias después del 2008 y subsanar las lagunas y desequilibrios geográficos (notablemente respecto de </w:t>
            </w:r>
            <w:r w:rsidR="00F9025D" w:rsidRPr="00A9234B">
              <w:rPr>
                <w:rFonts w:asciiTheme="majorHAnsi" w:hAnsiTheme="majorHAnsi" w:cs="Arial"/>
                <w:b w:val="0"/>
                <w:sz w:val="20"/>
                <w:szCs w:val="20"/>
                <w:lang w:val="es-ES_tradnl"/>
              </w:rPr>
              <w:t>América Latina y el Caribe</w:t>
            </w:r>
            <w:r w:rsidR="00EF4061" w:rsidRPr="00A9234B">
              <w:rPr>
                <w:rFonts w:asciiTheme="majorHAnsi" w:hAnsiTheme="majorHAnsi" w:cs="Arial"/>
                <w:b w:val="0"/>
                <w:sz w:val="20"/>
                <w:szCs w:val="20"/>
                <w:lang w:val="es-ES_tradnl"/>
              </w:rPr>
              <w:t xml:space="preserve">) </w:t>
            </w:r>
            <w:r w:rsidR="00B71650" w:rsidRPr="00A9234B">
              <w:rPr>
                <w:rFonts w:asciiTheme="majorHAnsi" w:hAnsiTheme="majorHAnsi" w:cs="Arial"/>
                <w:b w:val="0"/>
                <w:sz w:val="20"/>
                <w:szCs w:val="20"/>
                <w:lang w:val="es-ES_tradnl"/>
              </w:rPr>
              <w:t xml:space="preserve">presentes en la prueba de concepto inicial. </w:t>
            </w:r>
            <w:r w:rsidRPr="00A9234B">
              <w:rPr>
                <w:rFonts w:asciiTheme="majorHAnsi" w:hAnsiTheme="majorHAnsi" w:cs="Arial"/>
                <w:b w:val="0"/>
                <w:sz w:val="20"/>
                <w:szCs w:val="20"/>
                <w:lang w:val="es-ES_tradnl"/>
              </w:rPr>
              <w:t xml:space="preserve">Además, el análisis de los datos de </w:t>
            </w:r>
            <w:r w:rsidR="00EF4061" w:rsidRPr="00A9234B">
              <w:rPr>
                <w:rFonts w:asciiTheme="majorHAnsi" w:hAnsiTheme="majorHAnsi" w:cs="Arial"/>
                <w:b w:val="0"/>
                <w:sz w:val="20"/>
                <w:szCs w:val="20"/>
                <w:lang w:val="es-ES_tradnl"/>
              </w:rPr>
              <w:t>Global Mangrove Watch</w:t>
            </w:r>
            <w:r w:rsidR="00B969AE" w:rsidRPr="00A9234B">
              <w:rPr>
                <w:rFonts w:asciiTheme="majorHAnsi" w:hAnsiTheme="majorHAnsi" w:cs="Arial"/>
                <w:b w:val="0"/>
                <w:sz w:val="20"/>
                <w:szCs w:val="20"/>
                <w:lang w:val="es-ES_tradnl"/>
              </w:rPr>
              <w:t xml:space="preserve">, generados por </w:t>
            </w:r>
            <w:r w:rsidR="00C413C7" w:rsidRPr="00A9234B">
              <w:rPr>
                <w:rFonts w:asciiTheme="majorHAnsi" w:hAnsiTheme="majorHAnsi" w:cs="Arial"/>
                <w:b w:val="0"/>
                <w:sz w:val="20"/>
                <w:szCs w:val="20"/>
                <w:lang w:val="es-ES_tradnl"/>
              </w:rPr>
              <w:t xml:space="preserve">la </w:t>
            </w:r>
            <w:r w:rsidR="00EF4061" w:rsidRPr="00A9234B">
              <w:rPr>
                <w:rFonts w:asciiTheme="majorHAnsi" w:hAnsiTheme="majorHAnsi" w:cs="Arial"/>
                <w:b w:val="0"/>
                <w:sz w:val="20"/>
                <w:szCs w:val="20"/>
                <w:lang w:val="es-ES_tradnl"/>
              </w:rPr>
              <w:t>JAXA</w:t>
            </w:r>
            <w:r w:rsidR="00B969AE" w:rsidRPr="00A9234B">
              <w:rPr>
                <w:rFonts w:asciiTheme="majorHAnsi" w:hAnsiTheme="majorHAnsi" w:cs="Arial"/>
                <w:b w:val="0"/>
                <w:sz w:val="20"/>
                <w:szCs w:val="20"/>
                <w:lang w:val="es-ES_tradnl"/>
              </w:rPr>
              <w:t>, y de</w:t>
            </w:r>
            <w:r w:rsidR="00B71650" w:rsidRPr="00A9234B">
              <w:rPr>
                <w:rFonts w:asciiTheme="majorHAnsi" w:hAnsiTheme="majorHAnsi" w:cs="Arial"/>
                <w:b w:val="0"/>
                <w:sz w:val="20"/>
                <w:szCs w:val="20"/>
                <w:lang w:val="es-ES_tradnl"/>
              </w:rPr>
              <w:t xml:space="preserve"> </w:t>
            </w:r>
            <w:r w:rsidR="00EF4061" w:rsidRPr="00A9234B">
              <w:rPr>
                <w:rFonts w:asciiTheme="majorHAnsi" w:hAnsiTheme="majorHAnsi" w:cs="Arial"/>
                <w:b w:val="0"/>
                <w:sz w:val="20"/>
                <w:szCs w:val="20"/>
                <w:lang w:val="es-ES_tradnl"/>
              </w:rPr>
              <w:t>GlobWetland Africa</w:t>
            </w:r>
            <w:r w:rsidR="00B969AE" w:rsidRPr="00A9234B">
              <w:rPr>
                <w:rFonts w:asciiTheme="majorHAnsi" w:hAnsiTheme="majorHAnsi" w:cs="Arial"/>
                <w:b w:val="0"/>
                <w:sz w:val="20"/>
                <w:szCs w:val="20"/>
                <w:lang w:val="es-ES_tradnl"/>
              </w:rPr>
              <w:t>, generados por</w:t>
            </w:r>
            <w:r w:rsidR="00B71650" w:rsidRPr="00A9234B">
              <w:rPr>
                <w:rFonts w:asciiTheme="majorHAnsi" w:hAnsiTheme="majorHAnsi" w:cs="Arial"/>
                <w:b w:val="0"/>
                <w:sz w:val="20"/>
                <w:szCs w:val="20"/>
                <w:lang w:val="es-ES_tradnl"/>
              </w:rPr>
              <w:t xml:space="preserve"> la</w:t>
            </w:r>
            <w:r w:rsidR="00FD2638" w:rsidRPr="00A9234B">
              <w:rPr>
                <w:rFonts w:asciiTheme="majorHAnsi" w:hAnsiTheme="majorHAnsi" w:cs="Arial"/>
                <w:b w:val="0"/>
                <w:sz w:val="20"/>
                <w:szCs w:val="20"/>
                <w:lang w:val="es-ES_tradnl"/>
              </w:rPr>
              <w:t xml:space="preserve"> </w:t>
            </w:r>
            <w:r w:rsidR="00EF4061" w:rsidRPr="00A9234B">
              <w:rPr>
                <w:rFonts w:asciiTheme="majorHAnsi" w:hAnsiTheme="majorHAnsi" w:cs="Arial"/>
                <w:b w:val="0"/>
                <w:sz w:val="20"/>
                <w:szCs w:val="20"/>
                <w:lang w:val="es-ES_tradnl"/>
              </w:rPr>
              <w:t>ESA (</w:t>
            </w:r>
            <w:r w:rsidR="00B969AE" w:rsidRPr="00A9234B">
              <w:rPr>
                <w:rFonts w:asciiTheme="majorHAnsi" w:hAnsiTheme="majorHAnsi" w:cs="Arial"/>
                <w:b w:val="0"/>
                <w:sz w:val="20"/>
                <w:szCs w:val="20"/>
                <w:lang w:val="es-ES_tradnl"/>
              </w:rPr>
              <w:t>véase también la Tarea</w:t>
            </w:r>
            <w:r w:rsidR="00EF4061" w:rsidRPr="00A9234B">
              <w:rPr>
                <w:rFonts w:asciiTheme="majorHAnsi" w:hAnsiTheme="majorHAnsi" w:cs="Arial"/>
                <w:b w:val="0"/>
                <w:sz w:val="20"/>
                <w:szCs w:val="20"/>
                <w:lang w:val="es-ES_tradnl"/>
              </w:rPr>
              <w:t xml:space="preserve"> 1.1) </w:t>
            </w:r>
            <w:r w:rsidR="00B969AE" w:rsidRPr="00A9234B">
              <w:rPr>
                <w:rFonts w:asciiTheme="majorHAnsi" w:hAnsiTheme="majorHAnsi" w:cs="Arial"/>
                <w:b w:val="0"/>
                <w:sz w:val="20"/>
                <w:szCs w:val="20"/>
                <w:lang w:val="es-ES_tradnl"/>
              </w:rPr>
              <w:t>aportará unas contribuciones importantes a</w:t>
            </w:r>
            <w:r w:rsidR="00B71650" w:rsidRPr="00A9234B">
              <w:rPr>
                <w:rFonts w:asciiTheme="majorHAnsi" w:hAnsiTheme="majorHAnsi" w:cs="Arial"/>
                <w:b w:val="0"/>
                <w:sz w:val="20"/>
                <w:szCs w:val="20"/>
                <w:lang w:val="es-ES_tradnl"/>
              </w:rPr>
              <w:t>l</w:t>
            </w:r>
            <w:r w:rsidR="00B969AE" w:rsidRPr="00A9234B">
              <w:rPr>
                <w:rFonts w:asciiTheme="majorHAnsi" w:hAnsiTheme="majorHAnsi" w:cs="Arial"/>
                <w:b w:val="0"/>
                <w:sz w:val="20"/>
                <w:szCs w:val="20"/>
                <w:lang w:val="es-ES_tradnl"/>
              </w:rPr>
              <w:t xml:space="preserve"> EHMS</w:t>
            </w:r>
          </w:p>
          <w:p w14:paraId="7E7C9718" w14:textId="77777777" w:rsidR="00EF4061" w:rsidRPr="00A9234B" w:rsidRDefault="00EF4061" w:rsidP="00EF4061">
            <w:pPr>
              <w:rPr>
                <w:rFonts w:asciiTheme="majorHAnsi" w:hAnsiTheme="majorHAnsi" w:cs="Arial"/>
                <w:b w:val="0"/>
                <w:sz w:val="20"/>
                <w:szCs w:val="20"/>
                <w:lang w:val="es-ES_tradnl"/>
              </w:rPr>
            </w:pPr>
          </w:p>
          <w:p w14:paraId="0CBD6D55" w14:textId="28F99283" w:rsidR="00EF4061" w:rsidRPr="00A9234B" w:rsidRDefault="00DF2144"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00EF4061" w:rsidRPr="00A9234B">
              <w:rPr>
                <w:rFonts w:asciiTheme="majorHAnsi" w:hAnsiTheme="majorHAnsi" w:cs="Arial"/>
                <w:b w:val="0"/>
                <w:sz w:val="20"/>
                <w:szCs w:val="20"/>
                <w:lang w:val="es-ES_tradnl"/>
              </w:rPr>
              <w:t xml:space="preserve">: </w:t>
            </w:r>
            <w:r w:rsidR="00B77D3F" w:rsidRPr="00A9234B">
              <w:rPr>
                <w:rFonts w:asciiTheme="majorHAnsi" w:hAnsiTheme="majorHAnsi" w:cs="Arial"/>
                <w:b w:val="0"/>
                <w:sz w:val="20"/>
                <w:szCs w:val="20"/>
                <w:lang w:val="es-ES_tradnl"/>
              </w:rPr>
              <w:t xml:space="preserve">Informe general con productos derivados para grupos específicos (tales como Notas sobre políticas/Notas informativas), </w:t>
            </w:r>
            <w:r w:rsidR="00CA77C8" w:rsidRPr="00A9234B">
              <w:rPr>
                <w:rFonts w:asciiTheme="majorHAnsi" w:hAnsiTheme="majorHAnsi" w:cs="Arial"/>
                <w:b w:val="0"/>
                <w:sz w:val="20"/>
                <w:szCs w:val="20"/>
                <w:lang w:val="es-ES_tradnl"/>
              </w:rPr>
              <w:t>sujeto a la disponibilidad de recursos.</w:t>
            </w:r>
          </w:p>
          <w:p w14:paraId="5A1801DC" w14:textId="77777777" w:rsidR="00EF4061" w:rsidRPr="00A9234B" w:rsidRDefault="00EF4061" w:rsidP="00EF4061">
            <w:pPr>
              <w:rPr>
                <w:rFonts w:asciiTheme="majorHAnsi" w:hAnsiTheme="majorHAnsi" w:cs="Arial"/>
                <w:b w:val="0"/>
                <w:sz w:val="20"/>
                <w:szCs w:val="20"/>
                <w:lang w:val="es-ES_tradnl"/>
              </w:rPr>
            </w:pPr>
          </w:p>
          <w:p w14:paraId="660C46A9" w14:textId="1BA7907D" w:rsidR="00EF4061" w:rsidRPr="00A9234B" w:rsidRDefault="00DF2144" w:rsidP="00B77D3F">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00EF4061" w:rsidRPr="00A9234B">
              <w:rPr>
                <w:rFonts w:asciiTheme="majorHAnsi" w:hAnsiTheme="majorHAnsi" w:cs="Arial"/>
                <w:b w:val="0"/>
                <w:sz w:val="20"/>
                <w:szCs w:val="20"/>
                <w:lang w:val="es-ES_tradnl"/>
              </w:rPr>
              <w:t xml:space="preserve">: </w:t>
            </w:r>
            <w:r w:rsidR="005B4BA2" w:rsidRPr="00A9234B">
              <w:rPr>
                <w:rFonts w:asciiTheme="majorHAnsi" w:hAnsiTheme="majorHAnsi" w:cs="Arial"/>
                <w:b w:val="0"/>
                <w:sz w:val="20"/>
                <w:szCs w:val="20"/>
                <w:lang w:val="es-ES_tradnl"/>
              </w:rPr>
              <w:t xml:space="preserve">Responsables </w:t>
            </w:r>
            <w:r w:rsidR="0088725B" w:rsidRPr="00A9234B">
              <w:rPr>
                <w:rFonts w:asciiTheme="majorHAnsi" w:hAnsiTheme="majorHAnsi" w:cs="Arial"/>
                <w:b w:val="0"/>
                <w:sz w:val="20"/>
                <w:szCs w:val="20"/>
                <w:lang w:val="es-ES_tradnl"/>
              </w:rPr>
              <w:t>de políticas</w:t>
            </w:r>
            <w:r w:rsidR="00EF4061" w:rsidRPr="00A9234B">
              <w:rPr>
                <w:rFonts w:asciiTheme="majorHAnsi" w:hAnsiTheme="majorHAnsi" w:cs="Arial"/>
                <w:b w:val="0"/>
                <w:sz w:val="20"/>
                <w:szCs w:val="20"/>
                <w:lang w:val="es-ES_tradnl"/>
              </w:rPr>
              <w:t xml:space="preserve"> </w:t>
            </w:r>
            <w:r w:rsidR="00B77D3F" w:rsidRPr="00A9234B">
              <w:rPr>
                <w:rFonts w:asciiTheme="majorHAnsi" w:hAnsiTheme="majorHAnsi" w:cs="Arial"/>
                <w:b w:val="0"/>
                <w:sz w:val="20"/>
                <w:szCs w:val="20"/>
                <w:lang w:val="es-ES_tradnl"/>
              </w:rPr>
              <w:t>y</w:t>
            </w:r>
            <w:r w:rsidR="00EF4061" w:rsidRPr="00A9234B">
              <w:rPr>
                <w:rFonts w:asciiTheme="majorHAnsi" w:hAnsiTheme="majorHAnsi" w:cs="Arial"/>
                <w:b w:val="0"/>
                <w:sz w:val="20"/>
                <w:szCs w:val="20"/>
                <w:lang w:val="es-ES_tradnl"/>
              </w:rPr>
              <w:t xml:space="preserve"> </w:t>
            </w:r>
            <w:r w:rsidR="005B4BA2" w:rsidRPr="00A9234B">
              <w:rPr>
                <w:rFonts w:asciiTheme="majorHAnsi" w:hAnsiTheme="majorHAnsi" w:cs="Arial"/>
                <w:b w:val="0"/>
                <w:sz w:val="20"/>
                <w:szCs w:val="20"/>
                <w:lang w:val="es-ES_tradnl"/>
              </w:rPr>
              <w:t>profesionales</w:t>
            </w:r>
            <w:r w:rsidR="00EF4061" w:rsidRPr="00A9234B">
              <w:rPr>
                <w:rFonts w:asciiTheme="majorHAnsi" w:hAnsiTheme="majorHAnsi" w:cs="Arial"/>
                <w:b w:val="0"/>
                <w:sz w:val="20"/>
                <w:szCs w:val="20"/>
                <w:lang w:val="es-ES_tradnl"/>
              </w:rPr>
              <w:t xml:space="preserve"> (</w:t>
            </w:r>
            <w:r w:rsidR="00B77D3F" w:rsidRPr="00A9234B">
              <w:rPr>
                <w:rFonts w:asciiTheme="majorHAnsi" w:hAnsiTheme="majorHAnsi" w:cs="Arial"/>
                <w:b w:val="0"/>
                <w:sz w:val="20"/>
                <w:szCs w:val="20"/>
                <w:lang w:val="es-ES_tradnl"/>
              </w:rPr>
              <w:t xml:space="preserve">administradores de humedales e interesados </w:t>
            </w:r>
            <w:r w:rsidR="00B77D3F" w:rsidRPr="00A9234B">
              <w:rPr>
                <w:rFonts w:asciiTheme="majorHAnsi" w:hAnsiTheme="majorHAnsi" w:cs="Arial"/>
                <w:b w:val="0"/>
                <w:sz w:val="20"/>
                <w:szCs w:val="20"/>
                <w:lang w:val="es-ES_tradnl"/>
              </w:rPr>
              <w:lastRenderedPageBreak/>
              <w:t>directos, incluyendo los administradores de áreas protegidas y centros de educación sobre los humedales</w:t>
            </w:r>
            <w:r w:rsidR="00EF4061" w:rsidRPr="00A9234B">
              <w:rPr>
                <w:rFonts w:asciiTheme="majorHAnsi" w:hAnsiTheme="majorHAnsi" w:cs="Arial"/>
                <w:b w:val="0"/>
                <w:sz w:val="20"/>
                <w:szCs w:val="20"/>
                <w:lang w:val="es-ES_tradnl"/>
              </w:rPr>
              <w:t>)</w:t>
            </w:r>
          </w:p>
        </w:tc>
        <w:tc>
          <w:tcPr>
            <w:tcW w:w="944" w:type="pct"/>
          </w:tcPr>
          <w:p w14:paraId="7FFFB741" w14:textId="0E36A629"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137</w:t>
            </w:r>
            <w:r w:rsidR="00E144C6"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000 </w:t>
            </w:r>
          </w:p>
          <w:p w14:paraId="10262E1B" w14:textId="2E0E231F"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[67</w:t>
            </w:r>
            <w:r w:rsidR="00E144C6"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000 </w:t>
            </w:r>
            <w:r w:rsidR="00E144C6" w:rsidRPr="00A9234B">
              <w:rPr>
                <w:rFonts w:asciiTheme="majorHAnsi" w:hAnsiTheme="majorHAnsi" w:cs="Arial"/>
                <w:b w:val="0"/>
                <w:sz w:val="20"/>
                <w:szCs w:val="20"/>
                <w:lang w:val="es-ES_tradnl"/>
              </w:rPr>
              <w:t xml:space="preserve">para los costos de maquetación, diseño, revisión, traducción y publicación; </w:t>
            </w:r>
            <w:r w:rsidRPr="00A9234B">
              <w:rPr>
                <w:rFonts w:asciiTheme="majorHAnsi" w:hAnsiTheme="majorHAnsi" w:cs="Arial"/>
                <w:b w:val="0"/>
                <w:sz w:val="20"/>
                <w:szCs w:val="20"/>
                <w:lang w:val="es-ES_tradnl"/>
              </w:rPr>
              <w:t>20</w:t>
            </w:r>
            <w:r w:rsidR="00CA77C8"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000 </w:t>
            </w:r>
            <w:r w:rsidR="00CA77C8" w:rsidRPr="00A9234B">
              <w:rPr>
                <w:rFonts w:asciiTheme="majorHAnsi" w:hAnsiTheme="majorHAnsi" w:cs="Arial"/>
                <w:b w:val="0"/>
                <w:sz w:val="20"/>
                <w:szCs w:val="20"/>
                <w:lang w:val="es-ES_tradnl"/>
              </w:rPr>
              <w:t>para las reuniones entre autores; y</w:t>
            </w:r>
            <w:r w:rsidRPr="00A9234B">
              <w:rPr>
                <w:rFonts w:asciiTheme="majorHAnsi" w:hAnsiTheme="majorHAnsi" w:cs="Arial"/>
                <w:b w:val="0"/>
                <w:sz w:val="20"/>
                <w:szCs w:val="20"/>
                <w:lang w:val="es-ES_tradnl"/>
              </w:rPr>
              <w:t xml:space="preserve"> 50</w:t>
            </w:r>
            <w:r w:rsidR="00CA77C8"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000 </w:t>
            </w:r>
            <w:r w:rsidR="00CA77C8" w:rsidRPr="00A9234B">
              <w:rPr>
                <w:rFonts w:asciiTheme="majorHAnsi" w:hAnsiTheme="majorHAnsi" w:cs="Arial"/>
                <w:b w:val="0"/>
                <w:sz w:val="20"/>
                <w:szCs w:val="20"/>
                <w:lang w:val="es-ES_tradnl"/>
              </w:rPr>
              <w:t xml:space="preserve">para la actualización del Índice WET) </w:t>
            </w:r>
          </w:p>
          <w:p w14:paraId="23C36E18" w14:textId="77777777" w:rsidR="00EF4061" w:rsidRPr="00A9234B" w:rsidRDefault="00EF4061" w:rsidP="00EF4061">
            <w:pPr>
              <w:rPr>
                <w:rFonts w:asciiTheme="majorHAnsi" w:hAnsiTheme="majorHAnsi" w:cs="Arial"/>
                <w:b w:val="0"/>
                <w:sz w:val="20"/>
                <w:szCs w:val="20"/>
                <w:lang w:val="es-ES_tradnl"/>
              </w:rPr>
            </w:pPr>
          </w:p>
        </w:tc>
      </w:tr>
      <w:tr w:rsidR="00CA77C8" w:rsidRPr="00504EB0" w14:paraId="49C97AC7" w14:textId="77777777" w:rsidTr="00B6261E">
        <w:tc>
          <w:tcPr>
            <w:tcW w:w="1371" w:type="pct"/>
          </w:tcPr>
          <w:p w14:paraId="4BF1D2B0" w14:textId="6CE7BA56" w:rsidR="00EF4061" w:rsidRPr="00A9234B" w:rsidRDefault="00EF4061" w:rsidP="002C1D05">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Respond</w:t>
            </w:r>
            <w:r w:rsidR="002C1D05" w:rsidRPr="00A9234B">
              <w:rPr>
                <w:rFonts w:asciiTheme="majorHAnsi" w:hAnsiTheme="majorHAnsi" w:cs="Arial"/>
                <w:b w:val="0"/>
                <w:sz w:val="20"/>
                <w:szCs w:val="20"/>
                <w:lang w:val="es-ES_tradnl"/>
              </w:rPr>
              <w:t>er a la</w:t>
            </w:r>
            <w:r w:rsidR="00B71650" w:rsidRPr="00A9234B">
              <w:rPr>
                <w:rFonts w:asciiTheme="majorHAnsi" w:hAnsiTheme="majorHAnsi" w:cs="Arial"/>
                <w:b w:val="0"/>
                <w:sz w:val="20"/>
                <w:szCs w:val="20"/>
                <w:lang w:val="es-ES_tradnl"/>
              </w:rPr>
              <w:t xml:space="preserve">s peticiones de asesoramiento o </w:t>
            </w:r>
            <w:r w:rsidR="000F2D09" w:rsidRPr="00A9234B">
              <w:rPr>
                <w:rFonts w:asciiTheme="majorHAnsi" w:hAnsiTheme="majorHAnsi" w:cs="Arial"/>
                <w:b w:val="0"/>
                <w:sz w:val="20"/>
                <w:szCs w:val="20"/>
                <w:lang w:val="es-ES_tradnl"/>
              </w:rPr>
              <w:t xml:space="preserve">de </w:t>
            </w:r>
            <w:r w:rsidR="002C1D05" w:rsidRPr="00A9234B">
              <w:rPr>
                <w:rFonts w:asciiTheme="majorHAnsi" w:hAnsiTheme="majorHAnsi" w:cs="Arial"/>
                <w:b w:val="0"/>
                <w:sz w:val="20"/>
                <w:szCs w:val="20"/>
                <w:lang w:val="es-ES_tradnl"/>
              </w:rPr>
              <w:t xml:space="preserve">contribuciones </w:t>
            </w:r>
            <w:r w:rsidR="00B60E89" w:rsidRPr="00A9234B">
              <w:rPr>
                <w:rFonts w:asciiTheme="majorHAnsi" w:hAnsiTheme="majorHAnsi" w:cs="Arial"/>
                <w:b w:val="0"/>
                <w:sz w:val="20"/>
                <w:szCs w:val="20"/>
                <w:lang w:val="es-ES_tradnl"/>
              </w:rPr>
              <w:t xml:space="preserve">recibidas </w:t>
            </w:r>
            <w:r w:rsidR="002C1D05" w:rsidRPr="00A9234B">
              <w:rPr>
                <w:rFonts w:asciiTheme="majorHAnsi" w:hAnsiTheme="majorHAnsi" w:cs="Arial"/>
                <w:b w:val="0"/>
                <w:sz w:val="20"/>
                <w:szCs w:val="20"/>
                <w:lang w:val="es-ES_tradnl"/>
              </w:rPr>
              <w:t xml:space="preserve">de la Secretaría y del Comité Permanente </w:t>
            </w:r>
          </w:p>
        </w:tc>
        <w:tc>
          <w:tcPr>
            <w:tcW w:w="359" w:type="pct"/>
          </w:tcPr>
          <w:p w14:paraId="172C7A90" w14:textId="600308E2"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 ¶¶ 1-2</w:t>
            </w:r>
            <w:r w:rsidR="00B75A04" w:rsidRPr="00A9234B">
              <w:rPr>
                <w:rFonts w:asciiTheme="majorHAnsi" w:hAnsiTheme="majorHAnsi" w:cs="Arial"/>
                <w:b w:val="0"/>
                <w:sz w:val="20"/>
                <w:szCs w:val="20"/>
                <w:lang w:val="es-ES_tradnl"/>
              </w:rPr>
              <w:t>; 12 (iii), (v); 15</w:t>
            </w:r>
          </w:p>
        </w:tc>
        <w:tc>
          <w:tcPr>
            <w:tcW w:w="475" w:type="pct"/>
          </w:tcPr>
          <w:p w14:paraId="2066AAE0"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4.14</w:t>
            </w:r>
          </w:p>
        </w:tc>
        <w:tc>
          <w:tcPr>
            <w:tcW w:w="1851" w:type="pct"/>
          </w:tcPr>
          <w:p w14:paraId="1DB60E92" w14:textId="208F4BE9" w:rsidR="00EF4061" w:rsidRPr="00A9234B" w:rsidRDefault="00B969AE" w:rsidP="006E601A">
            <w:pPr>
              <w:rPr>
                <w:rFonts w:asciiTheme="majorHAnsi" w:hAnsiTheme="majorHAnsi" w:cs="Arial"/>
                <w:sz w:val="20"/>
                <w:szCs w:val="20"/>
                <w:lang w:val="es-ES_tradnl"/>
              </w:rPr>
            </w:pPr>
            <w:r w:rsidRPr="00A9234B">
              <w:rPr>
                <w:rFonts w:asciiTheme="majorHAnsi" w:hAnsiTheme="majorHAnsi" w:cs="Arial"/>
                <w:b w:val="0"/>
                <w:sz w:val="20"/>
                <w:szCs w:val="20"/>
                <w:lang w:val="es-ES_tradnl"/>
              </w:rPr>
              <w:t>Se incluye</w:t>
            </w:r>
            <w:r w:rsidR="00EF4061" w:rsidRPr="00A9234B">
              <w:rPr>
                <w:rFonts w:asciiTheme="majorHAnsi" w:hAnsiTheme="majorHAnsi" w:cs="Arial"/>
                <w:b w:val="0"/>
                <w:sz w:val="20"/>
                <w:szCs w:val="20"/>
                <w:lang w:val="es-ES_tradnl"/>
              </w:rPr>
              <w:t xml:space="preserve">, inter alia, </w:t>
            </w:r>
            <w:r w:rsidR="002C1D05" w:rsidRPr="00A9234B">
              <w:rPr>
                <w:rFonts w:asciiTheme="majorHAnsi" w:hAnsiTheme="majorHAnsi" w:cs="Arial"/>
                <w:b w:val="0"/>
                <w:sz w:val="20"/>
                <w:szCs w:val="20"/>
                <w:lang w:val="es-ES_tradnl"/>
              </w:rPr>
              <w:t>asesoramiento a la Secretaría sobre el Programa de CECoP, los indicadores del Cuarto Plan Estratégico, la revisión de los Manuales</w:t>
            </w:r>
            <w:r w:rsidR="00B60E89" w:rsidRPr="00A9234B">
              <w:rPr>
                <w:rFonts w:asciiTheme="majorHAnsi" w:hAnsiTheme="majorHAnsi" w:cs="Arial"/>
                <w:b w:val="0"/>
                <w:sz w:val="20"/>
                <w:szCs w:val="20"/>
                <w:lang w:val="es-ES_tradnl"/>
              </w:rPr>
              <w:t xml:space="preserve"> de Ramsar,</w:t>
            </w:r>
            <w:r w:rsidR="00F84786"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 xml:space="preserve">participación en el desarrollo del Sistema Mundial de Observación de Humedales (SMOH), colaboración con </w:t>
            </w:r>
            <w:r w:rsidR="00875044" w:rsidRPr="00A9234B">
              <w:rPr>
                <w:rFonts w:asciiTheme="majorHAnsi" w:hAnsiTheme="majorHAnsi" w:cs="Arial"/>
                <w:b w:val="0"/>
                <w:sz w:val="20"/>
                <w:szCs w:val="20"/>
                <w:lang w:val="es-ES_tradnl"/>
              </w:rPr>
              <w:t>la Asociación para el Medio Ambiente y Reducció</w:t>
            </w:r>
            <w:r w:rsidR="00B24BA3" w:rsidRPr="00A9234B">
              <w:rPr>
                <w:rFonts w:asciiTheme="majorHAnsi" w:hAnsiTheme="majorHAnsi" w:cs="Arial"/>
                <w:b w:val="0"/>
                <w:sz w:val="20"/>
                <w:szCs w:val="20"/>
                <w:lang w:val="es-ES_tradnl"/>
              </w:rPr>
              <w:t xml:space="preserve">n del Riesgo de Desastres </w:t>
            </w:r>
            <w:r w:rsidR="00EF4061" w:rsidRPr="00A9234B">
              <w:rPr>
                <w:rFonts w:asciiTheme="majorHAnsi" w:hAnsiTheme="majorHAnsi" w:cs="Arial"/>
                <w:b w:val="0"/>
                <w:sz w:val="20"/>
                <w:szCs w:val="20"/>
                <w:lang w:val="es-ES_tradnl"/>
              </w:rPr>
              <w:t>(PEDRR)</w:t>
            </w:r>
            <w:r w:rsidR="006E601A" w:rsidRPr="00A9234B">
              <w:rPr>
                <w:rFonts w:asciiTheme="majorHAnsi" w:hAnsiTheme="majorHAnsi" w:cs="Arial"/>
                <w:b w:val="0"/>
                <w:sz w:val="20"/>
                <w:szCs w:val="20"/>
                <w:lang w:val="es-ES_tradnl"/>
              </w:rPr>
              <w:t>,en</w:t>
            </w:r>
            <w:r w:rsidRPr="00A9234B">
              <w:rPr>
                <w:rFonts w:asciiTheme="majorHAnsi" w:hAnsiTheme="majorHAnsi" w:cs="Arial"/>
                <w:b w:val="0"/>
                <w:sz w:val="20"/>
                <w:szCs w:val="20"/>
                <w:lang w:val="es-ES_tradnl"/>
              </w:rPr>
              <w:t xml:space="preserve"> </w:t>
            </w:r>
            <w:r w:rsidR="00875044" w:rsidRPr="00A9234B">
              <w:rPr>
                <w:rFonts w:asciiTheme="majorHAnsi" w:hAnsiTheme="majorHAnsi" w:cs="Arial"/>
                <w:b w:val="0"/>
                <w:sz w:val="20"/>
                <w:szCs w:val="20"/>
                <w:lang w:val="es-ES_tradnl"/>
              </w:rPr>
              <w:t xml:space="preserve">la </w:t>
            </w:r>
            <w:r w:rsidRPr="00A9234B">
              <w:rPr>
                <w:rFonts w:asciiTheme="majorHAnsi" w:hAnsiTheme="majorHAnsi" w:cs="Arial"/>
                <w:b w:val="0"/>
                <w:sz w:val="20"/>
                <w:szCs w:val="20"/>
                <w:lang w:val="es-ES_tradnl"/>
              </w:rPr>
              <w:t xml:space="preserve">simplificación y nueva presentación de las orientaciones sobre el manejo de sitios Ramsar a fin de producir un manual simplificado, etc. </w:t>
            </w:r>
          </w:p>
        </w:tc>
        <w:tc>
          <w:tcPr>
            <w:tcW w:w="944" w:type="pct"/>
          </w:tcPr>
          <w:p w14:paraId="6C59BD8B" w14:textId="4040A73A" w:rsidR="00EF4061" w:rsidRPr="00A9234B" w:rsidRDefault="00EF4061" w:rsidP="003E038E">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No </w:t>
            </w:r>
            <w:r w:rsidR="00873C91" w:rsidRPr="00A9234B">
              <w:rPr>
                <w:rFonts w:asciiTheme="majorHAnsi" w:hAnsiTheme="majorHAnsi" w:cs="Arial"/>
                <w:b w:val="0"/>
                <w:sz w:val="20"/>
                <w:szCs w:val="20"/>
                <w:lang w:val="es-ES_tradnl"/>
              </w:rPr>
              <w:t xml:space="preserve">implica costo alguno para el presupuesto del GECT. </w:t>
            </w:r>
            <w:r w:rsidR="003E038E" w:rsidRPr="00A9234B">
              <w:rPr>
                <w:rFonts w:asciiTheme="majorHAnsi" w:eastAsia="Calibri" w:hAnsiTheme="majorHAnsi" w:cs="Calibri"/>
                <w:b w:val="0"/>
                <w:sz w:val="20"/>
                <w:szCs w:val="20"/>
                <w:lang w:val="es-ES_tradnl"/>
              </w:rPr>
              <w:t xml:space="preserve">El asesoramiento se proporciona de forma voluntaria. </w:t>
            </w:r>
          </w:p>
        </w:tc>
      </w:tr>
      <w:tr w:rsidR="00CA77C8" w:rsidRPr="00504EB0" w14:paraId="4998503E" w14:textId="77777777" w:rsidTr="00B6261E">
        <w:tc>
          <w:tcPr>
            <w:tcW w:w="1371" w:type="pct"/>
          </w:tcPr>
          <w:p w14:paraId="5177F2BE" w14:textId="65C2234B" w:rsidR="00EF4061" w:rsidRPr="00A9234B" w:rsidRDefault="00B60E89"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Redactar</w:t>
            </w:r>
            <w:r w:rsidR="00371F36"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 o aportar contribuciones a</w:t>
            </w:r>
            <w:r w:rsidR="00371F36"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 proyectos de Resolución </w:t>
            </w:r>
          </w:p>
          <w:p w14:paraId="01A843AF" w14:textId="77777777" w:rsidR="00EF4061" w:rsidRPr="00A9234B" w:rsidRDefault="00EF4061" w:rsidP="00EF4061">
            <w:pPr>
              <w:rPr>
                <w:rFonts w:asciiTheme="majorHAnsi" w:hAnsiTheme="majorHAnsi" w:cs="Arial"/>
                <w:b w:val="0"/>
                <w:sz w:val="20"/>
                <w:szCs w:val="20"/>
                <w:lang w:val="es-ES_tradnl"/>
              </w:rPr>
            </w:pPr>
          </w:p>
        </w:tc>
        <w:tc>
          <w:tcPr>
            <w:tcW w:w="359" w:type="pct"/>
          </w:tcPr>
          <w:p w14:paraId="2F395031" w14:textId="052069BF"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 ¶¶ 1-2</w:t>
            </w:r>
            <w:r w:rsidR="00B75A04" w:rsidRPr="00A9234B">
              <w:rPr>
                <w:rFonts w:asciiTheme="majorHAnsi" w:hAnsiTheme="majorHAnsi" w:cs="Arial"/>
                <w:b w:val="0"/>
                <w:sz w:val="20"/>
                <w:szCs w:val="20"/>
                <w:lang w:val="es-ES_tradnl"/>
              </w:rPr>
              <w:t>, 12 (iii)</w:t>
            </w:r>
          </w:p>
        </w:tc>
        <w:tc>
          <w:tcPr>
            <w:tcW w:w="475" w:type="pct"/>
          </w:tcPr>
          <w:p w14:paraId="44C62372" w14:textId="77777777"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4.14</w:t>
            </w:r>
          </w:p>
        </w:tc>
        <w:tc>
          <w:tcPr>
            <w:tcW w:w="1851" w:type="pct"/>
          </w:tcPr>
          <w:p w14:paraId="004AA1E0" w14:textId="61D7361A" w:rsidR="00EF4061" w:rsidRPr="00A9234B" w:rsidRDefault="00B969AE" w:rsidP="00B60E89">
            <w:pPr>
              <w:rPr>
                <w:rFonts w:asciiTheme="majorHAnsi" w:hAnsiTheme="majorHAnsi" w:cs="Arial"/>
                <w:sz w:val="20"/>
                <w:szCs w:val="20"/>
                <w:lang w:val="es-ES_tradnl"/>
              </w:rPr>
            </w:pPr>
            <w:r w:rsidRPr="00A9234B">
              <w:rPr>
                <w:rFonts w:asciiTheme="majorHAnsi" w:hAnsiTheme="majorHAnsi" w:cs="Arial"/>
                <w:b w:val="0"/>
                <w:sz w:val="20"/>
                <w:szCs w:val="20"/>
                <w:lang w:val="es-ES_tradnl"/>
              </w:rPr>
              <w:t>A petición</w:t>
            </w:r>
            <w:r w:rsidR="00B60E89" w:rsidRPr="00A9234B">
              <w:rPr>
                <w:rFonts w:asciiTheme="majorHAnsi" w:hAnsiTheme="majorHAnsi" w:cs="Arial"/>
                <w:b w:val="0"/>
                <w:sz w:val="20"/>
                <w:szCs w:val="20"/>
                <w:lang w:val="es-ES_tradnl"/>
              </w:rPr>
              <w:t xml:space="preserve"> de las Partes Contratantes, el GECT puede redactar un proyecto de Resolución o hacer </w:t>
            </w:r>
            <w:r w:rsidR="00371F36" w:rsidRPr="00A9234B">
              <w:rPr>
                <w:rFonts w:asciiTheme="majorHAnsi" w:hAnsiTheme="majorHAnsi" w:cs="Arial"/>
                <w:b w:val="0"/>
                <w:sz w:val="20"/>
                <w:szCs w:val="20"/>
                <w:lang w:val="es-ES_tradnl"/>
              </w:rPr>
              <w:t>contribuciones a los proyect</w:t>
            </w:r>
            <w:r w:rsidR="00B60E89" w:rsidRPr="00A9234B">
              <w:rPr>
                <w:rFonts w:asciiTheme="majorHAnsi" w:hAnsiTheme="majorHAnsi" w:cs="Arial"/>
                <w:b w:val="0"/>
                <w:sz w:val="20"/>
                <w:szCs w:val="20"/>
                <w:lang w:val="es-ES_tradnl"/>
              </w:rPr>
              <w:t xml:space="preserve">os de Resolución presentados por las Partes Contratantes a la Conferencia de las Partes. </w:t>
            </w:r>
          </w:p>
        </w:tc>
        <w:tc>
          <w:tcPr>
            <w:tcW w:w="944" w:type="pct"/>
          </w:tcPr>
          <w:p w14:paraId="4A30B4E3" w14:textId="0D544FE7" w:rsidR="00EF4061" w:rsidRPr="00A9234B" w:rsidRDefault="000F2D09"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r w:rsidR="00CA77C8" w:rsidRPr="00504EB0" w14:paraId="6928FCD5" w14:textId="77777777" w:rsidTr="00B6261E">
        <w:tc>
          <w:tcPr>
            <w:tcW w:w="1371" w:type="pct"/>
          </w:tcPr>
          <w:p w14:paraId="734B3256" w14:textId="348546B0" w:rsidR="00EF4061" w:rsidRPr="00A9234B" w:rsidRDefault="003E038E" w:rsidP="00371F36">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Responder a</w:t>
            </w:r>
            <w:r w:rsidR="0088725B" w:rsidRPr="00A9234B">
              <w:rPr>
                <w:rFonts w:asciiTheme="majorHAnsi" w:hAnsiTheme="majorHAnsi" w:cs="Arial"/>
                <w:b w:val="0"/>
                <w:sz w:val="20"/>
                <w:szCs w:val="20"/>
                <w:lang w:val="es-ES_tradnl"/>
              </w:rPr>
              <w:t xml:space="preserve"> </w:t>
            </w:r>
            <w:r w:rsidR="00371F36" w:rsidRPr="00A9234B">
              <w:rPr>
                <w:rFonts w:asciiTheme="majorHAnsi" w:hAnsiTheme="majorHAnsi" w:cs="Arial"/>
                <w:b w:val="0"/>
                <w:sz w:val="20"/>
                <w:szCs w:val="20"/>
                <w:lang w:val="es-ES_tradnl"/>
              </w:rPr>
              <w:t>las peticiones nacionales o regionales pertinentes de asesoramiento formuladas por las Partes Contratantes</w:t>
            </w:r>
          </w:p>
        </w:tc>
        <w:tc>
          <w:tcPr>
            <w:tcW w:w="359" w:type="pct"/>
          </w:tcPr>
          <w:p w14:paraId="26D708F3" w14:textId="687092A4"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00C41FC4" w:rsidRPr="00A9234B">
              <w:rPr>
                <w:rFonts w:asciiTheme="majorHAnsi" w:hAnsiTheme="majorHAnsi" w:cs="Arial"/>
                <w:b w:val="0"/>
                <w:sz w:val="20"/>
                <w:szCs w:val="20"/>
                <w:lang w:val="es-ES_tradnl"/>
              </w:rPr>
              <w:t xml:space="preserve"> 1, </w:t>
            </w:r>
            <w:r w:rsidRPr="00A9234B">
              <w:rPr>
                <w:rFonts w:asciiTheme="majorHAnsi" w:hAnsiTheme="majorHAnsi" w:cs="Arial"/>
                <w:b w:val="0"/>
                <w:sz w:val="20"/>
                <w:szCs w:val="20"/>
                <w:lang w:val="es-ES_tradnl"/>
              </w:rPr>
              <w:t>¶¶ 2</w:t>
            </w:r>
            <w:r w:rsidR="00B75A04" w:rsidRPr="00A9234B">
              <w:rPr>
                <w:rFonts w:asciiTheme="majorHAnsi" w:hAnsiTheme="majorHAnsi" w:cs="Arial"/>
                <w:b w:val="0"/>
                <w:sz w:val="20"/>
                <w:szCs w:val="20"/>
                <w:lang w:val="es-ES_tradnl"/>
              </w:rPr>
              <w:t>, 59</w:t>
            </w:r>
          </w:p>
        </w:tc>
        <w:tc>
          <w:tcPr>
            <w:tcW w:w="475" w:type="pct"/>
          </w:tcPr>
          <w:p w14:paraId="227F27EC" w14:textId="77777777"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4.14</w:t>
            </w:r>
          </w:p>
        </w:tc>
        <w:tc>
          <w:tcPr>
            <w:tcW w:w="1851" w:type="pct"/>
          </w:tcPr>
          <w:p w14:paraId="032B53D1" w14:textId="06AF31CA" w:rsidR="00EF4061" w:rsidRPr="00A9234B" w:rsidRDefault="00B60E89" w:rsidP="00B60E89">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El GECT puede proporcionar asesoramiento, según proceda, a las Partes Contratantes que </w:t>
            </w:r>
            <w:r w:rsidR="00371F36" w:rsidRPr="00A9234B">
              <w:rPr>
                <w:rFonts w:asciiTheme="majorHAnsi" w:hAnsiTheme="majorHAnsi" w:cs="Arial"/>
                <w:b w:val="0"/>
                <w:sz w:val="20"/>
                <w:szCs w:val="20"/>
                <w:lang w:val="es-ES_tradnl"/>
              </w:rPr>
              <w:t>así lo soli</w:t>
            </w:r>
            <w:r w:rsidRPr="00A9234B">
              <w:rPr>
                <w:rFonts w:asciiTheme="majorHAnsi" w:hAnsiTheme="majorHAnsi" w:cs="Arial"/>
                <w:b w:val="0"/>
                <w:sz w:val="20"/>
                <w:szCs w:val="20"/>
                <w:lang w:val="es-ES_tradnl"/>
              </w:rPr>
              <w:t xml:space="preserve">citen. </w:t>
            </w:r>
          </w:p>
        </w:tc>
        <w:tc>
          <w:tcPr>
            <w:tcW w:w="944" w:type="pct"/>
          </w:tcPr>
          <w:p w14:paraId="303B2C8D" w14:textId="29DCD116" w:rsidR="00EF4061" w:rsidRPr="00A9234B" w:rsidRDefault="000F2D09"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r w:rsidR="00CA77C8" w:rsidRPr="00504EB0" w14:paraId="6423D437" w14:textId="77777777" w:rsidTr="00B6261E">
        <w:tc>
          <w:tcPr>
            <w:tcW w:w="1371" w:type="pct"/>
          </w:tcPr>
          <w:p w14:paraId="78F5AA50" w14:textId="28ECA53E" w:rsidR="00EF4061" w:rsidRPr="00A9234B" w:rsidRDefault="003E038E"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Misiones Ramsar de Asesoramiento </w:t>
            </w:r>
          </w:p>
        </w:tc>
        <w:tc>
          <w:tcPr>
            <w:tcW w:w="359" w:type="pct"/>
          </w:tcPr>
          <w:p w14:paraId="0393AAF7" w14:textId="149F210A"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 ¶¶ 1-2</w:t>
            </w:r>
            <w:r w:rsidR="00B75A04" w:rsidRPr="00A9234B">
              <w:rPr>
                <w:rFonts w:asciiTheme="majorHAnsi" w:hAnsiTheme="majorHAnsi" w:cs="Arial"/>
                <w:b w:val="0"/>
                <w:sz w:val="20"/>
                <w:szCs w:val="20"/>
                <w:lang w:val="es-ES_tradnl"/>
              </w:rPr>
              <w:t xml:space="preserve">, 12 </w:t>
            </w:r>
          </w:p>
        </w:tc>
        <w:tc>
          <w:tcPr>
            <w:tcW w:w="475" w:type="pct"/>
          </w:tcPr>
          <w:p w14:paraId="5312686C" w14:textId="77777777"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2.5, 2.7, 4.14</w:t>
            </w:r>
          </w:p>
        </w:tc>
        <w:tc>
          <w:tcPr>
            <w:tcW w:w="1851" w:type="pct"/>
          </w:tcPr>
          <w:p w14:paraId="043CD4E6" w14:textId="203F18C2" w:rsidR="00EF4061" w:rsidRPr="00A9234B" w:rsidRDefault="00371F36" w:rsidP="00B60E89">
            <w:pPr>
              <w:rPr>
                <w:rFonts w:asciiTheme="majorHAnsi" w:hAnsiTheme="majorHAnsi" w:cs="Arial"/>
                <w:sz w:val="20"/>
                <w:szCs w:val="20"/>
                <w:lang w:val="es-ES_tradnl"/>
              </w:rPr>
            </w:pPr>
            <w:r w:rsidRPr="00A9234B">
              <w:rPr>
                <w:rFonts w:asciiTheme="majorHAnsi" w:hAnsiTheme="majorHAnsi" w:cs="Arial"/>
                <w:b w:val="0"/>
                <w:sz w:val="20"/>
                <w:szCs w:val="20"/>
                <w:lang w:val="es-ES_tradnl"/>
              </w:rPr>
              <w:t>Los e</w:t>
            </w:r>
            <w:r w:rsidR="00B60E89" w:rsidRPr="00A9234B">
              <w:rPr>
                <w:rFonts w:asciiTheme="majorHAnsi" w:hAnsiTheme="majorHAnsi" w:cs="Arial"/>
                <w:b w:val="0"/>
                <w:sz w:val="20"/>
                <w:szCs w:val="20"/>
                <w:lang w:val="es-ES_tradnl"/>
              </w:rPr>
              <w:t>xpertos del GECT pueden participar en las Misiones Ramsar de Asesoramiento, cuando así se les solicite y haya fondos disponibles del pres</w:t>
            </w:r>
            <w:r w:rsidRPr="00A9234B">
              <w:rPr>
                <w:rFonts w:asciiTheme="majorHAnsi" w:hAnsiTheme="majorHAnsi" w:cs="Arial"/>
                <w:b w:val="0"/>
                <w:sz w:val="20"/>
                <w:szCs w:val="20"/>
                <w:lang w:val="es-ES_tradnl"/>
              </w:rPr>
              <w:t>upuesto de la Secretaría para cu</w:t>
            </w:r>
            <w:r w:rsidR="00B60E89" w:rsidRPr="00A9234B">
              <w:rPr>
                <w:rFonts w:asciiTheme="majorHAnsi" w:hAnsiTheme="majorHAnsi" w:cs="Arial"/>
                <w:b w:val="0"/>
                <w:sz w:val="20"/>
                <w:szCs w:val="20"/>
                <w:lang w:val="es-ES_tradnl"/>
              </w:rPr>
              <w:t xml:space="preserve">brir los costos del viaje. </w:t>
            </w:r>
          </w:p>
        </w:tc>
        <w:tc>
          <w:tcPr>
            <w:tcW w:w="944" w:type="pct"/>
          </w:tcPr>
          <w:p w14:paraId="2CC030FB" w14:textId="273B5DD0" w:rsidR="00EF4061" w:rsidRPr="00A9234B" w:rsidRDefault="000F2D09"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r w:rsidR="00CA77C8" w:rsidRPr="00504EB0" w14:paraId="3FCF1110" w14:textId="77777777" w:rsidTr="00B6261E">
        <w:tc>
          <w:tcPr>
            <w:tcW w:w="1371" w:type="pct"/>
          </w:tcPr>
          <w:p w14:paraId="4D912350" w14:textId="12767053" w:rsidR="00EF4061" w:rsidRPr="00A9234B" w:rsidRDefault="00B60E89" w:rsidP="00A971D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Exclusión de sitios </w:t>
            </w:r>
            <w:r w:rsidR="00A971DD" w:rsidRPr="00A9234B">
              <w:rPr>
                <w:rFonts w:asciiTheme="majorHAnsi" w:hAnsiTheme="majorHAnsi" w:cs="Arial"/>
                <w:b w:val="0"/>
                <w:sz w:val="20"/>
                <w:szCs w:val="20"/>
                <w:lang w:val="es-ES_tradnl"/>
              </w:rPr>
              <w:t xml:space="preserve">Ramsar del Registro de Montreux </w:t>
            </w:r>
          </w:p>
        </w:tc>
        <w:tc>
          <w:tcPr>
            <w:tcW w:w="359" w:type="pct"/>
          </w:tcPr>
          <w:p w14:paraId="54048C07" w14:textId="58415B03"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 ¶¶ 1- 2</w:t>
            </w:r>
            <w:r w:rsidR="00B75A04" w:rsidRPr="00A9234B">
              <w:rPr>
                <w:rFonts w:asciiTheme="majorHAnsi" w:hAnsiTheme="majorHAnsi" w:cs="Arial"/>
                <w:b w:val="0"/>
                <w:sz w:val="20"/>
                <w:szCs w:val="20"/>
                <w:lang w:val="es-ES_tradnl"/>
              </w:rPr>
              <w:t>, 12 (v), 15, 38</w:t>
            </w:r>
          </w:p>
        </w:tc>
        <w:tc>
          <w:tcPr>
            <w:tcW w:w="475" w:type="pct"/>
          </w:tcPr>
          <w:p w14:paraId="4D7CCBD3" w14:textId="77777777"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2.5, 2.7, 4.14</w:t>
            </w:r>
          </w:p>
        </w:tc>
        <w:tc>
          <w:tcPr>
            <w:tcW w:w="1851" w:type="pct"/>
          </w:tcPr>
          <w:p w14:paraId="47A42AFA" w14:textId="25D51466" w:rsidR="00EF4061" w:rsidRPr="00A9234B" w:rsidRDefault="00A971DD" w:rsidP="00A971DD">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El GECT puede responder a peticiones recibidas de las Partes Contratantes, </w:t>
            </w:r>
            <w:r w:rsidR="00CC3A91" w:rsidRPr="00A9234B">
              <w:rPr>
                <w:rFonts w:asciiTheme="majorHAnsi" w:hAnsiTheme="majorHAnsi" w:cs="Arial"/>
                <w:b w:val="0"/>
                <w:sz w:val="20"/>
                <w:szCs w:val="20"/>
                <w:lang w:val="es-ES_tradnl"/>
              </w:rPr>
              <w:t>según</w:t>
            </w:r>
            <w:r w:rsidRPr="00A9234B">
              <w:rPr>
                <w:rFonts w:asciiTheme="majorHAnsi" w:hAnsiTheme="majorHAnsi" w:cs="Arial"/>
                <w:b w:val="0"/>
                <w:sz w:val="20"/>
                <w:szCs w:val="20"/>
                <w:lang w:val="es-ES_tradnl"/>
              </w:rPr>
              <w:t xml:space="preserve"> proceda, en relación con la exclusión de sitios Ramsar del Registro de Montreux.</w:t>
            </w:r>
            <w:r w:rsidR="0088725B" w:rsidRPr="00A9234B">
              <w:rPr>
                <w:rFonts w:asciiTheme="majorHAnsi" w:hAnsiTheme="majorHAnsi" w:cs="Arial"/>
                <w:b w:val="0"/>
                <w:sz w:val="20"/>
                <w:szCs w:val="20"/>
                <w:lang w:val="es-ES_tradnl"/>
              </w:rPr>
              <w:t xml:space="preserve"> </w:t>
            </w:r>
          </w:p>
        </w:tc>
        <w:tc>
          <w:tcPr>
            <w:tcW w:w="944" w:type="pct"/>
          </w:tcPr>
          <w:p w14:paraId="0011A40C" w14:textId="0681DE14" w:rsidR="00EF4061" w:rsidRPr="00A9234B" w:rsidRDefault="000F2D09"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r w:rsidR="00CA77C8" w:rsidRPr="00504EB0" w14:paraId="69B12FA9" w14:textId="77777777" w:rsidTr="00B6261E">
        <w:tc>
          <w:tcPr>
            <w:tcW w:w="1371" w:type="pct"/>
          </w:tcPr>
          <w:p w14:paraId="05CE6F34" w14:textId="2FA57E41" w:rsidR="00EF4061" w:rsidRPr="00A9234B" w:rsidRDefault="00A971DD" w:rsidP="00A971DD">
            <w:pPr>
              <w:rPr>
                <w:rFonts w:asciiTheme="majorHAnsi" w:hAnsiTheme="majorHAnsi" w:cs="Arial"/>
                <w:sz w:val="22"/>
                <w:szCs w:val="22"/>
                <w:lang w:val="es-ES_tradnl"/>
              </w:rPr>
            </w:pPr>
            <w:r w:rsidRPr="00A9234B">
              <w:rPr>
                <w:rFonts w:asciiTheme="majorHAnsi" w:hAnsiTheme="majorHAnsi" w:cs="Arial"/>
                <w:b w:val="0"/>
                <w:sz w:val="20"/>
                <w:szCs w:val="20"/>
                <w:lang w:val="es-ES_tradnl"/>
              </w:rPr>
              <w:t>Comité Asesor Independiente para la Acreditación de Ciudad de Humedal Ramsar</w:t>
            </w:r>
          </w:p>
        </w:tc>
        <w:tc>
          <w:tcPr>
            <w:tcW w:w="359" w:type="pct"/>
          </w:tcPr>
          <w:p w14:paraId="5B8CDD94" w14:textId="5AE33314" w:rsidR="00EF4061" w:rsidRPr="00A9234B" w:rsidRDefault="00EF4061"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 xml:space="preserve">Res. XII.10,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 16 (e)</w:t>
            </w:r>
          </w:p>
        </w:tc>
        <w:tc>
          <w:tcPr>
            <w:tcW w:w="475" w:type="pct"/>
          </w:tcPr>
          <w:p w14:paraId="461D5FBD" w14:textId="77777777" w:rsidR="00EF4061" w:rsidRPr="00A9234B" w:rsidRDefault="00EF4061"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3.11, 4.14, 4.16</w:t>
            </w:r>
          </w:p>
        </w:tc>
        <w:tc>
          <w:tcPr>
            <w:tcW w:w="1851" w:type="pct"/>
          </w:tcPr>
          <w:p w14:paraId="6FEEC1DB" w14:textId="2CBD3F97" w:rsidR="00EF4061" w:rsidRPr="00A9234B" w:rsidRDefault="00A971DD"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Un experto del GECT servirá como miembro del Comité Asesor Independiente para la Acreditación de Ciudad de Humedal Ramsar</w:t>
            </w:r>
          </w:p>
        </w:tc>
        <w:tc>
          <w:tcPr>
            <w:tcW w:w="944" w:type="pct"/>
          </w:tcPr>
          <w:p w14:paraId="358FD37D" w14:textId="61EFD0A9" w:rsidR="00EF4061" w:rsidRPr="00A9234B" w:rsidRDefault="000F2D09"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r w:rsidR="00CA77C8" w:rsidRPr="00504EB0" w14:paraId="086F9CC3" w14:textId="77777777" w:rsidTr="00B6261E">
        <w:tc>
          <w:tcPr>
            <w:tcW w:w="1371" w:type="pct"/>
          </w:tcPr>
          <w:p w14:paraId="4D7E4AA6" w14:textId="1012F773" w:rsidR="00EF4061" w:rsidRPr="00A9234B" w:rsidRDefault="00EF4061" w:rsidP="00A971DD">
            <w:pPr>
              <w:rPr>
                <w:rFonts w:asciiTheme="majorHAnsi" w:hAnsiTheme="majorHAnsi" w:cs="Arial"/>
                <w:sz w:val="20"/>
                <w:szCs w:val="20"/>
                <w:lang w:val="es-ES_tradnl"/>
              </w:rPr>
            </w:pPr>
            <w:r w:rsidRPr="00A9234B">
              <w:rPr>
                <w:rFonts w:asciiTheme="majorHAnsi" w:hAnsiTheme="majorHAnsi" w:cs="Arial"/>
                <w:b w:val="0"/>
                <w:sz w:val="20"/>
                <w:szCs w:val="20"/>
                <w:lang w:val="es-ES_tradnl"/>
              </w:rPr>
              <w:lastRenderedPageBreak/>
              <w:t>Pr</w:t>
            </w:r>
            <w:r w:rsidR="00A971DD" w:rsidRPr="00A9234B">
              <w:rPr>
                <w:rFonts w:asciiTheme="majorHAnsi" w:hAnsiTheme="majorHAnsi" w:cs="Arial"/>
                <w:b w:val="0"/>
                <w:sz w:val="20"/>
                <w:szCs w:val="20"/>
                <w:lang w:val="es-ES_tradnl"/>
              </w:rPr>
              <w:t>estar asesoramiento sobre cuestiones emergentes</w:t>
            </w:r>
          </w:p>
        </w:tc>
        <w:tc>
          <w:tcPr>
            <w:tcW w:w="359" w:type="pct"/>
          </w:tcPr>
          <w:p w14:paraId="01029D7F" w14:textId="701E3CF6" w:rsidR="00EF4061" w:rsidRPr="00A9234B" w:rsidRDefault="00EF4061"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 </w:t>
            </w:r>
            <w:r w:rsidR="00C41FC4"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¶2</w:t>
            </w:r>
            <w:r w:rsidR="00B75A04" w:rsidRPr="00A9234B">
              <w:rPr>
                <w:rFonts w:asciiTheme="majorHAnsi" w:hAnsiTheme="majorHAnsi" w:cs="Arial"/>
                <w:b w:val="0"/>
                <w:sz w:val="20"/>
                <w:szCs w:val="20"/>
                <w:lang w:val="es-ES_tradnl"/>
              </w:rPr>
              <w:t>, 15 (ii), 38</w:t>
            </w:r>
          </w:p>
        </w:tc>
        <w:tc>
          <w:tcPr>
            <w:tcW w:w="475" w:type="pct"/>
          </w:tcPr>
          <w:p w14:paraId="5C60C6C9" w14:textId="77777777" w:rsidR="00EF4061" w:rsidRPr="00A9234B" w:rsidRDefault="00EF4061"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4.14</w:t>
            </w:r>
          </w:p>
        </w:tc>
        <w:tc>
          <w:tcPr>
            <w:tcW w:w="1851" w:type="pct"/>
          </w:tcPr>
          <w:p w14:paraId="07B6E8F6" w14:textId="47D677FE" w:rsidR="00EF4061" w:rsidRPr="00A9234B" w:rsidRDefault="002522E6" w:rsidP="00371F36">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S</w:t>
            </w:r>
            <w:r w:rsidR="00371F36" w:rsidRPr="00A9234B">
              <w:rPr>
                <w:rFonts w:asciiTheme="majorHAnsi" w:hAnsiTheme="majorHAnsi" w:cs="Arial"/>
                <w:b w:val="0"/>
                <w:sz w:val="20"/>
                <w:szCs w:val="20"/>
                <w:lang w:val="es-ES_tradnl"/>
              </w:rPr>
              <w:t>egún proceda y sea</w:t>
            </w:r>
            <w:r w:rsidRPr="00A9234B">
              <w:rPr>
                <w:rFonts w:asciiTheme="majorHAnsi" w:hAnsiTheme="majorHAnsi" w:cs="Arial"/>
                <w:b w:val="0"/>
                <w:sz w:val="20"/>
                <w:szCs w:val="20"/>
                <w:lang w:val="es-ES_tradnl"/>
              </w:rPr>
              <w:t xml:space="preserve"> </w:t>
            </w:r>
            <w:r w:rsidR="00A971DD" w:rsidRPr="00A9234B">
              <w:rPr>
                <w:rFonts w:asciiTheme="majorHAnsi" w:hAnsiTheme="majorHAnsi" w:cs="Arial"/>
                <w:b w:val="0"/>
                <w:sz w:val="20"/>
                <w:szCs w:val="20"/>
                <w:lang w:val="es-ES_tradnl"/>
              </w:rPr>
              <w:t>nece</w:t>
            </w:r>
            <w:r w:rsidR="00371F36" w:rsidRPr="00A9234B">
              <w:rPr>
                <w:rFonts w:asciiTheme="majorHAnsi" w:hAnsiTheme="majorHAnsi" w:cs="Arial"/>
                <w:b w:val="0"/>
                <w:sz w:val="20"/>
                <w:szCs w:val="20"/>
                <w:lang w:val="es-ES_tradnl"/>
              </w:rPr>
              <w:t>sario</w:t>
            </w:r>
            <w:r w:rsidR="00A971DD" w:rsidRPr="00A9234B">
              <w:rPr>
                <w:rFonts w:asciiTheme="majorHAnsi" w:hAnsiTheme="majorHAnsi" w:cs="Arial"/>
                <w:b w:val="0"/>
                <w:sz w:val="20"/>
                <w:szCs w:val="20"/>
                <w:lang w:val="es-ES_tradnl"/>
              </w:rPr>
              <w:t xml:space="preserve">, </w:t>
            </w:r>
            <w:r w:rsidR="00371F36" w:rsidRPr="00A9234B">
              <w:rPr>
                <w:rFonts w:asciiTheme="majorHAnsi" w:hAnsiTheme="majorHAnsi" w:cs="Arial"/>
                <w:b w:val="0"/>
                <w:sz w:val="20"/>
                <w:szCs w:val="20"/>
                <w:lang w:val="es-ES_tradnl"/>
              </w:rPr>
              <w:t>e</w:t>
            </w:r>
            <w:r w:rsidRPr="00A9234B">
              <w:rPr>
                <w:rFonts w:asciiTheme="majorHAnsi" w:hAnsiTheme="majorHAnsi" w:cs="Arial"/>
                <w:b w:val="0"/>
                <w:sz w:val="20"/>
                <w:szCs w:val="20"/>
                <w:lang w:val="es-ES_tradnl"/>
              </w:rPr>
              <w:t>l GECT puede</w:t>
            </w:r>
            <w:r w:rsidR="0088725B" w:rsidRPr="00A9234B">
              <w:rPr>
                <w:rFonts w:asciiTheme="majorHAnsi" w:hAnsiTheme="majorHAnsi" w:cs="Arial"/>
                <w:b w:val="0"/>
                <w:sz w:val="20"/>
                <w:szCs w:val="20"/>
                <w:lang w:val="es-ES_tradnl"/>
              </w:rPr>
              <w:t xml:space="preserve"> </w:t>
            </w:r>
            <w:r w:rsidR="00A10B40" w:rsidRPr="00A9234B">
              <w:rPr>
                <w:rFonts w:asciiTheme="majorHAnsi" w:hAnsiTheme="majorHAnsi" w:cs="Arial"/>
                <w:b w:val="0"/>
                <w:sz w:val="20"/>
                <w:szCs w:val="20"/>
                <w:lang w:val="es-ES_tradnl"/>
              </w:rPr>
              <w:t xml:space="preserve">hacer un seguimiento de </w:t>
            </w:r>
            <w:r w:rsidRPr="00A9234B">
              <w:rPr>
                <w:rFonts w:asciiTheme="majorHAnsi" w:hAnsiTheme="majorHAnsi" w:cs="Arial"/>
                <w:b w:val="0"/>
                <w:sz w:val="20"/>
                <w:szCs w:val="20"/>
                <w:lang w:val="es-ES_tradnl"/>
              </w:rPr>
              <w:t>aquel</w:t>
            </w:r>
            <w:r w:rsidR="00A10B40" w:rsidRPr="00A9234B">
              <w:rPr>
                <w:rFonts w:asciiTheme="majorHAnsi" w:hAnsiTheme="majorHAnsi" w:cs="Arial"/>
                <w:b w:val="0"/>
                <w:sz w:val="20"/>
                <w:szCs w:val="20"/>
                <w:lang w:val="es-ES_tradnl"/>
              </w:rPr>
              <w:t xml:space="preserve">las cuestiones emergentes y más estratégicas </w:t>
            </w:r>
            <w:r w:rsidRPr="00A9234B">
              <w:rPr>
                <w:rFonts w:asciiTheme="majorHAnsi" w:hAnsiTheme="majorHAnsi" w:cs="Arial"/>
                <w:b w:val="0"/>
                <w:sz w:val="20"/>
                <w:szCs w:val="20"/>
                <w:lang w:val="es-ES_tradnl"/>
              </w:rPr>
              <w:t>que p</w:t>
            </w:r>
            <w:r w:rsidR="00371F36" w:rsidRPr="00A9234B">
              <w:rPr>
                <w:rFonts w:asciiTheme="majorHAnsi" w:hAnsiTheme="majorHAnsi" w:cs="Arial"/>
                <w:b w:val="0"/>
                <w:sz w:val="20"/>
                <w:szCs w:val="20"/>
                <w:lang w:val="es-ES_tradnl"/>
              </w:rPr>
              <w:t>uedan</w:t>
            </w:r>
            <w:r w:rsidRPr="00A9234B">
              <w:rPr>
                <w:rFonts w:asciiTheme="majorHAnsi" w:hAnsiTheme="majorHAnsi" w:cs="Arial"/>
                <w:b w:val="0"/>
                <w:sz w:val="20"/>
                <w:szCs w:val="20"/>
                <w:lang w:val="es-ES_tradnl"/>
              </w:rPr>
              <w:t xml:space="preserve"> requerir acción o asesoramiento al respecto en un futuro próximo o a medio plazo. </w:t>
            </w:r>
          </w:p>
        </w:tc>
        <w:tc>
          <w:tcPr>
            <w:tcW w:w="944" w:type="pct"/>
          </w:tcPr>
          <w:p w14:paraId="0F13DF71" w14:textId="47E0916A" w:rsidR="00EF4061" w:rsidRPr="00A9234B" w:rsidRDefault="000F2D09"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r w:rsidR="00EF4061" w:rsidRPr="00504EB0" w14:paraId="1F3CC9AA" w14:textId="77777777" w:rsidTr="00B6261E">
        <w:tc>
          <w:tcPr>
            <w:tcW w:w="5000" w:type="pct"/>
            <w:gridSpan w:val="5"/>
            <w:shd w:val="clear" w:color="auto" w:fill="D9D9D9" w:themeFill="background1" w:themeFillShade="D9"/>
          </w:tcPr>
          <w:p w14:paraId="3CDDACD9" w14:textId="4B970916" w:rsidR="00EF4061" w:rsidRPr="00A9234B" w:rsidRDefault="00EF4061" w:rsidP="005702F0">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Ot</w:t>
            </w:r>
            <w:r w:rsidR="00A971DD" w:rsidRPr="00A9234B">
              <w:rPr>
                <w:rFonts w:asciiTheme="majorHAnsi" w:hAnsiTheme="majorHAnsi" w:cs="Arial"/>
                <w:sz w:val="20"/>
                <w:szCs w:val="20"/>
                <w:lang w:val="es-ES_tradnl"/>
              </w:rPr>
              <w:t xml:space="preserve">ros procesos internacionales de </w:t>
            </w:r>
            <w:r w:rsidR="005702F0" w:rsidRPr="00A9234B">
              <w:rPr>
                <w:rFonts w:asciiTheme="majorHAnsi" w:hAnsiTheme="majorHAnsi" w:cs="Arial"/>
                <w:sz w:val="20"/>
                <w:szCs w:val="20"/>
                <w:lang w:val="es-ES_tradnl"/>
              </w:rPr>
              <w:t>interés</w:t>
            </w:r>
            <w:r w:rsidR="00A971DD" w:rsidRPr="00A9234B">
              <w:rPr>
                <w:rFonts w:asciiTheme="majorHAnsi" w:hAnsiTheme="majorHAnsi" w:cs="Arial"/>
                <w:sz w:val="20"/>
                <w:szCs w:val="20"/>
                <w:lang w:val="es-ES_tradnl"/>
              </w:rPr>
              <w:t xml:space="preserve"> para la Convención y que puedan contribuir a la aplicación del Plan Estratégico de la Convención </w:t>
            </w:r>
          </w:p>
        </w:tc>
      </w:tr>
      <w:tr w:rsidR="00CA77C8" w:rsidRPr="00504EB0" w14:paraId="3C0A2C4D" w14:textId="77777777" w:rsidTr="00B6261E">
        <w:tc>
          <w:tcPr>
            <w:tcW w:w="1371" w:type="pct"/>
          </w:tcPr>
          <w:p w14:paraId="7A114783" w14:textId="662DF149" w:rsidR="00EF4061" w:rsidRPr="00A9234B" w:rsidRDefault="005702F0" w:rsidP="005702F0">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Participación en la </w:t>
            </w:r>
            <w:r w:rsidR="00EF4061" w:rsidRPr="00A9234B">
              <w:rPr>
                <w:rFonts w:asciiTheme="majorHAnsi" w:hAnsiTheme="majorHAnsi" w:cs="Arial"/>
                <w:b w:val="0"/>
                <w:sz w:val="20"/>
                <w:szCs w:val="20"/>
                <w:lang w:val="es-ES_tradnl"/>
              </w:rPr>
              <w:t>IPBES</w:t>
            </w:r>
          </w:p>
        </w:tc>
        <w:tc>
          <w:tcPr>
            <w:tcW w:w="359" w:type="pct"/>
          </w:tcPr>
          <w:p w14:paraId="03F154BF"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XII.2, ¶ 24;</w:t>
            </w:r>
          </w:p>
          <w:p w14:paraId="5C4CC314"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XII.3, ¶¶ 48, 49; </w:t>
            </w:r>
          </w:p>
          <w:p w14:paraId="07E4D01A" w14:textId="7370C0F5"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w:t>
            </w:r>
            <w:r w:rsidR="0088725B"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 13 (ix)</w:t>
            </w:r>
            <w:r w:rsidR="00C41FC4" w:rsidRPr="00A9234B">
              <w:rPr>
                <w:rFonts w:asciiTheme="majorHAnsi" w:hAnsiTheme="majorHAnsi" w:cs="Arial"/>
                <w:b w:val="0"/>
                <w:sz w:val="20"/>
                <w:szCs w:val="20"/>
                <w:lang w:val="es-ES_tradnl"/>
              </w:rPr>
              <w:t>, 51</w:t>
            </w:r>
          </w:p>
        </w:tc>
        <w:tc>
          <w:tcPr>
            <w:tcW w:w="475" w:type="pct"/>
          </w:tcPr>
          <w:p w14:paraId="70103641" w14:textId="77777777" w:rsidR="00EF4061" w:rsidRPr="00A9234B" w:rsidRDefault="00EF4061"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4.14, 4.18</w:t>
            </w:r>
          </w:p>
        </w:tc>
        <w:tc>
          <w:tcPr>
            <w:tcW w:w="1851" w:type="pct"/>
          </w:tcPr>
          <w:p w14:paraId="38FE6063" w14:textId="6F0640A3" w:rsidR="00EF4061" w:rsidRPr="00A9234B" w:rsidRDefault="005702F0" w:rsidP="007E5456">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Seguir participando en el trabajo de la IPBES mediante la asistencia de la Presidencia del GECT a las reuniones de la IPBES y del Grupo Multidisciplinario de Expertos, la participación de los miembros del GECT y otros expertos de Ramsar en </w:t>
            </w:r>
            <w:r w:rsidR="00371F36" w:rsidRPr="00A9234B">
              <w:rPr>
                <w:rFonts w:asciiTheme="majorHAnsi" w:hAnsiTheme="majorHAnsi" w:cs="Arial"/>
                <w:b w:val="0"/>
                <w:sz w:val="20"/>
                <w:szCs w:val="20"/>
                <w:lang w:val="es-ES_tradnl"/>
              </w:rPr>
              <w:t xml:space="preserve">las </w:t>
            </w:r>
            <w:r w:rsidRPr="00A9234B">
              <w:rPr>
                <w:rFonts w:asciiTheme="majorHAnsi" w:hAnsiTheme="majorHAnsi" w:cs="Arial"/>
                <w:b w:val="0"/>
                <w:sz w:val="20"/>
                <w:szCs w:val="20"/>
                <w:lang w:val="es-ES_tradnl"/>
              </w:rPr>
              <w:t xml:space="preserve">evaluaciones mundiales y regionales, el examen de las peticiones formuladas a la IPBES para la realización de evaluaciones temáticas, incluyendo la evaluación temática sobre el estado actual y las tendencias de los humedales, </w:t>
            </w:r>
            <w:r w:rsidR="007E5456" w:rsidRPr="00A9234B">
              <w:rPr>
                <w:rFonts w:asciiTheme="majorHAnsi" w:hAnsiTheme="majorHAnsi" w:cs="Arial"/>
                <w:b w:val="0"/>
                <w:sz w:val="20"/>
                <w:szCs w:val="20"/>
                <w:lang w:val="es-ES_tradnl"/>
              </w:rPr>
              <w:t xml:space="preserve">y la </w:t>
            </w:r>
            <w:r w:rsidRPr="00A9234B">
              <w:rPr>
                <w:rFonts w:asciiTheme="majorHAnsi" w:hAnsiTheme="majorHAnsi" w:cs="Arial"/>
                <w:b w:val="0"/>
                <w:sz w:val="20"/>
                <w:szCs w:val="20"/>
                <w:lang w:val="es-ES_tradnl"/>
              </w:rPr>
              <w:t>integración de los resultados de las evaluaciones de la IPBES (</w:t>
            </w:r>
            <w:r w:rsidR="007E5456" w:rsidRPr="00A9234B">
              <w:rPr>
                <w:rFonts w:asciiTheme="majorHAnsi" w:hAnsiTheme="majorHAnsi" w:cs="Arial"/>
                <w:b w:val="0"/>
                <w:sz w:val="20"/>
                <w:szCs w:val="20"/>
                <w:lang w:val="es-ES_tradnl"/>
              </w:rPr>
              <w:t xml:space="preserve">por ejemplo, sobre </w:t>
            </w:r>
            <w:r w:rsidRPr="00A9234B">
              <w:rPr>
                <w:rFonts w:asciiTheme="majorHAnsi" w:hAnsiTheme="majorHAnsi" w:cs="Arial"/>
                <w:b w:val="0"/>
                <w:sz w:val="20"/>
                <w:szCs w:val="20"/>
                <w:lang w:val="es-ES_tradnl"/>
              </w:rPr>
              <w:t>polinizadores, degradación y re</w:t>
            </w:r>
            <w:r w:rsidR="007E5456" w:rsidRPr="00A9234B">
              <w:rPr>
                <w:rFonts w:asciiTheme="majorHAnsi" w:hAnsiTheme="majorHAnsi" w:cs="Arial"/>
                <w:b w:val="0"/>
                <w:sz w:val="20"/>
                <w:szCs w:val="20"/>
                <w:lang w:val="es-ES_tradnl"/>
              </w:rPr>
              <w:t>habilitación</w:t>
            </w:r>
            <w:r w:rsidRPr="00A9234B">
              <w:rPr>
                <w:rFonts w:asciiTheme="majorHAnsi" w:hAnsiTheme="majorHAnsi" w:cs="Arial"/>
                <w:b w:val="0"/>
                <w:sz w:val="20"/>
                <w:szCs w:val="20"/>
                <w:lang w:val="es-ES_tradnl"/>
              </w:rPr>
              <w:t xml:space="preserve"> del suelo) en el trabajo del GECT. </w:t>
            </w:r>
          </w:p>
        </w:tc>
        <w:tc>
          <w:tcPr>
            <w:tcW w:w="944" w:type="pct"/>
          </w:tcPr>
          <w:p w14:paraId="11C48AB6" w14:textId="6344BDA6" w:rsidR="00EF4061" w:rsidRPr="00A9234B" w:rsidRDefault="007E5456" w:rsidP="007E5456">
            <w:pPr>
              <w:rPr>
                <w:rFonts w:asciiTheme="majorHAnsi" w:hAnsiTheme="majorHAnsi" w:cs="Arial"/>
                <w:sz w:val="22"/>
                <w:szCs w:val="22"/>
                <w:lang w:val="es-ES_tradnl"/>
              </w:rPr>
            </w:pPr>
            <w:r w:rsidRPr="00A9234B">
              <w:rPr>
                <w:rFonts w:asciiTheme="majorHAnsi" w:hAnsiTheme="majorHAnsi" w:cs="Arial"/>
                <w:b w:val="0"/>
                <w:sz w:val="20"/>
                <w:szCs w:val="20"/>
                <w:lang w:val="es-ES_tradnl"/>
              </w:rPr>
              <w:t>El costo de los viajes se financiará del f</w:t>
            </w:r>
            <w:r w:rsidR="009A62E6" w:rsidRPr="00A9234B">
              <w:rPr>
                <w:rFonts w:asciiTheme="majorHAnsi" w:hAnsiTheme="majorHAnsi" w:cs="Arial"/>
                <w:b w:val="0"/>
                <w:sz w:val="20"/>
                <w:szCs w:val="20"/>
                <w:lang w:val="es-ES_tradnl"/>
              </w:rPr>
              <w:t xml:space="preserve">ondo para </w:t>
            </w:r>
            <w:r w:rsidRPr="00A9234B">
              <w:rPr>
                <w:rFonts w:asciiTheme="majorHAnsi" w:hAnsiTheme="majorHAnsi" w:cs="Arial"/>
                <w:b w:val="0"/>
                <w:sz w:val="20"/>
                <w:szCs w:val="20"/>
                <w:lang w:val="es-ES_tradnl"/>
              </w:rPr>
              <w:t xml:space="preserve">los </w:t>
            </w:r>
            <w:r w:rsidR="009A62E6" w:rsidRPr="00A9234B">
              <w:rPr>
                <w:rFonts w:asciiTheme="majorHAnsi" w:hAnsiTheme="majorHAnsi" w:cs="Arial"/>
                <w:b w:val="0"/>
                <w:sz w:val="20"/>
                <w:szCs w:val="20"/>
                <w:lang w:val="es-ES_tradnl"/>
              </w:rPr>
              <w:t>viaje</w:t>
            </w:r>
            <w:r w:rsidRPr="00A9234B">
              <w:rPr>
                <w:rFonts w:asciiTheme="majorHAnsi" w:hAnsiTheme="majorHAnsi" w:cs="Arial"/>
                <w:b w:val="0"/>
                <w:sz w:val="20"/>
                <w:szCs w:val="20"/>
                <w:lang w:val="es-ES_tradnl"/>
              </w:rPr>
              <w:t>s</w:t>
            </w:r>
            <w:r w:rsidR="009A62E6" w:rsidRPr="00A9234B">
              <w:rPr>
                <w:rFonts w:asciiTheme="majorHAnsi" w:hAnsiTheme="majorHAnsi" w:cs="Arial"/>
                <w:b w:val="0"/>
                <w:sz w:val="20"/>
                <w:szCs w:val="20"/>
                <w:lang w:val="es-ES_tradnl"/>
              </w:rPr>
              <w:t xml:space="preserve"> de la Presidencia del GECT </w:t>
            </w:r>
          </w:p>
        </w:tc>
      </w:tr>
      <w:tr w:rsidR="00CA77C8" w:rsidRPr="00504EB0" w14:paraId="6C469C9B" w14:textId="77777777" w:rsidTr="00B6261E">
        <w:tc>
          <w:tcPr>
            <w:tcW w:w="1371" w:type="pct"/>
          </w:tcPr>
          <w:p w14:paraId="6D526B0C" w14:textId="5F2C6610" w:rsidR="00EF4061" w:rsidRPr="00A9234B" w:rsidRDefault="009A62E6"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Atlas de Zonas Críticas de Humedales </w:t>
            </w:r>
          </w:p>
        </w:tc>
        <w:tc>
          <w:tcPr>
            <w:tcW w:w="359" w:type="pct"/>
          </w:tcPr>
          <w:p w14:paraId="0DE1ACD7" w14:textId="7B8A00F8"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t>Anexo</w:t>
            </w:r>
            <w:r w:rsidRPr="00A9234B">
              <w:rPr>
                <w:rFonts w:asciiTheme="majorHAnsi" w:hAnsiTheme="majorHAnsi" w:cs="Arial"/>
                <w:b w:val="0"/>
                <w:sz w:val="20"/>
                <w:szCs w:val="20"/>
                <w:lang w:val="es-ES_tradnl"/>
              </w:rPr>
              <w:t xml:space="preserve"> 1, ¶¶</w:t>
            </w:r>
            <w:r w:rsidR="0088725B"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1-2</w:t>
            </w:r>
          </w:p>
        </w:tc>
        <w:tc>
          <w:tcPr>
            <w:tcW w:w="475" w:type="pct"/>
          </w:tcPr>
          <w:p w14:paraId="25B062CA" w14:textId="77777777" w:rsidR="00EF4061" w:rsidRPr="00A9234B" w:rsidRDefault="00EF4061" w:rsidP="00EF4061">
            <w:pPr>
              <w:rPr>
                <w:rFonts w:asciiTheme="majorHAnsi" w:hAnsiTheme="majorHAnsi" w:cs="Arial"/>
                <w:sz w:val="22"/>
                <w:szCs w:val="22"/>
                <w:lang w:val="es-ES_tradnl"/>
              </w:rPr>
            </w:pPr>
            <w:r w:rsidRPr="00A9234B">
              <w:rPr>
                <w:rFonts w:asciiTheme="majorHAnsi" w:hAnsiTheme="majorHAnsi" w:cs="Arial"/>
                <w:b w:val="0"/>
                <w:sz w:val="20"/>
                <w:szCs w:val="20"/>
                <w:lang w:val="es-ES_tradnl"/>
              </w:rPr>
              <w:t>4.14, 4.18</w:t>
            </w:r>
          </w:p>
        </w:tc>
        <w:tc>
          <w:tcPr>
            <w:tcW w:w="1851" w:type="pct"/>
          </w:tcPr>
          <w:p w14:paraId="7ACA9913" w14:textId="6EE1F4C4" w:rsidR="00EF4061" w:rsidRPr="00A9234B" w:rsidRDefault="009A62E6" w:rsidP="001F34F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Proporcionar asesoramiento, según proceda y sea necesario, al proyecto de Atlas de Zonas Críticas de Humedales, un proyecto de colaboración entre Wetlands International (WI), el CDB, la CNULD y Ramsar, que fue lanzado en la 21ª reunión de la Conferencia de las Partes de la CMNUCC. </w:t>
            </w:r>
            <w:r w:rsidR="001F34FD" w:rsidRPr="00A9234B">
              <w:rPr>
                <w:rFonts w:asciiTheme="majorHAnsi" w:hAnsiTheme="majorHAnsi" w:cs="Arial"/>
                <w:b w:val="0"/>
                <w:sz w:val="20"/>
                <w:szCs w:val="20"/>
                <w:lang w:val="es-ES_tradnl"/>
              </w:rPr>
              <w:t>Aquí p</w:t>
            </w:r>
            <w:r w:rsidR="002522E6" w:rsidRPr="00A9234B">
              <w:rPr>
                <w:rFonts w:asciiTheme="majorHAnsi" w:hAnsiTheme="majorHAnsi" w:cs="Arial"/>
                <w:b w:val="0"/>
                <w:sz w:val="20"/>
                <w:szCs w:val="20"/>
                <w:lang w:val="es-ES_tradnl"/>
              </w:rPr>
              <w:t xml:space="preserve">uede haber posibilidades </w:t>
            </w:r>
            <w:r w:rsidR="001F34FD" w:rsidRPr="00A9234B">
              <w:rPr>
                <w:rFonts w:asciiTheme="majorHAnsi" w:hAnsiTheme="majorHAnsi" w:cs="Arial"/>
                <w:b w:val="0"/>
                <w:sz w:val="20"/>
                <w:szCs w:val="20"/>
                <w:lang w:val="es-ES_tradnl"/>
              </w:rPr>
              <w:t xml:space="preserve">de obtener </w:t>
            </w:r>
            <w:r w:rsidR="002522E6" w:rsidRPr="00A9234B">
              <w:rPr>
                <w:rFonts w:asciiTheme="majorHAnsi" w:hAnsiTheme="majorHAnsi" w:cs="Arial"/>
                <w:b w:val="0"/>
                <w:sz w:val="20"/>
                <w:szCs w:val="20"/>
                <w:lang w:val="es-ES_tradnl"/>
              </w:rPr>
              <w:t>productos</w:t>
            </w:r>
            <w:r w:rsidR="001F34FD" w:rsidRPr="00A9234B">
              <w:rPr>
                <w:rFonts w:asciiTheme="majorHAnsi" w:hAnsiTheme="majorHAnsi" w:cs="Arial"/>
                <w:b w:val="0"/>
                <w:sz w:val="20"/>
                <w:szCs w:val="20"/>
                <w:lang w:val="es-ES_tradnl"/>
              </w:rPr>
              <w:t xml:space="preserve"> derivados para Ramsar</w:t>
            </w:r>
            <w:r w:rsidR="00EF4061" w:rsidRPr="00A9234B">
              <w:rPr>
                <w:rFonts w:asciiTheme="majorHAnsi" w:hAnsiTheme="majorHAnsi" w:cs="Arial"/>
                <w:b w:val="0"/>
                <w:sz w:val="20"/>
                <w:szCs w:val="20"/>
                <w:lang w:val="es-ES_tradnl"/>
              </w:rPr>
              <w:t xml:space="preserve">, </w:t>
            </w:r>
            <w:r w:rsidR="001F34FD" w:rsidRPr="00A9234B">
              <w:rPr>
                <w:rFonts w:asciiTheme="majorHAnsi" w:hAnsiTheme="majorHAnsi" w:cs="Arial"/>
                <w:b w:val="0"/>
                <w:sz w:val="20"/>
                <w:szCs w:val="20"/>
                <w:lang w:val="es-ES_tradnl"/>
              </w:rPr>
              <w:t xml:space="preserve">sujeto a la disponibilidad de recursos y la aprobación del Comité Permanente. </w:t>
            </w:r>
          </w:p>
        </w:tc>
        <w:tc>
          <w:tcPr>
            <w:tcW w:w="944" w:type="pct"/>
          </w:tcPr>
          <w:p w14:paraId="495F68DC" w14:textId="2115F24C" w:rsidR="00EF4061" w:rsidRPr="00A9234B" w:rsidRDefault="007E5456"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tc>
      </w:tr>
    </w:tbl>
    <w:p w14:paraId="6BF2DA98" w14:textId="77777777" w:rsidR="00EF4061" w:rsidRPr="00A9234B" w:rsidRDefault="00EF4061" w:rsidP="00EF4061">
      <w:pPr>
        <w:rPr>
          <w:rFonts w:asciiTheme="majorHAnsi" w:hAnsiTheme="majorHAnsi" w:cs="Arial"/>
          <w:sz w:val="22"/>
          <w:szCs w:val="22"/>
          <w:lang w:val="es-ES_tradnl"/>
        </w:rPr>
      </w:pPr>
    </w:p>
    <w:tbl>
      <w:tblPr>
        <w:tblStyle w:val="TableGrid1"/>
        <w:tblW w:w="5000" w:type="pct"/>
        <w:tblLook w:val="04A0" w:firstRow="1" w:lastRow="0" w:firstColumn="1" w:lastColumn="0" w:noHBand="0" w:noVBand="1"/>
      </w:tblPr>
      <w:tblGrid>
        <w:gridCol w:w="14174"/>
      </w:tblGrid>
      <w:tr w:rsidR="00EF4061" w:rsidRPr="00504EB0" w14:paraId="78BB7C30" w14:textId="77777777" w:rsidTr="00EF4061">
        <w:tc>
          <w:tcPr>
            <w:tcW w:w="5000" w:type="pct"/>
            <w:shd w:val="clear" w:color="auto" w:fill="000000" w:themeFill="text1"/>
          </w:tcPr>
          <w:p w14:paraId="5EB8F5D3" w14:textId="0F01086E" w:rsidR="00EF4061" w:rsidRPr="00504EB0" w:rsidRDefault="009A62E6" w:rsidP="00504EB0">
            <w:pPr>
              <w:pStyle w:val="Heading1"/>
              <w:spacing w:before="0"/>
              <w:outlineLvl w:val="0"/>
              <w:rPr>
                <w:rFonts w:asciiTheme="majorHAnsi" w:hAnsiTheme="majorHAnsi"/>
                <w:b/>
                <w:sz w:val="20"/>
                <w:szCs w:val="20"/>
              </w:rPr>
            </w:pPr>
            <w:bookmarkStart w:id="2" w:name="_Toc455997516"/>
            <w:r w:rsidRPr="00504EB0">
              <w:rPr>
                <w:rFonts w:asciiTheme="majorHAnsi" w:hAnsiTheme="majorHAnsi"/>
                <w:b/>
                <w:color w:val="FFFFFF" w:themeColor="background1"/>
                <w:sz w:val="20"/>
                <w:szCs w:val="20"/>
              </w:rPr>
              <w:t xml:space="preserve">Área Temática de Trabajo Nº 1: </w:t>
            </w:r>
            <w:r w:rsidR="00D90473" w:rsidRPr="00504EB0">
              <w:rPr>
                <w:rFonts w:asciiTheme="majorHAnsi" w:hAnsiTheme="majorHAnsi"/>
                <w:b/>
                <w:color w:val="FFFFFF" w:themeColor="background1"/>
                <w:sz w:val="20"/>
                <w:szCs w:val="20"/>
              </w:rPr>
              <w:t>Buenas prácticas en m</w:t>
            </w:r>
            <w:r w:rsidRPr="00504EB0">
              <w:rPr>
                <w:rFonts w:asciiTheme="majorHAnsi" w:hAnsiTheme="majorHAnsi"/>
                <w:b/>
                <w:color w:val="FFFFFF" w:themeColor="background1"/>
                <w:sz w:val="20"/>
                <w:szCs w:val="20"/>
              </w:rPr>
              <w:t>etodologías</w:t>
            </w:r>
            <w:r w:rsidR="00DE6F79" w:rsidRPr="00504EB0">
              <w:rPr>
                <w:rFonts w:asciiTheme="majorHAnsi" w:hAnsiTheme="majorHAnsi"/>
                <w:b/>
                <w:color w:val="FFFFFF" w:themeColor="background1"/>
                <w:sz w:val="20"/>
                <w:szCs w:val="20"/>
              </w:rPr>
              <w:t xml:space="preserve"> o </w:t>
            </w:r>
            <w:r w:rsidRPr="00504EB0">
              <w:rPr>
                <w:rFonts w:asciiTheme="majorHAnsi" w:hAnsiTheme="majorHAnsi"/>
                <w:b/>
                <w:color w:val="FFFFFF" w:themeColor="background1"/>
                <w:sz w:val="20"/>
                <w:szCs w:val="20"/>
              </w:rPr>
              <w:t>herramientas para</w:t>
            </w:r>
            <w:r w:rsidR="00DE6F79" w:rsidRPr="00504EB0">
              <w:rPr>
                <w:rFonts w:asciiTheme="majorHAnsi" w:hAnsiTheme="majorHAnsi"/>
                <w:b/>
                <w:color w:val="FFFFFF" w:themeColor="background1"/>
                <w:sz w:val="20"/>
                <w:szCs w:val="20"/>
              </w:rPr>
              <w:t xml:space="preserve"> realizar el monitoreo </w:t>
            </w:r>
            <w:r w:rsidRPr="00504EB0">
              <w:rPr>
                <w:rFonts w:asciiTheme="majorHAnsi" w:hAnsiTheme="majorHAnsi"/>
                <w:b/>
                <w:color w:val="FFFFFF" w:themeColor="background1"/>
                <w:sz w:val="20"/>
                <w:szCs w:val="20"/>
              </w:rPr>
              <w:t xml:space="preserve"> de los sitios Ramsar, incluyendo </w:t>
            </w:r>
            <w:r w:rsidR="00DE6F79" w:rsidRPr="00504EB0">
              <w:rPr>
                <w:rFonts w:asciiTheme="majorHAnsi" w:hAnsiTheme="majorHAnsi"/>
                <w:b/>
                <w:color w:val="FFFFFF" w:themeColor="background1"/>
                <w:sz w:val="20"/>
                <w:szCs w:val="20"/>
              </w:rPr>
              <w:t>estudios, cartografías</w:t>
            </w:r>
            <w:r w:rsidRPr="00504EB0">
              <w:rPr>
                <w:rFonts w:asciiTheme="majorHAnsi" w:hAnsiTheme="majorHAnsi"/>
                <w:b/>
                <w:color w:val="FFFFFF" w:themeColor="background1"/>
                <w:sz w:val="20"/>
                <w:szCs w:val="20"/>
              </w:rPr>
              <w:t xml:space="preserve"> e inventarios, </w:t>
            </w:r>
            <w:r w:rsidR="00DE6F79" w:rsidRPr="00504EB0">
              <w:rPr>
                <w:rFonts w:asciiTheme="majorHAnsi" w:hAnsiTheme="majorHAnsi"/>
                <w:b/>
                <w:color w:val="FFFFFF" w:themeColor="background1"/>
                <w:sz w:val="20"/>
                <w:szCs w:val="20"/>
              </w:rPr>
              <w:t>reconociendo</w:t>
            </w:r>
            <w:r w:rsidRPr="00504EB0">
              <w:rPr>
                <w:rFonts w:asciiTheme="majorHAnsi" w:hAnsiTheme="majorHAnsi"/>
                <w:b/>
                <w:color w:val="FFFFFF" w:themeColor="background1"/>
                <w:sz w:val="20"/>
                <w:szCs w:val="20"/>
              </w:rPr>
              <w:t xml:space="preserve"> las prácticas tradicionales de los pueblos indígenas y las comunidades locales</w:t>
            </w:r>
            <w:bookmarkEnd w:id="2"/>
          </w:p>
        </w:tc>
      </w:tr>
    </w:tbl>
    <w:p w14:paraId="4B9823CA" w14:textId="77777777" w:rsidR="00EF4061" w:rsidRPr="00A9234B" w:rsidRDefault="00EF4061" w:rsidP="00EF4061">
      <w:pPr>
        <w:rPr>
          <w:rFonts w:asciiTheme="majorHAnsi" w:hAnsiTheme="majorHAnsi" w:cs="Arial"/>
          <w:sz w:val="20"/>
          <w:szCs w:val="20"/>
          <w:lang w:val="es-ES_tradnl"/>
        </w:rPr>
      </w:pPr>
    </w:p>
    <w:tbl>
      <w:tblPr>
        <w:tblStyle w:val="TableGrid21"/>
        <w:tblW w:w="5000" w:type="pct"/>
        <w:tblLook w:val="04A0" w:firstRow="1" w:lastRow="0" w:firstColumn="1" w:lastColumn="0" w:noHBand="0" w:noVBand="1"/>
      </w:tblPr>
      <w:tblGrid>
        <w:gridCol w:w="3368"/>
        <w:gridCol w:w="10806"/>
      </w:tblGrid>
      <w:tr w:rsidR="00EF4061" w:rsidRPr="00504EB0" w14:paraId="292F4DA2" w14:textId="77777777" w:rsidTr="008F7FCB">
        <w:tc>
          <w:tcPr>
            <w:tcW w:w="1188" w:type="pct"/>
          </w:tcPr>
          <w:p w14:paraId="26A1DB05" w14:textId="1FB5F114" w:rsidR="00EF4061" w:rsidRPr="00A9234B" w:rsidRDefault="009A62E6" w:rsidP="00EF4061">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 xml:space="preserve">Responsable(s) del grupo de trabajo y participantes: </w:t>
            </w:r>
          </w:p>
        </w:tc>
        <w:tc>
          <w:tcPr>
            <w:tcW w:w="3812" w:type="pct"/>
          </w:tcPr>
          <w:p w14:paraId="2A5C121B" w14:textId="7E2FEEDE" w:rsidR="00EF4061" w:rsidRPr="00A9234B" w:rsidRDefault="00EF4061" w:rsidP="00360FBC">
            <w:pPr>
              <w:tabs>
                <w:tab w:val="left" w:pos="1095"/>
              </w:tabs>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Lars Dinesen, Roy Gardner, Max Finlayson (</w:t>
            </w:r>
            <w:r w:rsidR="00360FBC" w:rsidRPr="00A9234B">
              <w:rPr>
                <w:rFonts w:asciiTheme="majorHAnsi" w:eastAsia="Calibri" w:hAnsiTheme="majorHAnsi" w:cs="Arial"/>
                <w:b w:val="0"/>
                <w:sz w:val="20"/>
                <w:szCs w:val="20"/>
                <w:lang w:val="es-ES_tradnl"/>
              </w:rPr>
              <w:t>responsable</w:t>
            </w:r>
            <w:r w:rsidRPr="00A9234B">
              <w:rPr>
                <w:rFonts w:asciiTheme="majorHAnsi" w:eastAsia="Calibri" w:hAnsiTheme="majorHAnsi" w:cs="Arial"/>
                <w:b w:val="0"/>
                <w:sz w:val="20"/>
                <w:szCs w:val="20"/>
                <w:lang w:val="es-ES_tradnl"/>
              </w:rPr>
              <w:t>), Vincent V. Hilomen, Jari Ilmonen, Laura Martinez, Dulce Infante Mata, Rubén Quintana, Lisa-Maria Rebelo, Matt Walpole</w:t>
            </w:r>
          </w:p>
        </w:tc>
      </w:tr>
      <w:tr w:rsidR="00C413C7" w:rsidRPr="00504EB0" w14:paraId="7D2936B6" w14:textId="77777777" w:rsidTr="008F7FCB">
        <w:tc>
          <w:tcPr>
            <w:tcW w:w="1188" w:type="pct"/>
          </w:tcPr>
          <w:p w14:paraId="6D5F0311" w14:textId="2DE06154" w:rsidR="00C413C7" w:rsidRPr="00A9234B" w:rsidRDefault="00C413C7" w:rsidP="00EF4061">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 xml:space="preserve">Organizaciones contribuyentes: </w:t>
            </w:r>
            <w:r w:rsidRPr="00A9234B">
              <w:rPr>
                <w:rFonts w:asciiTheme="majorHAnsi" w:eastAsia="Calibri" w:hAnsiTheme="majorHAnsi" w:cs="Arial"/>
                <w:sz w:val="20"/>
                <w:szCs w:val="20"/>
                <w:lang w:val="es-ES_tradnl"/>
              </w:rPr>
              <w:lastRenderedPageBreak/>
              <w:t>[OIA/observadores/otros]</w:t>
            </w:r>
          </w:p>
        </w:tc>
        <w:tc>
          <w:tcPr>
            <w:tcW w:w="3812" w:type="pct"/>
          </w:tcPr>
          <w:p w14:paraId="71058E19" w14:textId="48CE88D5" w:rsidR="00C413C7" w:rsidRPr="00A9234B" w:rsidRDefault="00C413C7" w:rsidP="000D6510">
            <w:pPr>
              <w:rPr>
                <w:rFonts w:asciiTheme="majorHAnsi" w:eastAsia="Calibri" w:hAnsiTheme="majorHAnsi" w:cs="Arial"/>
                <w:b w:val="0"/>
                <w:sz w:val="20"/>
                <w:szCs w:val="20"/>
                <w:highlight w:val="yellow"/>
                <w:lang w:val="es-ES_tradnl"/>
              </w:rPr>
            </w:pPr>
            <w:r w:rsidRPr="00A9234B">
              <w:rPr>
                <w:rFonts w:asciiTheme="majorHAnsi" w:eastAsia="Calibri" w:hAnsiTheme="majorHAnsi" w:cs="Arial"/>
                <w:b w:val="0"/>
                <w:sz w:val="20"/>
                <w:szCs w:val="20"/>
                <w:lang w:val="es-ES_tradnl"/>
              </w:rPr>
              <w:lastRenderedPageBreak/>
              <w:t>Wetlands International (WI) (Marcel Silvius), WWF International (Denis Lan</w:t>
            </w:r>
            <w:r w:rsidR="000D6510" w:rsidRPr="00A9234B">
              <w:rPr>
                <w:rFonts w:asciiTheme="majorHAnsi" w:eastAsia="Calibri" w:hAnsiTheme="majorHAnsi" w:cs="Arial"/>
                <w:b w:val="0"/>
                <w:sz w:val="20"/>
                <w:szCs w:val="20"/>
                <w:lang w:val="es-ES_tradnl"/>
              </w:rPr>
              <w:t>denbergue)/ Secretaría del CDB</w:t>
            </w:r>
            <w:r w:rsidRPr="00A9234B">
              <w:rPr>
                <w:rFonts w:asciiTheme="majorHAnsi" w:eastAsia="Calibri" w:hAnsiTheme="majorHAnsi" w:cs="Arial"/>
                <w:b w:val="0"/>
                <w:sz w:val="20"/>
                <w:szCs w:val="20"/>
                <w:lang w:val="es-ES_tradnl"/>
              </w:rPr>
              <w:t xml:space="preserve">, Agencia Espacial </w:t>
            </w:r>
            <w:r w:rsidRPr="00A9234B">
              <w:rPr>
                <w:rFonts w:asciiTheme="majorHAnsi" w:eastAsia="Calibri" w:hAnsiTheme="majorHAnsi" w:cs="Arial"/>
                <w:b w:val="0"/>
                <w:sz w:val="20"/>
                <w:szCs w:val="20"/>
                <w:lang w:val="es-ES_tradnl"/>
              </w:rPr>
              <w:lastRenderedPageBreak/>
              <w:t xml:space="preserve">Europea (ESA) (Marc Paganini), </w:t>
            </w:r>
            <w:r w:rsidR="00E2615C" w:rsidRPr="00A9234B">
              <w:rPr>
                <w:rFonts w:asciiTheme="majorHAnsi" w:eastAsia="Calibri" w:hAnsiTheme="majorHAnsi" w:cs="Arial"/>
                <w:b w:val="0"/>
                <w:sz w:val="20"/>
                <w:szCs w:val="20"/>
                <w:lang w:val="es-ES_tradnl"/>
              </w:rPr>
              <w:t>Sociedad Internacional de la Turba</w:t>
            </w:r>
            <w:r w:rsidRPr="00A9234B">
              <w:rPr>
                <w:rFonts w:asciiTheme="majorHAnsi" w:eastAsia="Calibri" w:hAnsiTheme="majorHAnsi" w:cs="Arial"/>
                <w:b w:val="0"/>
                <w:sz w:val="20"/>
                <w:szCs w:val="20"/>
                <w:lang w:val="es-ES_tradnl"/>
              </w:rPr>
              <w:t xml:space="preserve"> (IPS) (Jack Rieley), Agencia Japonesa de Exploración Aeroespacial (JAXA) (Ake Rosenqvist, </w:t>
            </w:r>
            <w:r w:rsidR="008F7FCB" w:rsidRPr="00A9234B">
              <w:rPr>
                <w:rFonts w:asciiTheme="majorHAnsi" w:eastAsia="Calibri" w:hAnsiTheme="majorHAnsi" w:cs="Arial"/>
                <w:b w:val="0"/>
                <w:sz w:val="20"/>
                <w:szCs w:val="20"/>
                <w:lang w:val="es-ES_tradnl"/>
              </w:rPr>
              <w:t xml:space="preserve">Shizu Yabe </w:t>
            </w:r>
            <w:r w:rsidR="008F7FCB" w:rsidRPr="00A9234B">
              <w:rPr>
                <w:rStyle w:val="FootnoteReference"/>
                <w:rFonts w:asciiTheme="majorHAnsi" w:eastAsia="Calibri" w:hAnsiTheme="majorHAnsi" w:cs="Arial"/>
                <w:b w:val="0"/>
                <w:sz w:val="20"/>
                <w:szCs w:val="20"/>
                <w:lang w:val="es-ES_tradnl"/>
              </w:rPr>
              <w:footnoteReference w:id="1"/>
            </w:r>
            <w:r w:rsidRPr="00A9234B">
              <w:rPr>
                <w:rFonts w:asciiTheme="majorHAnsi" w:eastAsia="Calibri" w:hAnsiTheme="majorHAnsi" w:cs="Arial"/>
                <w:b w:val="0"/>
                <w:sz w:val="20"/>
                <w:szCs w:val="20"/>
                <w:lang w:val="es-ES_tradnl"/>
              </w:rPr>
              <w:t xml:space="preserve">), Sociedad de Científicos especializados en Humedales (SWS) (Nick Davidson), TNC (Boze Hancok), Tour du Valat (Christian Perennou), UNESCO-IHE (Anne van Dam), </w:t>
            </w:r>
            <w:r w:rsidR="00725898" w:rsidRPr="00A9234B">
              <w:rPr>
                <w:rFonts w:asciiTheme="majorHAnsi" w:eastAsia="Calibri" w:hAnsiTheme="majorHAnsi" w:cs="Arial"/>
                <w:b w:val="0"/>
                <w:sz w:val="20"/>
                <w:szCs w:val="20"/>
                <w:lang w:val="es-ES_tradnl"/>
              </w:rPr>
              <w:t xml:space="preserve">WCMC (Diego Juffe-Bignoll), </w:t>
            </w:r>
            <w:r w:rsidRPr="00A9234B">
              <w:rPr>
                <w:rFonts w:asciiTheme="majorHAnsi" w:eastAsia="Calibri" w:hAnsiTheme="majorHAnsi" w:cs="Arial"/>
                <w:b w:val="0"/>
                <w:sz w:val="20"/>
                <w:szCs w:val="20"/>
                <w:lang w:val="es-ES_tradnl"/>
              </w:rPr>
              <w:t>Centro del Patrimonio Mundial (Tim Badman)/ Coordinador Nacional del GECT para Canadá (Barry Warner), Coordinador Nacional del GECT para Malasia (Abd Rahman Kassim), Coordinadora Nacional del GECT para Portugal</w:t>
            </w:r>
            <w:r w:rsidR="00725898" w:rsidRPr="00A9234B">
              <w:rPr>
                <w:rFonts w:asciiTheme="majorHAnsi" w:eastAsia="Calibri" w:hAnsiTheme="majorHAnsi" w:cs="Arial"/>
                <w:b w:val="0"/>
                <w:sz w:val="20"/>
                <w:szCs w:val="20"/>
                <w:lang w:val="es-ES_tradnl"/>
              </w:rPr>
              <w:t xml:space="preserve"> (Ana Mendes)</w:t>
            </w:r>
          </w:p>
        </w:tc>
      </w:tr>
    </w:tbl>
    <w:p w14:paraId="6C7C4DB2" w14:textId="77777777" w:rsidR="00EF4061" w:rsidRPr="00A9234B" w:rsidRDefault="00EF4061" w:rsidP="00EF4061">
      <w:pPr>
        <w:rPr>
          <w:rFonts w:asciiTheme="majorHAnsi" w:hAnsiTheme="majorHAnsi" w:cs="Arial"/>
          <w:sz w:val="20"/>
          <w:szCs w:val="20"/>
          <w:lang w:val="es-ES_tradnl"/>
        </w:rPr>
      </w:pPr>
    </w:p>
    <w:tbl>
      <w:tblPr>
        <w:tblStyle w:val="TableGrid1"/>
        <w:tblW w:w="5036" w:type="pct"/>
        <w:tblInd w:w="-51" w:type="dxa"/>
        <w:tblLayout w:type="fixed"/>
        <w:tblCellMar>
          <w:top w:w="57" w:type="dxa"/>
          <w:left w:w="57" w:type="dxa"/>
          <w:bottom w:w="57" w:type="dxa"/>
          <w:right w:w="57" w:type="dxa"/>
        </w:tblCellMar>
        <w:tblLook w:val="04A0" w:firstRow="1" w:lastRow="0" w:firstColumn="1" w:lastColumn="0" w:noHBand="0" w:noVBand="1"/>
      </w:tblPr>
      <w:tblGrid>
        <w:gridCol w:w="1381"/>
        <w:gridCol w:w="995"/>
        <w:gridCol w:w="819"/>
        <w:gridCol w:w="1162"/>
        <w:gridCol w:w="8407"/>
        <w:gridCol w:w="1409"/>
      </w:tblGrid>
      <w:tr w:rsidR="00EF4061" w:rsidRPr="00A9234B" w14:paraId="1CC209AD" w14:textId="77777777" w:rsidTr="00DE4F5C">
        <w:trPr>
          <w:tblHeader/>
        </w:trPr>
        <w:tc>
          <w:tcPr>
            <w:tcW w:w="487" w:type="pct"/>
            <w:shd w:val="clear" w:color="auto" w:fill="D9D9D9" w:themeFill="background1" w:themeFillShade="D9"/>
          </w:tcPr>
          <w:p w14:paraId="77BD9228" w14:textId="5370D387" w:rsidR="00EF4061" w:rsidRPr="00A9234B" w:rsidRDefault="005265E4"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Nº</w:t>
            </w:r>
            <w:r w:rsidR="00DE4F5C" w:rsidRPr="00A9234B">
              <w:rPr>
                <w:rFonts w:asciiTheme="majorHAnsi" w:hAnsiTheme="majorHAnsi" w:cs="Arial"/>
                <w:sz w:val="20"/>
                <w:szCs w:val="20"/>
                <w:lang w:val="es-ES_tradnl"/>
              </w:rPr>
              <w:t xml:space="preserve"> y título de la tarea</w:t>
            </w:r>
          </w:p>
        </w:tc>
        <w:tc>
          <w:tcPr>
            <w:tcW w:w="351" w:type="pct"/>
            <w:shd w:val="clear" w:color="auto" w:fill="D9D9D9" w:themeFill="background1" w:themeFillShade="D9"/>
          </w:tcPr>
          <w:p w14:paraId="3E9D0955" w14:textId="5D83D4C9" w:rsidR="00EF4061" w:rsidRPr="00A9234B" w:rsidRDefault="00DE4F5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Prioridad</w:t>
            </w:r>
          </w:p>
        </w:tc>
        <w:tc>
          <w:tcPr>
            <w:tcW w:w="289" w:type="pct"/>
            <w:shd w:val="clear" w:color="auto" w:fill="D9D9D9" w:themeFill="background1" w:themeFillShade="D9"/>
          </w:tcPr>
          <w:p w14:paraId="297BE503" w14:textId="77777777" w:rsidR="00EF4061" w:rsidRPr="00A9234B" w:rsidRDefault="00EF4061"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Res.</w:t>
            </w:r>
          </w:p>
        </w:tc>
        <w:tc>
          <w:tcPr>
            <w:tcW w:w="410" w:type="pct"/>
            <w:shd w:val="clear" w:color="auto" w:fill="D9D9D9" w:themeFill="background1" w:themeFillShade="D9"/>
          </w:tcPr>
          <w:p w14:paraId="110D637B" w14:textId="06C9217E" w:rsidR="00EF4061" w:rsidRPr="00A9234B" w:rsidRDefault="00DE4F5C" w:rsidP="00DE4F5C">
            <w:pPr>
              <w:jc w:val="center"/>
              <w:rPr>
                <w:rFonts w:asciiTheme="majorHAnsi" w:hAnsiTheme="majorHAnsi" w:cs="Arial"/>
                <w:sz w:val="20"/>
                <w:szCs w:val="20"/>
                <w:lang w:val="es-ES_tradnl"/>
              </w:rPr>
            </w:pPr>
            <w:r w:rsidRPr="00A9234B">
              <w:rPr>
                <w:rFonts w:asciiTheme="majorHAnsi" w:eastAsia="Calibri" w:hAnsiTheme="majorHAnsi" w:cs="Arial"/>
                <w:sz w:val="20"/>
                <w:szCs w:val="20"/>
                <w:lang w:val="es-ES_tradnl"/>
              </w:rPr>
              <w:t>Objetivo y meta del Plan Estratégico</w:t>
            </w:r>
          </w:p>
        </w:tc>
        <w:tc>
          <w:tcPr>
            <w:tcW w:w="2966" w:type="pct"/>
            <w:shd w:val="clear" w:color="auto" w:fill="D9D9D9" w:themeFill="background1" w:themeFillShade="D9"/>
          </w:tcPr>
          <w:p w14:paraId="49AE32C9" w14:textId="5D50D8D2" w:rsidR="00EF4061" w:rsidRPr="00A9234B" w:rsidRDefault="00DF2144" w:rsidP="006E601A">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Descripción de la tarea</w:t>
            </w:r>
            <w:r w:rsidR="00EF4061" w:rsidRPr="00A9234B">
              <w:rPr>
                <w:rFonts w:asciiTheme="majorHAnsi" w:hAnsiTheme="majorHAnsi" w:cs="Arial"/>
                <w:sz w:val="20"/>
                <w:szCs w:val="20"/>
                <w:lang w:val="es-ES_tradnl"/>
              </w:rPr>
              <w:t xml:space="preserve">, </w:t>
            </w:r>
            <w:r w:rsidR="006E601A" w:rsidRPr="00A9234B">
              <w:rPr>
                <w:rFonts w:asciiTheme="majorHAnsi" w:hAnsiTheme="majorHAnsi" w:cs="Arial"/>
                <w:sz w:val="20"/>
                <w:szCs w:val="20"/>
                <w:lang w:val="es-ES_tradnl"/>
              </w:rPr>
              <w:t xml:space="preserve">productos esperados y </w:t>
            </w:r>
            <w:r w:rsidR="00DE4F5C" w:rsidRPr="00A9234B">
              <w:rPr>
                <w:rFonts w:asciiTheme="majorHAnsi" w:hAnsiTheme="majorHAnsi" w:cs="Arial"/>
                <w:sz w:val="20"/>
                <w:szCs w:val="20"/>
                <w:lang w:val="es-ES_tradnl"/>
              </w:rPr>
              <w:t>grupo</w:t>
            </w:r>
            <w:r w:rsidR="00CC3A91" w:rsidRPr="00A9234B">
              <w:rPr>
                <w:rFonts w:asciiTheme="majorHAnsi" w:hAnsiTheme="majorHAnsi" w:cs="Arial"/>
                <w:sz w:val="20"/>
                <w:szCs w:val="20"/>
                <w:lang w:val="es-ES_tradnl"/>
              </w:rPr>
              <w:t>s</w:t>
            </w:r>
            <w:r w:rsidR="00DE4F5C" w:rsidRPr="00A9234B">
              <w:rPr>
                <w:rFonts w:asciiTheme="majorHAnsi" w:hAnsiTheme="majorHAnsi" w:cs="Arial"/>
                <w:sz w:val="20"/>
                <w:szCs w:val="20"/>
                <w:lang w:val="es-ES_tradnl"/>
              </w:rPr>
              <w:t xml:space="preserve"> destinatario</w:t>
            </w:r>
            <w:r w:rsidR="00CC3A91" w:rsidRPr="00A9234B">
              <w:rPr>
                <w:rFonts w:asciiTheme="majorHAnsi" w:hAnsiTheme="majorHAnsi" w:cs="Arial"/>
                <w:sz w:val="20"/>
                <w:szCs w:val="20"/>
                <w:lang w:val="es-ES_tradnl"/>
              </w:rPr>
              <w:t>s</w:t>
            </w:r>
            <w:r w:rsidR="00DE4F5C" w:rsidRPr="00A9234B">
              <w:rPr>
                <w:rFonts w:asciiTheme="majorHAnsi" w:hAnsiTheme="majorHAnsi" w:cs="Arial"/>
                <w:sz w:val="20"/>
                <w:szCs w:val="20"/>
                <w:lang w:val="es-ES_tradnl"/>
              </w:rPr>
              <w:t xml:space="preserve"> </w:t>
            </w:r>
          </w:p>
        </w:tc>
        <w:tc>
          <w:tcPr>
            <w:tcW w:w="497" w:type="pct"/>
            <w:shd w:val="clear" w:color="auto" w:fill="D9D9D9" w:themeFill="background1" w:themeFillShade="D9"/>
          </w:tcPr>
          <w:p w14:paraId="4BD744C6" w14:textId="77777777" w:rsidR="00EF4061" w:rsidRPr="00A9234B" w:rsidRDefault="00EF4061" w:rsidP="00DE4F5C">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Cost</w:t>
            </w:r>
            <w:r w:rsidR="00DE4F5C" w:rsidRPr="00A9234B">
              <w:rPr>
                <w:rFonts w:asciiTheme="majorHAnsi" w:hAnsiTheme="majorHAnsi" w:cs="Arial"/>
                <w:sz w:val="20"/>
                <w:szCs w:val="20"/>
                <w:lang w:val="es-ES_tradnl"/>
              </w:rPr>
              <w:t>o</w:t>
            </w:r>
          </w:p>
          <w:p w14:paraId="3ADF1F56" w14:textId="1C762B63" w:rsidR="00DE4F5C" w:rsidRPr="00A9234B" w:rsidRDefault="00DE4F5C" w:rsidP="00DE4F5C">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francos suizos</w:t>
            </w:r>
          </w:p>
        </w:tc>
      </w:tr>
      <w:tr w:rsidR="00EF4061" w:rsidRPr="00A9234B" w14:paraId="63BF5C82" w14:textId="77777777" w:rsidTr="00DE4F5C">
        <w:tc>
          <w:tcPr>
            <w:tcW w:w="487" w:type="pct"/>
          </w:tcPr>
          <w:p w14:paraId="5AF9E6BF" w14:textId="4C2F77F2" w:rsidR="00EF4061" w:rsidRPr="00A9234B" w:rsidRDefault="00EF4061" w:rsidP="004C3386">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1.1 </w:t>
            </w:r>
            <w:r w:rsidR="001F34FD" w:rsidRPr="00A9234B">
              <w:rPr>
                <w:rFonts w:asciiTheme="majorHAnsi" w:hAnsiTheme="majorHAnsi" w:cs="Arial"/>
                <w:b w:val="0"/>
                <w:sz w:val="20"/>
                <w:szCs w:val="20"/>
                <w:lang w:val="es-ES_tradnl"/>
              </w:rPr>
              <w:t xml:space="preserve">La observación de la Tierra </w:t>
            </w:r>
            <w:r w:rsidR="0047339C" w:rsidRPr="00A9234B">
              <w:rPr>
                <w:rFonts w:asciiTheme="majorHAnsi" w:hAnsiTheme="majorHAnsi" w:cs="Arial"/>
                <w:b w:val="0"/>
                <w:sz w:val="20"/>
                <w:szCs w:val="20"/>
                <w:lang w:val="es-ES_tradnl"/>
              </w:rPr>
              <w:t xml:space="preserve">como herramienta de </w:t>
            </w:r>
            <w:r w:rsidRPr="00A9234B">
              <w:rPr>
                <w:rFonts w:asciiTheme="majorHAnsi" w:hAnsiTheme="majorHAnsi" w:cs="Arial"/>
                <w:b w:val="0"/>
                <w:sz w:val="20"/>
                <w:szCs w:val="20"/>
                <w:lang w:val="es-ES_tradnl"/>
              </w:rPr>
              <w:t>“</w:t>
            </w:r>
            <w:r w:rsidR="0047339C" w:rsidRPr="00A9234B">
              <w:rPr>
                <w:rFonts w:asciiTheme="majorHAnsi" w:hAnsiTheme="majorHAnsi" w:cs="Arial"/>
                <w:b w:val="0"/>
                <w:sz w:val="20"/>
                <w:szCs w:val="20"/>
                <w:lang w:val="es-ES_tradnl"/>
              </w:rPr>
              <w:t>buenas prácticas</w:t>
            </w:r>
            <w:r w:rsidRPr="00A9234B">
              <w:rPr>
                <w:rFonts w:asciiTheme="majorHAnsi" w:hAnsiTheme="majorHAnsi" w:cs="Arial"/>
                <w:b w:val="0"/>
                <w:sz w:val="20"/>
                <w:szCs w:val="20"/>
                <w:lang w:val="es-ES_tradnl"/>
              </w:rPr>
              <w:t xml:space="preserve">” </w:t>
            </w:r>
            <w:r w:rsidR="0047339C" w:rsidRPr="00A9234B">
              <w:rPr>
                <w:rFonts w:asciiTheme="majorHAnsi" w:hAnsiTheme="majorHAnsi" w:cs="Arial"/>
                <w:b w:val="0"/>
                <w:sz w:val="20"/>
                <w:szCs w:val="20"/>
                <w:lang w:val="es-ES_tradnl"/>
              </w:rPr>
              <w:t xml:space="preserve">para los inventarios, mapas y </w:t>
            </w:r>
            <w:r w:rsidR="004C3386" w:rsidRPr="00A9234B">
              <w:rPr>
                <w:rFonts w:asciiTheme="majorHAnsi" w:hAnsiTheme="majorHAnsi" w:cs="Arial"/>
                <w:b w:val="0"/>
                <w:sz w:val="20"/>
                <w:szCs w:val="20"/>
                <w:lang w:val="es-ES_tradnl"/>
              </w:rPr>
              <w:t>vigilancia</w:t>
            </w:r>
            <w:r w:rsidR="00980B11" w:rsidRPr="00A9234B">
              <w:rPr>
                <w:rFonts w:asciiTheme="majorHAnsi" w:hAnsiTheme="majorHAnsi" w:cs="Arial"/>
                <w:b w:val="0"/>
                <w:sz w:val="20"/>
                <w:szCs w:val="20"/>
                <w:lang w:val="es-ES_tradnl"/>
              </w:rPr>
              <w:t xml:space="preserve"> </w:t>
            </w:r>
            <w:r w:rsidR="0047339C" w:rsidRPr="00A9234B">
              <w:rPr>
                <w:rFonts w:asciiTheme="majorHAnsi" w:hAnsiTheme="majorHAnsi" w:cs="Arial"/>
                <w:b w:val="0"/>
                <w:sz w:val="20"/>
                <w:szCs w:val="20"/>
                <w:lang w:val="es-ES_tradnl"/>
              </w:rPr>
              <w:t xml:space="preserve">de </w:t>
            </w:r>
            <w:r w:rsidR="004C3386" w:rsidRPr="00A9234B">
              <w:rPr>
                <w:rFonts w:asciiTheme="majorHAnsi" w:hAnsiTheme="majorHAnsi" w:cs="Arial"/>
                <w:b w:val="0"/>
                <w:sz w:val="20"/>
                <w:szCs w:val="20"/>
                <w:lang w:val="es-ES_tradnl"/>
              </w:rPr>
              <w:t xml:space="preserve">los </w:t>
            </w:r>
            <w:r w:rsidR="0047339C" w:rsidRPr="00A9234B">
              <w:rPr>
                <w:rFonts w:asciiTheme="majorHAnsi" w:hAnsiTheme="majorHAnsi" w:cs="Arial"/>
                <w:b w:val="0"/>
                <w:sz w:val="20"/>
                <w:szCs w:val="20"/>
                <w:lang w:val="es-ES_tradnl"/>
              </w:rPr>
              <w:t xml:space="preserve">humedales, incluyendo los sitios Ramsar </w:t>
            </w:r>
          </w:p>
        </w:tc>
        <w:tc>
          <w:tcPr>
            <w:tcW w:w="351" w:type="pct"/>
          </w:tcPr>
          <w:p w14:paraId="4016105E" w14:textId="63B9F5BB" w:rsidR="00EF4061" w:rsidRPr="00A9234B" w:rsidRDefault="004C3386"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Alta</w:t>
            </w:r>
          </w:p>
        </w:tc>
        <w:tc>
          <w:tcPr>
            <w:tcW w:w="289" w:type="pct"/>
          </w:tcPr>
          <w:p w14:paraId="297EBDF7" w14:textId="61E829E8" w:rsidR="00EF4061" w:rsidRPr="00A9234B" w:rsidRDefault="00EF4061" w:rsidP="004C3386">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XII.5, ¶ 25 (</w:t>
            </w:r>
            <w:r w:rsidR="004C3386" w:rsidRPr="00A9234B">
              <w:rPr>
                <w:rFonts w:asciiTheme="majorHAnsi" w:hAnsiTheme="majorHAnsi" w:cs="Arial"/>
                <w:b w:val="0"/>
                <w:sz w:val="20"/>
                <w:szCs w:val="20"/>
                <w:lang w:val="es-ES_tradnl"/>
              </w:rPr>
              <w:t>como componente del EHMS</w:t>
            </w:r>
            <w:r w:rsidRPr="00A9234B">
              <w:rPr>
                <w:rFonts w:asciiTheme="majorHAnsi" w:hAnsiTheme="majorHAnsi" w:cs="Arial"/>
                <w:b w:val="0"/>
                <w:sz w:val="20"/>
                <w:szCs w:val="20"/>
                <w:lang w:val="es-ES_tradnl"/>
              </w:rPr>
              <w:t>)</w:t>
            </w:r>
          </w:p>
        </w:tc>
        <w:tc>
          <w:tcPr>
            <w:tcW w:w="410" w:type="pct"/>
          </w:tcPr>
          <w:p w14:paraId="7E4A8212"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2.5, 2.7; 4.14</w:t>
            </w:r>
          </w:p>
        </w:tc>
        <w:tc>
          <w:tcPr>
            <w:tcW w:w="2966" w:type="pct"/>
          </w:tcPr>
          <w:p w14:paraId="6C1F2E37" w14:textId="10E0583D" w:rsidR="00EF4061" w:rsidRPr="00A9234B" w:rsidRDefault="00DF2144"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00EF4061" w:rsidRPr="00A9234B">
              <w:rPr>
                <w:rFonts w:asciiTheme="majorHAnsi" w:hAnsiTheme="majorHAnsi" w:cs="Arial"/>
                <w:b w:val="0"/>
                <w:sz w:val="20"/>
                <w:szCs w:val="20"/>
                <w:u w:val="single"/>
                <w:lang w:val="es-ES_tradnl"/>
              </w:rPr>
              <w:t>:</w:t>
            </w:r>
            <w:r w:rsidR="00EF4061" w:rsidRPr="00A9234B">
              <w:rPr>
                <w:rFonts w:asciiTheme="majorHAnsi" w:hAnsiTheme="majorHAnsi" w:cs="Arial"/>
                <w:b w:val="0"/>
                <w:sz w:val="20"/>
                <w:szCs w:val="20"/>
                <w:lang w:val="es-ES_tradnl"/>
              </w:rPr>
              <w:t xml:space="preserve"> </w:t>
            </w:r>
            <w:r w:rsidR="001F34FD" w:rsidRPr="00A9234B">
              <w:rPr>
                <w:rFonts w:asciiTheme="majorHAnsi" w:hAnsiTheme="majorHAnsi" w:cs="Arial"/>
                <w:b w:val="0"/>
                <w:sz w:val="20"/>
                <w:szCs w:val="20"/>
                <w:lang w:val="es-ES_tradnl"/>
              </w:rPr>
              <w:t>Examinar e informar sobre el papel y utilización de los sistemas de observación de la Tierra para la elaboración de inventarios, mapa</w:t>
            </w:r>
            <w:r w:rsidR="004C3386" w:rsidRPr="00A9234B">
              <w:rPr>
                <w:rFonts w:asciiTheme="majorHAnsi" w:hAnsiTheme="majorHAnsi" w:cs="Arial"/>
                <w:b w:val="0"/>
                <w:sz w:val="20"/>
                <w:szCs w:val="20"/>
                <w:lang w:val="es-ES_tradnl"/>
              </w:rPr>
              <w:t xml:space="preserve">s y vigilancia </w:t>
            </w:r>
            <w:r w:rsidR="001F34FD" w:rsidRPr="00A9234B">
              <w:rPr>
                <w:rFonts w:asciiTheme="majorHAnsi" w:hAnsiTheme="majorHAnsi" w:cs="Arial"/>
                <w:b w:val="0"/>
                <w:sz w:val="20"/>
                <w:szCs w:val="20"/>
                <w:lang w:val="es-ES_tradnl"/>
              </w:rPr>
              <w:t>de los humedales, incluyendo los sitios Ramsar.</w:t>
            </w:r>
            <w:r w:rsidR="0088725B" w:rsidRPr="00A9234B">
              <w:rPr>
                <w:rFonts w:asciiTheme="majorHAnsi" w:hAnsiTheme="majorHAnsi" w:cs="Arial"/>
                <w:b w:val="0"/>
                <w:sz w:val="20"/>
                <w:szCs w:val="20"/>
                <w:lang w:val="es-ES_tradnl"/>
              </w:rPr>
              <w:t xml:space="preserve"> </w:t>
            </w:r>
            <w:r w:rsidR="00EF4061" w:rsidRPr="00A9234B">
              <w:rPr>
                <w:rFonts w:asciiTheme="majorHAnsi" w:hAnsiTheme="majorHAnsi" w:cs="Calibri"/>
                <w:b w:val="0"/>
                <w:bCs/>
                <w:sz w:val="20"/>
                <w:szCs w:val="20"/>
                <w:lang w:val="es-ES_tradnl"/>
              </w:rPr>
              <w:t>Global Mangrove Watch, GlobWetland Africa</w:t>
            </w:r>
            <w:r w:rsidR="00B65ED3" w:rsidRPr="00A9234B">
              <w:rPr>
                <w:rFonts w:asciiTheme="majorHAnsi" w:hAnsiTheme="majorHAnsi" w:cs="Calibri"/>
                <w:b w:val="0"/>
                <w:bCs/>
                <w:sz w:val="20"/>
                <w:szCs w:val="20"/>
                <w:lang w:val="es-ES_tradnl"/>
              </w:rPr>
              <w:t xml:space="preserve"> y otras iniciativas de observación de la Tierra </w:t>
            </w:r>
            <w:r w:rsidR="00875044" w:rsidRPr="00A9234B">
              <w:rPr>
                <w:rFonts w:asciiTheme="majorHAnsi" w:hAnsiTheme="majorHAnsi" w:cs="Calibri"/>
                <w:b w:val="0"/>
                <w:bCs/>
                <w:sz w:val="20"/>
                <w:szCs w:val="20"/>
                <w:lang w:val="es-ES_tradnl"/>
              </w:rPr>
              <w:t xml:space="preserve">serán objeto de un Informe </w:t>
            </w:r>
            <w:r w:rsidR="00CC3A91" w:rsidRPr="00A9234B">
              <w:rPr>
                <w:rFonts w:asciiTheme="majorHAnsi" w:hAnsiTheme="majorHAnsi" w:cs="Calibri"/>
                <w:b w:val="0"/>
                <w:bCs/>
                <w:sz w:val="20"/>
                <w:szCs w:val="20"/>
                <w:lang w:val="es-ES_tradnl"/>
              </w:rPr>
              <w:t>Técnico</w:t>
            </w:r>
            <w:r w:rsidR="00875044" w:rsidRPr="00A9234B">
              <w:rPr>
                <w:rFonts w:asciiTheme="majorHAnsi" w:hAnsiTheme="majorHAnsi" w:cs="Calibri"/>
                <w:b w:val="0"/>
                <w:bCs/>
                <w:sz w:val="20"/>
                <w:szCs w:val="20"/>
                <w:lang w:val="es-ES_tradnl"/>
              </w:rPr>
              <w:t xml:space="preserve"> de </w:t>
            </w:r>
            <w:r w:rsidR="003A5F8D" w:rsidRPr="00A9234B">
              <w:rPr>
                <w:rFonts w:asciiTheme="majorHAnsi" w:hAnsiTheme="majorHAnsi" w:cs="Calibri"/>
                <w:b w:val="0"/>
                <w:bCs/>
                <w:sz w:val="20"/>
                <w:szCs w:val="20"/>
                <w:lang w:val="es-ES_tradnl"/>
              </w:rPr>
              <w:t>R</w:t>
            </w:r>
            <w:r w:rsidR="00875044" w:rsidRPr="00A9234B">
              <w:rPr>
                <w:rFonts w:asciiTheme="majorHAnsi" w:hAnsiTheme="majorHAnsi" w:cs="Calibri"/>
                <w:b w:val="0"/>
                <w:bCs/>
                <w:sz w:val="20"/>
                <w:szCs w:val="20"/>
                <w:lang w:val="es-ES_tradnl"/>
              </w:rPr>
              <w:t>amsar</w:t>
            </w:r>
            <w:r w:rsidR="00EF4061" w:rsidRPr="00A9234B">
              <w:rPr>
                <w:rFonts w:asciiTheme="majorHAnsi" w:hAnsiTheme="majorHAnsi" w:cs="Calibri"/>
                <w:b w:val="0"/>
                <w:bCs/>
                <w:sz w:val="20"/>
                <w:szCs w:val="20"/>
                <w:lang w:val="es-ES_tradnl"/>
              </w:rPr>
              <w:t xml:space="preserve">). </w:t>
            </w:r>
            <w:r w:rsidR="00B65ED3" w:rsidRPr="00A9234B">
              <w:rPr>
                <w:rFonts w:asciiTheme="majorHAnsi" w:hAnsiTheme="majorHAnsi" w:cs="Calibri"/>
                <w:b w:val="0"/>
                <w:bCs/>
                <w:sz w:val="20"/>
                <w:szCs w:val="20"/>
                <w:lang w:val="es-ES_tradnl"/>
              </w:rPr>
              <w:t xml:space="preserve">El Informe Técnico de Ramsar hablará de la utilización de </w:t>
            </w:r>
            <w:r w:rsidR="004C3386" w:rsidRPr="00A9234B">
              <w:rPr>
                <w:rFonts w:asciiTheme="majorHAnsi" w:hAnsiTheme="majorHAnsi" w:cs="Calibri"/>
                <w:b w:val="0"/>
                <w:bCs/>
                <w:sz w:val="20"/>
                <w:szCs w:val="20"/>
                <w:lang w:val="es-ES_tradnl"/>
              </w:rPr>
              <w:t xml:space="preserve">las </w:t>
            </w:r>
            <w:r w:rsidR="00B65ED3" w:rsidRPr="00A9234B">
              <w:rPr>
                <w:rFonts w:asciiTheme="majorHAnsi" w:hAnsiTheme="majorHAnsi" w:cs="Calibri"/>
                <w:b w:val="0"/>
                <w:bCs/>
                <w:sz w:val="20"/>
                <w:szCs w:val="20"/>
                <w:lang w:val="es-ES_tradnl"/>
              </w:rPr>
              <w:t>imágenes de radar obtenidas por satélites lanzadas por</w:t>
            </w:r>
            <w:r w:rsidR="00C413C7" w:rsidRPr="00A9234B">
              <w:rPr>
                <w:rFonts w:asciiTheme="majorHAnsi" w:hAnsiTheme="majorHAnsi" w:cs="Calibri"/>
                <w:b w:val="0"/>
                <w:bCs/>
                <w:sz w:val="20"/>
                <w:szCs w:val="20"/>
                <w:lang w:val="es-ES_tradnl"/>
              </w:rPr>
              <w:t xml:space="preserve"> la</w:t>
            </w:r>
            <w:r w:rsidR="00B65ED3" w:rsidRPr="00A9234B">
              <w:rPr>
                <w:rFonts w:asciiTheme="majorHAnsi" w:hAnsiTheme="majorHAnsi" w:cs="Calibri"/>
                <w:b w:val="0"/>
                <w:bCs/>
                <w:sz w:val="20"/>
                <w:szCs w:val="20"/>
                <w:lang w:val="es-ES_tradnl"/>
              </w:rPr>
              <w:t xml:space="preserve"> JAXA como una herramienta de "buena</w:t>
            </w:r>
            <w:r w:rsidR="004C3386" w:rsidRPr="00A9234B">
              <w:rPr>
                <w:rFonts w:asciiTheme="majorHAnsi" w:hAnsiTheme="majorHAnsi" w:cs="Calibri"/>
                <w:b w:val="0"/>
                <w:bCs/>
                <w:sz w:val="20"/>
                <w:szCs w:val="20"/>
                <w:lang w:val="es-ES_tradnl"/>
              </w:rPr>
              <w:t>s</w:t>
            </w:r>
            <w:r w:rsidR="00B65ED3" w:rsidRPr="00A9234B">
              <w:rPr>
                <w:rFonts w:asciiTheme="majorHAnsi" w:hAnsiTheme="majorHAnsi" w:cs="Calibri"/>
                <w:b w:val="0"/>
                <w:bCs/>
                <w:sz w:val="20"/>
                <w:szCs w:val="20"/>
                <w:lang w:val="es-ES_tradnl"/>
              </w:rPr>
              <w:t xml:space="preserve"> prácticas" para elaborar mapas de los cambios</w:t>
            </w:r>
            <w:r w:rsidR="0088725B" w:rsidRPr="00A9234B">
              <w:rPr>
                <w:rFonts w:asciiTheme="majorHAnsi" w:hAnsiTheme="majorHAnsi" w:cs="Calibri"/>
                <w:b w:val="0"/>
                <w:bCs/>
                <w:sz w:val="20"/>
                <w:szCs w:val="20"/>
                <w:lang w:val="es-ES_tradnl"/>
              </w:rPr>
              <w:t xml:space="preserve"> </w:t>
            </w:r>
            <w:r w:rsidR="00B65ED3" w:rsidRPr="00A9234B">
              <w:rPr>
                <w:rFonts w:asciiTheme="majorHAnsi" w:hAnsiTheme="majorHAnsi" w:cs="Calibri"/>
                <w:b w:val="0"/>
                <w:bCs/>
                <w:sz w:val="20"/>
                <w:szCs w:val="20"/>
                <w:lang w:val="es-ES_tradnl"/>
              </w:rPr>
              <w:t>en la extensión mundial de los manglares a lo largo del tempo, incluyendo</w:t>
            </w:r>
            <w:r w:rsidR="0088725B" w:rsidRPr="00A9234B">
              <w:rPr>
                <w:rFonts w:asciiTheme="majorHAnsi" w:hAnsiTheme="majorHAnsi" w:cs="Calibri"/>
                <w:b w:val="0"/>
                <w:bCs/>
                <w:sz w:val="20"/>
                <w:szCs w:val="20"/>
                <w:lang w:val="es-ES_tradnl"/>
              </w:rPr>
              <w:t xml:space="preserve"> </w:t>
            </w:r>
            <w:r w:rsidR="0090170D" w:rsidRPr="00A9234B">
              <w:rPr>
                <w:rFonts w:asciiTheme="majorHAnsi" w:hAnsiTheme="majorHAnsi" w:cs="Calibri"/>
                <w:b w:val="0"/>
                <w:bCs/>
                <w:sz w:val="20"/>
                <w:szCs w:val="20"/>
                <w:lang w:val="es-ES_tradnl"/>
              </w:rPr>
              <w:t xml:space="preserve">su expansión hacia el mar, además de su retroceso. La elaboración de mapas con los cambios en el estado de los manglares, mundialmente y regionalmente, puede facilitar la priorización de las iniciativas de protección </w:t>
            </w:r>
            <w:r w:rsidR="00382E75" w:rsidRPr="00A9234B">
              <w:rPr>
                <w:rFonts w:asciiTheme="majorHAnsi" w:hAnsiTheme="majorHAnsi" w:cs="Calibri"/>
                <w:b w:val="0"/>
                <w:bCs/>
                <w:sz w:val="20"/>
                <w:szCs w:val="20"/>
                <w:lang w:val="es-ES_tradnl"/>
              </w:rPr>
              <w:t xml:space="preserve">y la </w:t>
            </w:r>
            <w:r w:rsidR="0090170D" w:rsidRPr="00A9234B">
              <w:rPr>
                <w:rFonts w:asciiTheme="majorHAnsi" w:hAnsiTheme="majorHAnsi" w:cs="Calibri"/>
                <w:b w:val="0"/>
                <w:bCs/>
                <w:sz w:val="20"/>
                <w:szCs w:val="20"/>
                <w:lang w:val="es-ES_tradnl"/>
              </w:rPr>
              <w:t>identificación</w:t>
            </w:r>
            <w:r w:rsidR="00382E75" w:rsidRPr="00A9234B">
              <w:rPr>
                <w:rFonts w:asciiTheme="majorHAnsi" w:hAnsiTheme="majorHAnsi" w:cs="Calibri"/>
                <w:b w:val="0"/>
                <w:bCs/>
                <w:sz w:val="20"/>
                <w:szCs w:val="20"/>
                <w:lang w:val="es-ES_tradnl"/>
              </w:rPr>
              <w:t xml:space="preserve"> de oportunidades para la restauración </w:t>
            </w:r>
            <w:r w:rsidR="00EF4061" w:rsidRPr="00A9234B">
              <w:rPr>
                <w:rFonts w:asciiTheme="majorHAnsi" w:hAnsiTheme="majorHAnsi" w:cs="Calibri"/>
                <w:b w:val="0"/>
                <w:bCs/>
                <w:sz w:val="20"/>
                <w:szCs w:val="20"/>
                <w:lang w:val="es-ES_tradnl"/>
              </w:rPr>
              <w:t>(</w:t>
            </w:r>
            <w:r w:rsidR="004C3386" w:rsidRPr="00A9234B">
              <w:rPr>
                <w:rFonts w:asciiTheme="majorHAnsi" w:hAnsiTheme="majorHAnsi" w:cs="Calibri"/>
                <w:b w:val="0"/>
                <w:bCs/>
                <w:sz w:val="20"/>
                <w:szCs w:val="20"/>
                <w:lang w:val="es-ES_tradnl"/>
              </w:rPr>
              <w:t>v</w:t>
            </w:r>
            <w:r w:rsidR="003A5F8D" w:rsidRPr="00A9234B">
              <w:rPr>
                <w:rFonts w:asciiTheme="majorHAnsi" w:hAnsiTheme="majorHAnsi" w:cs="Calibri"/>
                <w:b w:val="0"/>
                <w:bCs/>
                <w:sz w:val="20"/>
                <w:szCs w:val="20"/>
                <w:lang w:val="es-ES_tradnl"/>
              </w:rPr>
              <w:t xml:space="preserve">éase también, por ejemplo, el Sistema de Monitoreo de los Manglares de México </w:t>
            </w:r>
            <w:r w:rsidR="00EF4061" w:rsidRPr="00A9234B">
              <w:rPr>
                <w:rFonts w:asciiTheme="majorHAnsi" w:hAnsiTheme="majorHAnsi" w:cs="Calibri"/>
                <w:b w:val="0"/>
                <w:bCs/>
                <w:sz w:val="20"/>
                <w:szCs w:val="20"/>
                <w:lang w:val="es-ES_tradnl"/>
              </w:rPr>
              <w:t xml:space="preserve">(SMMM)). </w:t>
            </w:r>
            <w:r w:rsidR="003A5F8D" w:rsidRPr="00A9234B">
              <w:rPr>
                <w:rFonts w:asciiTheme="majorHAnsi" w:hAnsiTheme="majorHAnsi" w:cs="Calibri"/>
                <w:b w:val="0"/>
                <w:bCs/>
                <w:sz w:val="20"/>
                <w:szCs w:val="20"/>
                <w:lang w:val="es-ES_tradnl"/>
              </w:rPr>
              <w:t xml:space="preserve">El Informe Técnico de Ramsar también estudiará los datos obtenidos por satélite que tiene </w:t>
            </w:r>
            <w:r w:rsidR="00EF4061" w:rsidRPr="00A9234B">
              <w:rPr>
                <w:rFonts w:asciiTheme="majorHAnsi" w:hAnsiTheme="majorHAnsi" w:cs="Calibri"/>
                <w:b w:val="0"/>
                <w:bCs/>
                <w:sz w:val="20"/>
                <w:szCs w:val="20"/>
                <w:lang w:val="es-ES_tradnl"/>
              </w:rPr>
              <w:t>GlobWetland Africa (</w:t>
            </w:r>
            <w:r w:rsidR="003A5F8D" w:rsidRPr="00A9234B">
              <w:rPr>
                <w:rFonts w:asciiTheme="majorHAnsi" w:hAnsiTheme="majorHAnsi" w:cs="Calibri"/>
                <w:b w:val="0"/>
                <w:bCs/>
                <w:sz w:val="20"/>
                <w:szCs w:val="20"/>
                <w:lang w:val="es-ES_tradnl"/>
              </w:rPr>
              <w:t xml:space="preserve">generados por la Agencia Espacial Europea y </w:t>
            </w:r>
            <w:r w:rsidR="004C3386" w:rsidRPr="00A9234B">
              <w:rPr>
                <w:rFonts w:asciiTheme="majorHAnsi" w:hAnsiTheme="majorHAnsi" w:cs="Calibri"/>
                <w:b w:val="0"/>
                <w:bCs/>
                <w:sz w:val="20"/>
                <w:szCs w:val="20"/>
                <w:lang w:val="es-ES_tradnl"/>
              </w:rPr>
              <w:t xml:space="preserve">los </w:t>
            </w:r>
            <w:r w:rsidR="00EA080E" w:rsidRPr="00A9234B">
              <w:rPr>
                <w:rFonts w:asciiTheme="majorHAnsi" w:hAnsiTheme="majorHAnsi" w:cs="Calibri"/>
                <w:b w:val="0"/>
                <w:bCs/>
                <w:sz w:val="20"/>
                <w:szCs w:val="20"/>
                <w:lang w:val="es-ES_tradnl"/>
              </w:rPr>
              <w:t>asociados nacionales y locales</w:t>
            </w:r>
            <w:r w:rsidR="00EF4061" w:rsidRPr="00A9234B">
              <w:rPr>
                <w:rFonts w:asciiTheme="majorHAnsi" w:hAnsiTheme="majorHAnsi" w:cs="Calibri"/>
                <w:b w:val="0"/>
                <w:bCs/>
                <w:sz w:val="20"/>
                <w:szCs w:val="20"/>
                <w:lang w:val="es-ES_tradnl"/>
              </w:rPr>
              <w:t xml:space="preserve">), </w:t>
            </w:r>
            <w:r w:rsidR="00EA080E" w:rsidRPr="00A9234B">
              <w:rPr>
                <w:rFonts w:asciiTheme="majorHAnsi" w:hAnsiTheme="majorHAnsi" w:cs="Calibri"/>
                <w:b w:val="0"/>
                <w:bCs/>
                <w:sz w:val="20"/>
                <w:szCs w:val="20"/>
                <w:lang w:val="es-ES_tradnl"/>
              </w:rPr>
              <w:t xml:space="preserve">y el juego de herramientas y artículos científicos resultantes, destacando la observación de la Tierra como una herramienta de "buenas prácticas" para inventarios, mapas y </w:t>
            </w:r>
            <w:r w:rsidR="004C3386" w:rsidRPr="00A9234B">
              <w:rPr>
                <w:rFonts w:asciiTheme="majorHAnsi" w:hAnsiTheme="majorHAnsi" w:cs="Calibri"/>
                <w:b w:val="0"/>
                <w:bCs/>
                <w:sz w:val="20"/>
                <w:szCs w:val="20"/>
                <w:lang w:val="es-ES_tradnl"/>
              </w:rPr>
              <w:t>vigilancia</w:t>
            </w:r>
            <w:r w:rsidR="00EA080E" w:rsidRPr="00A9234B">
              <w:rPr>
                <w:rFonts w:asciiTheme="majorHAnsi" w:hAnsiTheme="majorHAnsi" w:cs="Calibri"/>
                <w:b w:val="0"/>
                <w:bCs/>
                <w:sz w:val="20"/>
                <w:szCs w:val="20"/>
                <w:lang w:val="es-ES_tradnl"/>
              </w:rPr>
              <w:t xml:space="preserve"> de los humedales africanos, incluyendo los sitios Ramsar. </w:t>
            </w:r>
            <w:r w:rsidR="00EF4061" w:rsidRPr="00A9234B">
              <w:rPr>
                <w:rFonts w:asciiTheme="majorHAnsi" w:hAnsiTheme="majorHAnsi" w:cs="Calibri"/>
                <w:b w:val="0"/>
                <w:bCs/>
                <w:sz w:val="20"/>
                <w:szCs w:val="20"/>
                <w:lang w:val="es-ES_tradnl"/>
              </w:rPr>
              <w:t>T</w:t>
            </w:r>
            <w:r w:rsidR="00EA080E" w:rsidRPr="00A9234B">
              <w:rPr>
                <w:rFonts w:asciiTheme="majorHAnsi" w:hAnsiTheme="majorHAnsi" w:cs="Calibri"/>
                <w:b w:val="0"/>
                <w:bCs/>
                <w:sz w:val="20"/>
                <w:szCs w:val="20"/>
                <w:lang w:val="es-ES_tradnl"/>
              </w:rPr>
              <w:t xml:space="preserve">ambién se estudiarán los beneficios del Sistema </w:t>
            </w:r>
            <w:r w:rsidR="00300D57" w:rsidRPr="00A9234B">
              <w:rPr>
                <w:rFonts w:asciiTheme="majorHAnsi" w:hAnsiTheme="majorHAnsi" w:cs="Calibri"/>
                <w:b w:val="0"/>
                <w:bCs/>
                <w:sz w:val="20"/>
                <w:szCs w:val="20"/>
                <w:lang w:val="es-ES_tradnl"/>
              </w:rPr>
              <w:t>de Observación</w:t>
            </w:r>
            <w:r w:rsidR="00EA080E" w:rsidRPr="00A9234B">
              <w:rPr>
                <w:rFonts w:asciiTheme="majorHAnsi" w:hAnsiTheme="majorHAnsi" w:cs="Calibri"/>
                <w:b w:val="0"/>
                <w:bCs/>
                <w:sz w:val="20"/>
                <w:szCs w:val="20"/>
                <w:lang w:val="es-ES_tradnl"/>
              </w:rPr>
              <w:t xml:space="preserve"> de Humedales basada en los satélites </w:t>
            </w:r>
            <w:r w:rsidR="00EF4061" w:rsidRPr="00A9234B">
              <w:rPr>
                <w:rFonts w:asciiTheme="majorHAnsi" w:hAnsiTheme="majorHAnsi" w:cs="Helvetica"/>
                <w:b w:val="0"/>
                <w:sz w:val="20"/>
                <w:szCs w:val="20"/>
                <w:lang w:val="es-ES_tradnl"/>
              </w:rPr>
              <w:t xml:space="preserve">(SWOS) </w:t>
            </w:r>
            <w:r w:rsidR="00EA080E" w:rsidRPr="00A9234B">
              <w:rPr>
                <w:rFonts w:asciiTheme="majorHAnsi" w:hAnsiTheme="majorHAnsi" w:cs="Helvetica"/>
                <w:b w:val="0"/>
                <w:sz w:val="20"/>
                <w:szCs w:val="20"/>
                <w:lang w:val="es-ES_tradnl"/>
              </w:rPr>
              <w:t xml:space="preserve">para el manejo de los sitios. </w:t>
            </w:r>
          </w:p>
          <w:p w14:paraId="033CE008" w14:textId="6B452F4F" w:rsidR="00EF4061" w:rsidRPr="00A9234B" w:rsidRDefault="00DF2144"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00EF4061" w:rsidRPr="00A9234B">
              <w:rPr>
                <w:rFonts w:asciiTheme="majorHAnsi" w:hAnsiTheme="majorHAnsi" w:cs="Arial"/>
                <w:b w:val="0"/>
                <w:sz w:val="20"/>
                <w:szCs w:val="20"/>
                <w:lang w:val="es-ES_tradnl"/>
              </w:rPr>
              <w:t xml:space="preserve">: </w:t>
            </w:r>
            <w:r w:rsidR="003A5F8D" w:rsidRPr="00A9234B">
              <w:rPr>
                <w:rFonts w:asciiTheme="majorHAnsi" w:hAnsiTheme="majorHAnsi" w:cs="Arial"/>
                <w:b w:val="0"/>
                <w:sz w:val="20"/>
                <w:szCs w:val="20"/>
                <w:lang w:val="es-ES_tradnl"/>
              </w:rPr>
              <w:t xml:space="preserve">Informe Técnico de </w:t>
            </w:r>
            <w:r w:rsidR="00EF4061" w:rsidRPr="00A9234B">
              <w:rPr>
                <w:rFonts w:asciiTheme="majorHAnsi" w:hAnsiTheme="majorHAnsi" w:cs="Arial"/>
                <w:b w:val="0"/>
                <w:sz w:val="20"/>
                <w:szCs w:val="20"/>
                <w:lang w:val="es-ES_tradnl"/>
              </w:rPr>
              <w:t xml:space="preserve">Ramsar </w:t>
            </w:r>
          </w:p>
          <w:p w14:paraId="516B43AF" w14:textId="77777777" w:rsidR="00EF4061" w:rsidRPr="00A9234B" w:rsidRDefault="00EF4061" w:rsidP="00EF4061">
            <w:pPr>
              <w:rPr>
                <w:rFonts w:asciiTheme="majorHAnsi" w:hAnsiTheme="majorHAnsi" w:cs="Arial"/>
                <w:b w:val="0"/>
                <w:sz w:val="20"/>
                <w:szCs w:val="20"/>
                <w:lang w:val="es-ES_tradnl"/>
              </w:rPr>
            </w:pPr>
          </w:p>
          <w:p w14:paraId="1B1073EF" w14:textId="4A09EC92" w:rsidR="00EF4061" w:rsidRPr="00A9234B" w:rsidRDefault="003A5F8D" w:rsidP="003A5F8D">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Grupo destinatario</w:t>
            </w:r>
            <w:r w:rsidR="00EF4061" w:rsidRPr="00A9234B">
              <w:rPr>
                <w:rFonts w:asciiTheme="majorHAnsi" w:hAnsiTheme="majorHAnsi" w:cs="Arial"/>
                <w:b w:val="0"/>
                <w:sz w:val="20"/>
                <w:szCs w:val="20"/>
                <w:lang w:val="es-ES_tradnl"/>
              </w:rPr>
              <w:t xml:space="preserve">: </w:t>
            </w:r>
            <w:r w:rsidR="005B4BA2" w:rsidRPr="00A9234B">
              <w:rPr>
                <w:rFonts w:asciiTheme="majorHAnsi" w:hAnsiTheme="majorHAnsi" w:cs="Arial"/>
                <w:b w:val="0"/>
                <w:sz w:val="20"/>
                <w:szCs w:val="20"/>
                <w:lang w:val="es-ES_tradnl"/>
              </w:rPr>
              <w:t>Profesionales</w:t>
            </w:r>
          </w:p>
        </w:tc>
        <w:tc>
          <w:tcPr>
            <w:tcW w:w="497" w:type="pct"/>
          </w:tcPr>
          <w:p w14:paraId="613C5CC2" w14:textId="27AEFD89" w:rsidR="00EF4061" w:rsidRPr="00A9234B" w:rsidRDefault="003E038E" w:rsidP="003E038E">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Hasta </w:t>
            </w:r>
            <w:r w:rsidR="00EF4061" w:rsidRPr="00A9234B">
              <w:rPr>
                <w:rFonts w:asciiTheme="majorHAnsi" w:hAnsiTheme="majorHAnsi" w:cs="Arial"/>
                <w:b w:val="0"/>
                <w:sz w:val="20"/>
                <w:szCs w:val="20"/>
                <w:lang w:val="es-ES_tradnl"/>
              </w:rPr>
              <w:t>3</w:t>
            </w:r>
            <w:r w:rsidR="00674F73" w:rsidRPr="00A9234B">
              <w:rPr>
                <w:rFonts w:asciiTheme="majorHAnsi" w:hAnsiTheme="majorHAnsi" w:cs="Arial"/>
                <w:b w:val="0"/>
                <w:sz w:val="20"/>
                <w:szCs w:val="20"/>
                <w:lang w:val="es-ES_tradnl"/>
              </w:rPr>
              <w:t>3</w:t>
            </w:r>
            <w:r w:rsidRPr="00A9234B">
              <w:rPr>
                <w:rFonts w:asciiTheme="majorHAnsi" w:hAnsiTheme="majorHAnsi" w:cs="Arial"/>
                <w:b w:val="0"/>
                <w:sz w:val="20"/>
                <w:szCs w:val="20"/>
                <w:lang w:val="es-ES_tradnl"/>
              </w:rPr>
              <w:t>.</w:t>
            </w:r>
            <w:r w:rsidR="00EF4061" w:rsidRPr="00A9234B">
              <w:rPr>
                <w:rFonts w:asciiTheme="majorHAnsi" w:hAnsiTheme="majorHAnsi" w:cs="Arial"/>
                <w:b w:val="0"/>
                <w:sz w:val="20"/>
                <w:szCs w:val="20"/>
                <w:lang w:val="es-ES_tradnl"/>
              </w:rPr>
              <w:t xml:space="preserve">500 </w:t>
            </w:r>
          </w:p>
        </w:tc>
      </w:tr>
      <w:tr w:rsidR="00EF4061" w:rsidRPr="00A9234B" w14:paraId="26FB1391" w14:textId="77777777" w:rsidTr="00DE4F5C">
        <w:tc>
          <w:tcPr>
            <w:tcW w:w="487" w:type="pct"/>
          </w:tcPr>
          <w:p w14:paraId="3F4CE5DB" w14:textId="54195DFF" w:rsidR="00EF4061" w:rsidRPr="00A9234B" w:rsidRDefault="00D90473" w:rsidP="0047339C">
            <w:pPr>
              <w:rPr>
                <w:rFonts w:asciiTheme="majorHAnsi" w:hAnsiTheme="majorHAnsi" w:cs="Arial"/>
                <w:b w:val="0"/>
                <w:sz w:val="20"/>
                <w:szCs w:val="20"/>
                <w:lang w:val="es-ES_tradnl"/>
              </w:rPr>
            </w:pPr>
            <w:r w:rsidRPr="00A9234B">
              <w:rPr>
                <w:rFonts w:asciiTheme="majorHAnsi" w:hAnsiTheme="majorHAnsi" w:cs="Arial"/>
                <w:b w:val="0"/>
                <w:sz w:val="20"/>
                <w:szCs w:val="20"/>
                <w:lang w:val="es-ES"/>
              </w:rPr>
              <w:t xml:space="preserve"> </w:t>
            </w:r>
            <w:r w:rsidR="00EF4061" w:rsidRPr="00A9234B">
              <w:rPr>
                <w:rFonts w:asciiTheme="majorHAnsi" w:hAnsiTheme="majorHAnsi" w:cs="Arial"/>
                <w:b w:val="0"/>
                <w:sz w:val="20"/>
                <w:szCs w:val="20"/>
                <w:lang w:val="es-ES_tradnl"/>
              </w:rPr>
              <w:t xml:space="preserve"> 1.2 </w:t>
            </w:r>
            <w:r w:rsidR="0047339C" w:rsidRPr="00A9234B">
              <w:rPr>
                <w:rFonts w:asciiTheme="majorHAnsi" w:hAnsiTheme="majorHAnsi" w:cs="Arial"/>
                <w:b w:val="0"/>
                <w:sz w:val="20"/>
                <w:szCs w:val="20"/>
                <w:lang w:val="es-ES_tradnl"/>
              </w:rPr>
              <w:t xml:space="preserve">Taller </w:t>
            </w:r>
            <w:r w:rsidR="0047339C" w:rsidRPr="00A9234B">
              <w:rPr>
                <w:rFonts w:asciiTheme="majorHAnsi" w:hAnsiTheme="majorHAnsi" w:cs="Arial"/>
                <w:b w:val="0"/>
                <w:sz w:val="20"/>
                <w:szCs w:val="20"/>
                <w:lang w:val="es-ES_tradnl"/>
              </w:rPr>
              <w:lastRenderedPageBreak/>
              <w:t xml:space="preserve">sobre la aplicación de los inventarios culturales para humedales </w:t>
            </w:r>
          </w:p>
        </w:tc>
        <w:tc>
          <w:tcPr>
            <w:tcW w:w="351" w:type="pct"/>
          </w:tcPr>
          <w:p w14:paraId="041ADB5A" w14:textId="77777777" w:rsidR="00EF4061" w:rsidRPr="00A9234B" w:rsidRDefault="00EF4061" w:rsidP="00EF4061">
            <w:pPr>
              <w:rPr>
                <w:rFonts w:asciiTheme="majorHAnsi" w:hAnsiTheme="majorHAnsi" w:cs="Arial"/>
                <w:b w:val="0"/>
                <w:sz w:val="20"/>
                <w:szCs w:val="20"/>
                <w:lang w:val="es-ES_tradnl"/>
              </w:rPr>
            </w:pPr>
          </w:p>
        </w:tc>
        <w:tc>
          <w:tcPr>
            <w:tcW w:w="289" w:type="pct"/>
          </w:tcPr>
          <w:p w14:paraId="155DC88A" w14:textId="2086EFB0"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XII.5, </w:t>
            </w:r>
            <w:r w:rsidR="005C68E2" w:rsidRPr="00A9234B">
              <w:rPr>
                <w:rFonts w:asciiTheme="majorHAnsi" w:hAnsiTheme="majorHAnsi" w:cs="Arial"/>
                <w:b w:val="0"/>
                <w:sz w:val="20"/>
                <w:szCs w:val="20"/>
                <w:lang w:val="es-ES_tradnl"/>
              </w:rPr>
              <w:lastRenderedPageBreak/>
              <w:t>Anexo</w:t>
            </w:r>
            <w:r w:rsidRPr="00A9234B">
              <w:rPr>
                <w:rFonts w:asciiTheme="majorHAnsi" w:hAnsiTheme="majorHAnsi" w:cs="Arial"/>
                <w:b w:val="0"/>
                <w:sz w:val="20"/>
                <w:szCs w:val="20"/>
                <w:lang w:val="es-ES_tradnl"/>
              </w:rPr>
              <w:t xml:space="preserve"> 3</w:t>
            </w:r>
          </w:p>
        </w:tc>
        <w:tc>
          <w:tcPr>
            <w:tcW w:w="410" w:type="pct"/>
          </w:tcPr>
          <w:p w14:paraId="49E31C7D" w14:textId="77777777"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2.5, 2.7; </w:t>
            </w:r>
            <w:r w:rsidRPr="00A9234B">
              <w:rPr>
                <w:rFonts w:asciiTheme="majorHAnsi" w:hAnsiTheme="majorHAnsi" w:cs="Arial"/>
                <w:b w:val="0"/>
                <w:sz w:val="20"/>
                <w:szCs w:val="20"/>
                <w:lang w:val="es-ES_tradnl"/>
              </w:rPr>
              <w:lastRenderedPageBreak/>
              <w:t>3.10, 3.11; 4.14, 4.16, 4.19</w:t>
            </w:r>
          </w:p>
        </w:tc>
        <w:tc>
          <w:tcPr>
            <w:tcW w:w="2966" w:type="pct"/>
          </w:tcPr>
          <w:p w14:paraId="2692B751" w14:textId="0C7DE0C8" w:rsidR="00E71E1B" w:rsidRPr="00A9234B" w:rsidRDefault="00DF2144" w:rsidP="00E71E1B">
            <w:pPr>
              <w:rPr>
                <w:rFonts w:asciiTheme="majorHAnsi" w:hAnsiTheme="majorHAnsi"/>
                <w:sz w:val="20"/>
                <w:szCs w:val="20"/>
                <w:lang w:val="es-ES_tradnl" w:eastAsia="es-ES"/>
              </w:rPr>
            </w:pPr>
            <w:r w:rsidRPr="00A9234B">
              <w:rPr>
                <w:rFonts w:asciiTheme="majorHAnsi" w:hAnsiTheme="majorHAnsi" w:cs="Arial"/>
                <w:b w:val="0"/>
                <w:sz w:val="20"/>
                <w:szCs w:val="20"/>
                <w:u w:val="single"/>
                <w:lang w:val="es-ES_tradnl"/>
              </w:rPr>
              <w:lastRenderedPageBreak/>
              <w:t>Descripción de la tarea</w:t>
            </w:r>
            <w:r w:rsidR="00EF4061" w:rsidRPr="00A9234B">
              <w:rPr>
                <w:rFonts w:asciiTheme="majorHAnsi" w:hAnsiTheme="majorHAnsi" w:cs="Arial"/>
                <w:b w:val="0"/>
                <w:sz w:val="20"/>
                <w:szCs w:val="20"/>
                <w:lang w:val="es-ES_tradnl"/>
              </w:rPr>
              <w:t xml:space="preserve">: </w:t>
            </w:r>
            <w:r w:rsidR="0047339C" w:rsidRPr="00A9234B">
              <w:rPr>
                <w:rFonts w:asciiTheme="majorHAnsi" w:hAnsiTheme="majorHAnsi" w:cs="Arial"/>
                <w:b w:val="0"/>
                <w:sz w:val="20"/>
                <w:szCs w:val="20"/>
                <w:lang w:val="es-ES_tradnl"/>
              </w:rPr>
              <w:t xml:space="preserve">En colaboración con la Red de Cultura </w:t>
            </w:r>
            <w:r w:rsidR="00406EE9" w:rsidRPr="00A9234B">
              <w:rPr>
                <w:rFonts w:asciiTheme="majorHAnsi" w:hAnsiTheme="majorHAnsi" w:cs="Arial"/>
                <w:b w:val="0"/>
                <w:sz w:val="20"/>
                <w:szCs w:val="20"/>
                <w:lang w:val="es-ES_tradnl"/>
              </w:rPr>
              <w:t xml:space="preserve">de Ramsar </w:t>
            </w:r>
            <w:r w:rsidR="00E71E1B" w:rsidRPr="00A9234B">
              <w:rPr>
                <w:rFonts w:asciiTheme="majorHAnsi" w:hAnsiTheme="majorHAnsi" w:cs="Arial"/>
                <w:b w:val="0"/>
                <w:sz w:val="20"/>
                <w:szCs w:val="20"/>
                <w:lang w:val="es-ES_tradnl"/>
              </w:rPr>
              <w:t xml:space="preserve">y el Centro </w:t>
            </w:r>
            <w:r w:rsidR="00E71E1B" w:rsidRPr="00A9234B">
              <w:rPr>
                <w:rFonts w:asciiTheme="majorHAnsi" w:eastAsia="Calibri" w:hAnsiTheme="majorHAnsi" w:cs="--unknown-1--"/>
                <w:b w:val="0"/>
                <w:color w:val="000000" w:themeColor="text1"/>
                <w:sz w:val="20"/>
                <w:szCs w:val="20"/>
                <w:lang w:val="es-ES_tradnl"/>
              </w:rPr>
              <w:t xml:space="preserve">Regional Ramsar </w:t>
            </w:r>
            <w:r w:rsidR="00E71E1B" w:rsidRPr="00A9234B">
              <w:rPr>
                <w:rFonts w:asciiTheme="majorHAnsi" w:eastAsia="Calibri" w:hAnsiTheme="majorHAnsi" w:cs="--unknown-1--"/>
                <w:b w:val="0"/>
                <w:color w:val="000000" w:themeColor="text1"/>
                <w:sz w:val="20"/>
                <w:szCs w:val="20"/>
                <w:lang w:val="es-ES_tradnl"/>
              </w:rPr>
              <w:lastRenderedPageBreak/>
              <w:t>para la Capacitación e Investigación sobre Humedales en el Hemisferio Occidental</w:t>
            </w:r>
          </w:p>
          <w:p w14:paraId="3BE380CE" w14:textId="000C4694" w:rsidR="00EF4061" w:rsidRPr="00A9234B" w:rsidRDefault="00EF4061" w:rsidP="00EF4061">
            <w:pPr>
              <w:rPr>
                <w:rFonts w:asciiTheme="majorHAnsi" w:hAnsiTheme="majorHAnsi" w:cs="Arial"/>
                <w:b w:val="0"/>
                <w:sz w:val="20"/>
                <w:szCs w:val="20"/>
                <w:u w:val="single"/>
                <w:lang w:val="es-ES_tradnl"/>
              </w:rPr>
            </w:pPr>
            <w:r w:rsidRPr="00A9234B">
              <w:rPr>
                <w:rFonts w:asciiTheme="majorHAnsi" w:eastAsia="Calibri" w:hAnsiTheme="majorHAnsi" w:cs="--unknown-1--"/>
                <w:b w:val="0"/>
                <w:color w:val="000000" w:themeColor="text1"/>
                <w:sz w:val="20"/>
                <w:szCs w:val="20"/>
                <w:lang w:val="es-ES_tradnl"/>
              </w:rPr>
              <w:t>(CREHO)</w:t>
            </w:r>
            <w:r w:rsidRPr="00A9234B">
              <w:rPr>
                <w:rFonts w:asciiTheme="majorHAnsi" w:hAnsiTheme="majorHAnsi" w:cs="Arial"/>
                <w:b w:val="0"/>
                <w:color w:val="000000" w:themeColor="text1"/>
                <w:sz w:val="20"/>
                <w:szCs w:val="20"/>
                <w:lang w:val="es-ES_tradnl"/>
              </w:rPr>
              <w:t xml:space="preserve">, </w:t>
            </w:r>
            <w:r w:rsidR="00E71E1B" w:rsidRPr="00A9234B">
              <w:rPr>
                <w:rFonts w:asciiTheme="majorHAnsi" w:hAnsiTheme="majorHAnsi" w:cs="Arial"/>
                <w:b w:val="0"/>
                <w:sz w:val="20"/>
                <w:szCs w:val="20"/>
                <w:lang w:val="es-ES_tradnl"/>
              </w:rPr>
              <w:t xml:space="preserve">organizar un pequeño taller de capacitación </w:t>
            </w:r>
            <w:r w:rsidR="00406EE9" w:rsidRPr="00A9234B">
              <w:rPr>
                <w:rFonts w:asciiTheme="majorHAnsi" w:hAnsiTheme="majorHAnsi" w:cs="Arial"/>
                <w:b w:val="0"/>
                <w:sz w:val="20"/>
                <w:szCs w:val="20"/>
                <w:lang w:val="es-ES_tradnl"/>
              </w:rPr>
              <w:t xml:space="preserve">para administradores de sitios </w:t>
            </w:r>
            <w:r w:rsidR="00406EE9" w:rsidRPr="00A9234B">
              <w:rPr>
                <w:rFonts w:asciiTheme="majorHAnsi" w:eastAsia="Calibri" w:hAnsiTheme="majorHAnsi" w:cs="--unknown-1--"/>
                <w:b w:val="0"/>
                <w:color w:val="000000" w:themeColor="text1"/>
                <w:sz w:val="20"/>
                <w:szCs w:val="20"/>
                <w:lang w:val="es-ES_tradnl"/>
              </w:rPr>
              <w:t>Ramsar</w:t>
            </w:r>
            <w:r w:rsidR="00406EE9" w:rsidRPr="00A9234B">
              <w:rPr>
                <w:rFonts w:asciiTheme="majorHAnsi" w:hAnsiTheme="majorHAnsi" w:cs="Arial"/>
                <w:b w:val="0"/>
                <w:sz w:val="20"/>
                <w:szCs w:val="20"/>
                <w:lang w:val="es-ES_tradnl"/>
              </w:rPr>
              <w:t xml:space="preserve"> y Coordinadores Nacionales del GECT para estudiar la aplicación práctic</w:t>
            </w:r>
            <w:r w:rsidR="004C3386" w:rsidRPr="00A9234B">
              <w:rPr>
                <w:rFonts w:asciiTheme="majorHAnsi" w:hAnsiTheme="majorHAnsi" w:cs="Arial"/>
                <w:b w:val="0"/>
                <w:sz w:val="20"/>
                <w:szCs w:val="20"/>
                <w:lang w:val="es-ES_tradnl"/>
              </w:rPr>
              <w:t>a de los inventarios culturales</w:t>
            </w:r>
            <w:r w:rsidR="00406EE9"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Compil</w:t>
            </w:r>
            <w:r w:rsidR="0047339C" w:rsidRPr="00A9234B">
              <w:rPr>
                <w:rFonts w:asciiTheme="majorHAnsi" w:hAnsiTheme="majorHAnsi" w:cs="Arial"/>
                <w:b w:val="0"/>
                <w:sz w:val="20"/>
                <w:szCs w:val="20"/>
                <w:lang w:val="es-ES_tradnl"/>
              </w:rPr>
              <w:t xml:space="preserve">ar una serie de </w:t>
            </w:r>
            <w:r w:rsidR="00406EE9" w:rsidRPr="00A9234B">
              <w:rPr>
                <w:rFonts w:asciiTheme="majorHAnsi" w:hAnsiTheme="majorHAnsi" w:cs="Arial"/>
                <w:b w:val="0"/>
                <w:sz w:val="20"/>
                <w:szCs w:val="20"/>
                <w:lang w:val="es-ES_tradnl"/>
              </w:rPr>
              <w:t>casos de estudio que ilustran la aplicación de los inventarios culturales para humedal</w:t>
            </w:r>
            <w:r w:rsidR="004C3386" w:rsidRPr="00A9234B">
              <w:rPr>
                <w:rFonts w:asciiTheme="majorHAnsi" w:hAnsiTheme="majorHAnsi" w:cs="Arial"/>
                <w:b w:val="0"/>
                <w:sz w:val="20"/>
                <w:szCs w:val="20"/>
                <w:lang w:val="es-ES_tradnl"/>
              </w:rPr>
              <w:t>es, incluyendo ejemplos que incorpora</w:t>
            </w:r>
            <w:r w:rsidR="00406EE9" w:rsidRPr="00A9234B">
              <w:rPr>
                <w:rFonts w:asciiTheme="majorHAnsi" w:hAnsiTheme="majorHAnsi" w:cs="Arial"/>
                <w:b w:val="0"/>
                <w:sz w:val="20"/>
                <w:szCs w:val="20"/>
                <w:lang w:val="es-ES_tradnl"/>
              </w:rPr>
              <w:t xml:space="preserve">n los conocimientos indígenas y locales. </w:t>
            </w:r>
          </w:p>
          <w:p w14:paraId="71FC5CA7" w14:textId="77777777" w:rsidR="004C3386" w:rsidRPr="00A9234B" w:rsidRDefault="004C3386" w:rsidP="00EF4061">
            <w:pPr>
              <w:rPr>
                <w:rFonts w:asciiTheme="majorHAnsi" w:hAnsiTheme="majorHAnsi" w:cs="Arial"/>
                <w:b w:val="0"/>
                <w:sz w:val="20"/>
                <w:szCs w:val="20"/>
                <w:u w:val="single"/>
                <w:lang w:val="es-ES_tradnl"/>
              </w:rPr>
            </w:pPr>
          </w:p>
          <w:p w14:paraId="21D13EBF" w14:textId="5E0C738C" w:rsidR="00EF4061" w:rsidRPr="00A9234B" w:rsidRDefault="00DF2144"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00EF4061" w:rsidRPr="00A9234B">
              <w:rPr>
                <w:rFonts w:asciiTheme="majorHAnsi" w:hAnsiTheme="majorHAnsi" w:cs="Arial"/>
                <w:b w:val="0"/>
                <w:sz w:val="20"/>
                <w:szCs w:val="20"/>
                <w:lang w:val="es-ES_tradnl"/>
              </w:rPr>
              <w:t xml:space="preserve">: </w:t>
            </w:r>
            <w:r w:rsidR="0047339C" w:rsidRPr="00A9234B">
              <w:rPr>
                <w:rFonts w:asciiTheme="majorHAnsi" w:hAnsiTheme="majorHAnsi" w:cs="Arial"/>
                <w:b w:val="0"/>
                <w:sz w:val="20"/>
                <w:szCs w:val="20"/>
                <w:lang w:val="es-ES_tradnl"/>
              </w:rPr>
              <w:t xml:space="preserve">Taller de capacitación, una </w:t>
            </w:r>
            <w:r w:rsidR="004C3386" w:rsidRPr="00A9234B">
              <w:rPr>
                <w:rFonts w:asciiTheme="majorHAnsi" w:hAnsiTheme="majorHAnsi" w:cs="Arial"/>
                <w:b w:val="0"/>
                <w:sz w:val="20"/>
                <w:szCs w:val="20"/>
                <w:lang w:val="es-ES_tradnl"/>
              </w:rPr>
              <w:t>compilación</w:t>
            </w:r>
            <w:r w:rsidR="0047339C" w:rsidRPr="00A9234B">
              <w:rPr>
                <w:rFonts w:asciiTheme="majorHAnsi" w:hAnsiTheme="majorHAnsi" w:cs="Arial"/>
                <w:b w:val="0"/>
                <w:sz w:val="20"/>
                <w:szCs w:val="20"/>
                <w:lang w:val="es-ES_tradnl"/>
              </w:rPr>
              <w:t xml:space="preserve"> de </w:t>
            </w:r>
            <w:r w:rsidR="00406EE9" w:rsidRPr="00A9234B">
              <w:rPr>
                <w:rFonts w:asciiTheme="majorHAnsi" w:hAnsiTheme="majorHAnsi" w:cs="Arial"/>
                <w:b w:val="0"/>
                <w:sz w:val="20"/>
                <w:szCs w:val="20"/>
                <w:lang w:val="es-ES_tradnl"/>
              </w:rPr>
              <w:t xml:space="preserve">estudios de caso que se publicarán en el sitio web de </w:t>
            </w:r>
            <w:r w:rsidR="00EF4061" w:rsidRPr="00A9234B">
              <w:rPr>
                <w:rFonts w:asciiTheme="majorHAnsi" w:hAnsiTheme="majorHAnsi" w:cs="Arial"/>
                <w:b w:val="0"/>
                <w:sz w:val="20"/>
                <w:szCs w:val="20"/>
                <w:lang w:val="es-ES_tradnl"/>
              </w:rPr>
              <w:t xml:space="preserve">Ramsar </w:t>
            </w:r>
            <w:r w:rsidR="00406EE9" w:rsidRPr="00A9234B">
              <w:rPr>
                <w:rFonts w:asciiTheme="majorHAnsi" w:hAnsiTheme="majorHAnsi" w:cs="Arial"/>
                <w:b w:val="0"/>
                <w:sz w:val="20"/>
                <w:szCs w:val="20"/>
                <w:lang w:val="es-ES_tradnl"/>
              </w:rPr>
              <w:t xml:space="preserve">como parte del Juego de Herramientas para el Manejo de Sitios Ramsar </w:t>
            </w:r>
            <w:r w:rsidR="00EF4061" w:rsidRPr="00A9234B">
              <w:rPr>
                <w:rFonts w:asciiTheme="majorHAnsi" w:hAnsiTheme="majorHAnsi" w:cs="Arial"/>
                <w:b w:val="0"/>
                <w:sz w:val="20"/>
                <w:szCs w:val="20"/>
                <w:lang w:val="es-ES_tradnl"/>
              </w:rPr>
              <w:t>(</w:t>
            </w:r>
            <w:r w:rsidR="004C3386" w:rsidRPr="00A9234B">
              <w:rPr>
                <w:rFonts w:asciiTheme="majorHAnsi" w:hAnsiTheme="majorHAnsi" w:cs="Arial"/>
                <w:b w:val="0"/>
                <w:sz w:val="20"/>
                <w:szCs w:val="20"/>
                <w:lang w:val="es-ES_tradnl"/>
              </w:rPr>
              <w:t>véase la tarea 2.1</w:t>
            </w:r>
            <w:r w:rsidR="00406EE9" w:rsidRPr="00A9234B">
              <w:rPr>
                <w:rFonts w:asciiTheme="majorHAnsi" w:hAnsiTheme="majorHAnsi" w:cs="Arial"/>
                <w:b w:val="0"/>
                <w:sz w:val="20"/>
                <w:szCs w:val="20"/>
                <w:lang w:val="es-ES_tradnl"/>
              </w:rPr>
              <w:t xml:space="preserve"> a continuación</w:t>
            </w:r>
            <w:r w:rsidR="004C3386" w:rsidRPr="00A9234B">
              <w:rPr>
                <w:rFonts w:asciiTheme="majorHAnsi" w:hAnsiTheme="majorHAnsi" w:cs="Arial"/>
                <w:b w:val="0"/>
                <w:sz w:val="20"/>
                <w:szCs w:val="20"/>
                <w:lang w:val="es-ES_tradnl"/>
              </w:rPr>
              <w:t>)</w:t>
            </w:r>
            <w:r w:rsidR="00EF4061" w:rsidRPr="00A9234B">
              <w:rPr>
                <w:rFonts w:asciiTheme="majorHAnsi" w:hAnsiTheme="majorHAnsi" w:cs="Arial"/>
                <w:b w:val="0"/>
                <w:sz w:val="20"/>
                <w:szCs w:val="20"/>
                <w:lang w:val="es-ES_tradnl"/>
              </w:rPr>
              <w:t xml:space="preserve"> </w:t>
            </w:r>
            <w:r w:rsidR="00406EE9" w:rsidRPr="00A9234B">
              <w:rPr>
                <w:rFonts w:asciiTheme="majorHAnsi" w:hAnsiTheme="majorHAnsi" w:cs="Arial"/>
                <w:b w:val="0"/>
                <w:sz w:val="20"/>
                <w:szCs w:val="20"/>
                <w:lang w:val="es-ES_tradnl"/>
              </w:rPr>
              <w:t xml:space="preserve">y un seminario web sobre los inventarios culturales. </w:t>
            </w:r>
          </w:p>
          <w:p w14:paraId="7360EC0B" w14:textId="77777777" w:rsidR="00EF4061" w:rsidRPr="00A9234B" w:rsidRDefault="00EF4061" w:rsidP="00EF4061">
            <w:pPr>
              <w:rPr>
                <w:rFonts w:asciiTheme="majorHAnsi" w:hAnsiTheme="majorHAnsi" w:cs="Arial"/>
                <w:b w:val="0"/>
                <w:sz w:val="20"/>
                <w:szCs w:val="20"/>
                <w:lang w:val="es-ES_tradnl"/>
              </w:rPr>
            </w:pPr>
          </w:p>
          <w:p w14:paraId="684C46D9" w14:textId="38EC66D7" w:rsidR="00EF4061" w:rsidRPr="00A9234B" w:rsidRDefault="00DF2144"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00EF4061" w:rsidRPr="00A9234B">
              <w:rPr>
                <w:rFonts w:asciiTheme="majorHAnsi" w:hAnsiTheme="majorHAnsi" w:cs="Arial"/>
                <w:b w:val="0"/>
                <w:sz w:val="20"/>
                <w:szCs w:val="20"/>
                <w:lang w:val="es-ES_tradnl"/>
              </w:rPr>
              <w:t xml:space="preserve">: </w:t>
            </w:r>
            <w:r w:rsidR="005B4BA2" w:rsidRPr="00A9234B">
              <w:rPr>
                <w:rFonts w:asciiTheme="majorHAnsi" w:hAnsiTheme="majorHAnsi" w:cs="Arial"/>
                <w:b w:val="0"/>
                <w:sz w:val="20"/>
                <w:szCs w:val="20"/>
                <w:lang w:val="es-ES_tradnl"/>
              </w:rPr>
              <w:t>Profesionales</w:t>
            </w:r>
            <w:r w:rsidR="00EF4061" w:rsidRPr="00A9234B">
              <w:rPr>
                <w:rFonts w:asciiTheme="majorHAnsi" w:hAnsiTheme="majorHAnsi" w:cs="Arial"/>
                <w:b w:val="0"/>
                <w:sz w:val="20"/>
                <w:szCs w:val="20"/>
                <w:lang w:val="es-ES_tradnl"/>
              </w:rPr>
              <w:t xml:space="preserve"> (</w:t>
            </w:r>
            <w:r w:rsidR="00DE4F5C" w:rsidRPr="00A9234B">
              <w:rPr>
                <w:rFonts w:asciiTheme="majorHAnsi" w:hAnsiTheme="majorHAnsi" w:cs="Arial"/>
                <w:b w:val="0"/>
                <w:sz w:val="20"/>
                <w:szCs w:val="20"/>
                <w:lang w:val="es-ES_tradnl"/>
              </w:rPr>
              <w:t>a</w:t>
            </w:r>
            <w:r w:rsidR="0088725B" w:rsidRPr="00A9234B">
              <w:rPr>
                <w:rFonts w:asciiTheme="majorHAnsi" w:hAnsiTheme="majorHAnsi" w:cs="Arial"/>
                <w:b w:val="0"/>
                <w:sz w:val="20"/>
                <w:szCs w:val="20"/>
                <w:lang w:val="es-ES_tradnl"/>
              </w:rPr>
              <w:t>dministradores de sitios Ramsar</w:t>
            </w:r>
            <w:r w:rsidR="00EF4061" w:rsidRPr="00A9234B">
              <w:rPr>
                <w:rFonts w:asciiTheme="majorHAnsi" w:hAnsiTheme="majorHAnsi" w:cs="Arial"/>
                <w:b w:val="0"/>
                <w:sz w:val="20"/>
                <w:szCs w:val="20"/>
                <w:lang w:val="es-ES_tradnl"/>
              </w:rPr>
              <w:t>)</w:t>
            </w:r>
          </w:p>
        </w:tc>
        <w:tc>
          <w:tcPr>
            <w:tcW w:w="497" w:type="pct"/>
          </w:tcPr>
          <w:p w14:paraId="5146DF8D" w14:textId="3F03AF05" w:rsidR="00EF4061" w:rsidRPr="00A9234B" w:rsidRDefault="003E038E"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Hasta </w:t>
            </w:r>
            <w:r w:rsidR="00EF4061" w:rsidRPr="00A9234B">
              <w:rPr>
                <w:rFonts w:asciiTheme="majorHAnsi" w:hAnsiTheme="majorHAnsi" w:cs="Arial"/>
                <w:b w:val="0"/>
                <w:sz w:val="20"/>
                <w:szCs w:val="20"/>
                <w:lang w:val="es-ES_tradnl"/>
              </w:rPr>
              <w:t>10</w:t>
            </w:r>
            <w:r w:rsidRPr="00A9234B">
              <w:rPr>
                <w:rFonts w:asciiTheme="majorHAnsi" w:hAnsiTheme="majorHAnsi" w:cs="Arial"/>
                <w:b w:val="0"/>
                <w:sz w:val="20"/>
                <w:szCs w:val="20"/>
                <w:lang w:val="es-ES_tradnl"/>
              </w:rPr>
              <w:t>.</w:t>
            </w:r>
            <w:r w:rsidR="00EF4061" w:rsidRPr="00A9234B">
              <w:rPr>
                <w:rFonts w:asciiTheme="majorHAnsi" w:hAnsiTheme="majorHAnsi" w:cs="Arial"/>
                <w:b w:val="0"/>
                <w:sz w:val="20"/>
                <w:szCs w:val="20"/>
                <w:lang w:val="es-ES_tradnl"/>
              </w:rPr>
              <w:t xml:space="preserve">000 </w:t>
            </w:r>
          </w:p>
        </w:tc>
      </w:tr>
      <w:tr w:rsidR="00EF4061" w:rsidRPr="00A9234B" w14:paraId="24E36C9E" w14:textId="77777777" w:rsidTr="00DE4F5C">
        <w:tc>
          <w:tcPr>
            <w:tcW w:w="487" w:type="pct"/>
          </w:tcPr>
          <w:p w14:paraId="092A785F" w14:textId="373D16B2" w:rsidR="00EF4061" w:rsidRPr="00A9234B" w:rsidRDefault="00EF4061" w:rsidP="0047339C">
            <w:pPr>
              <w:rPr>
                <w:rFonts w:asciiTheme="majorHAnsi" w:hAnsiTheme="majorHAnsi" w:cs="Arial"/>
                <w:b w:val="0"/>
                <w:sz w:val="20"/>
                <w:szCs w:val="20"/>
                <w:lang w:val="es-ES_tradnl"/>
              </w:rPr>
            </w:pPr>
            <w:r w:rsidRPr="00A9234B">
              <w:rPr>
                <w:rFonts w:asciiTheme="majorHAnsi" w:hAnsiTheme="majorHAnsi"/>
                <w:b w:val="0"/>
                <w:sz w:val="20"/>
                <w:szCs w:val="20"/>
                <w:lang w:val="es-ES_tradnl"/>
              </w:rPr>
              <w:lastRenderedPageBreak/>
              <w:t>1.3 De</w:t>
            </w:r>
            <w:r w:rsidR="0047339C" w:rsidRPr="00A9234B">
              <w:rPr>
                <w:rFonts w:asciiTheme="majorHAnsi" w:hAnsiTheme="majorHAnsi"/>
                <w:b w:val="0"/>
                <w:sz w:val="20"/>
                <w:szCs w:val="20"/>
                <w:lang w:val="es-ES_tradnl"/>
              </w:rPr>
              <w:t>sarrollo de</w:t>
            </w:r>
            <w:r w:rsidRPr="00A9234B">
              <w:rPr>
                <w:rFonts w:asciiTheme="majorHAnsi" w:hAnsiTheme="majorHAnsi"/>
                <w:b w:val="0"/>
                <w:sz w:val="20"/>
                <w:szCs w:val="20"/>
                <w:lang w:val="es-ES_tradnl"/>
              </w:rPr>
              <w:t xml:space="preserve"> </w:t>
            </w:r>
            <w:r w:rsidR="003E038E" w:rsidRPr="00A9234B">
              <w:rPr>
                <w:rFonts w:asciiTheme="majorHAnsi" w:hAnsiTheme="majorHAnsi"/>
                <w:b w:val="0"/>
                <w:sz w:val="20"/>
                <w:szCs w:val="20"/>
                <w:lang w:val="es-ES_tradnl"/>
              </w:rPr>
              <w:t xml:space="preserve">lineamientos para </w:t>
            </w:r>
            <w:r w:rsidR="004123A7" w:rsidRPr="00A9234B">
              <w:rPr>
                <w:rFonts w:asciiTheme="majorHAnsi" w:hAnsiTheme="majorHAnsi"/>
                <w:b w:val="0"/>
                <w:sz w:val="20"/>
                <w:szCs w:val="20"/>
                <w:lang w:val="es-ES_tradnl"/>
              </w:rPr>
              <w:t xml:space="preserve">los </w:t>
            </w:r>
            <w:r w:rsidR="003E038E" w:rsidRPr="00A9234B">
              <w:rPr>
                <w:rFonts w:asciiTheme="majorHAnsi" w:hAnsiTheme="majorHAnsi"/>
                <w:b w:val="0"/>
                <w:sz w:val="20"/>
                <w:szCs w:val="20"/>
                <w:lang w:val="es-ES_tradnl"/>
              </w:rPr>
              <w:t xml:space="preserve">inventarios de turberas para su posible designación como Humedales de Importancia Internacional </w:t>
            </w:r>
          </w:p>
        </w:tc>
        <w:tc>
          <w:tcPr>
            <w:tcW w:w="351" w:type="pct"/>
          </w:tcPr>
          <w:p w14:paraId="3D588E0F" w14:textId="3D9C7764" w:rsidR="00EF4061" w:rsidRPr="00A9234B" w:rsidRDefault="00406EE9"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Alta</w:t>
            </w:r>
          </w:p>
        </w:tc>
        <w:tc>
          <w:tcPr>
            <w:tcW w:w="289" w:type="pct"/>
          </w:tcPr>
          <w:p w14:paraId="094E9C1C" w14:textId="0FF7D65E" w:rsidR="00EF4061" w:rsidRPr="00A9234B" w:rsidRDefault="00EF4061" w:rsidP="00EF4061">
            <w:pPr>
              <w:rPr>
                <w:rFonts w:asciiTheme="majorHAnsi" w:hAnsiTheme="majorHAnsi" w:cs="Arial"/>
                <w:b w:val="0"/>
                <w:sz w:val="20"/>
                <w:szCs w:val="20"/>
                <w:lang w:val="es-ES_tradnl"/>
              </w:rPr>
            </w:pPr>
            <w:r w:rsidRPr="00A9234B">
              <w:rPr>
                <w:rFonts w:asciiTheme="majorHAnsi" w:hAnsiTheme="majorHAnsi"/>
                <w:b w:val="0"/>
                <w:sz w:val="20"/>
                <w:szCs w:val="20"/>
                <w:lang w:val="es-ES_tradnl"/>
              </w:rPr>
              <w:t>XII.11, ¶24 (a)</w:t>
            </w:r>
            <w:r w:rsidR="0088725B" w:rsidRPr="00A9234B">
              <w:rPr>
                <w:rFonts w:asciiTheme="majorHAnsi" w:hAnsiTheme="majorHAnsi"/>
                <w:b w:val="0"/>
                <w:sz w:val="20"/>
                <w:szCs w:val="20"/>
                <w:lang w:val="es-ES_tradnl"/>
              </w:rPr>
              <w:t xml:space="preserve"> </w:t>
            </w:r>
            <w:r w:rsidRPr="00A9234B">
              <w:rPr>
                <w:rFonts w:asciiTheme="majorHAnsi" w:hAnsiTheme="majorHAnsi"/>
                <w:b w:val="0"/>
                <w:sz w:val="20"/>
                <w:szCs w:val="20"/>
                <w:lang w:val="es-ES_tradnl"/>
              </w:rPr>
              <w:t>(b)</w:t>
            </w:r>
          </w:p>
        </w:tc>
        <w:tc>
          <w:tcPr>
            <w:tcW w:w="410" w:type="pct"/>
          </w:tcPr>
          <w:p w14:paraId="27C79CAA" w14:textId="77777777" w:rsidR="00EF4061" w:rsidRPr="00A9234B" w:rsidRDefault="00EF4061"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2.6; 3.8, 3.9, 3.11, 3.12; 4.14</w:t>
            </w:r>
          </w:p>
        </w:tc>
        <w:tc>
          <w:tcPr>
            <w:tcW w:w="2966" w:type="pct"/>
          </w:tcPr>
          <w:p w14:paraId="2FD1EBF8" w14:textId="0D9E5EA5" w:rsidR="00EF4061" w:rsidRPr="00A9234B" w:rsidRDefault="00DF2144" w:rsidP="005E3C87">
            <w:pPr>
              <w:pStyle w:val="NormalWeb"/>
              <w:rPr>
                <w:rFonts w:asciiTheme="majorHAnsi" w:hAnsiTheme="majorHAnsi"/>
                <w:b w:val="0"/>
                <w:sz w:val="20"/>
                <w:szCs w:val="20"/>
                <w:lang w:val="es-ES_tradnl"/>
              </w:rPr>
            </w:pPr>
            <w:r w:rsidRPr="00A9234B">
              <w:rPr>
                <w:rFonts w:asciiTheme="majorHAnsi" w:hAnsiTheme="majorHAnsi" w:cs="Calibri"/>
                <w:b w:val="0"/>
                <w:bCs/>
                <w:sz w:val="20"/>
                <w:szCs w:val="20"/>
                <w:u w:val="single"/>
                <w:lang w:val="es-ES_tradnl"/>
              </w:rPr>
              <w:t>Descripción de la tarea</w:t>
            </w:r>
            <w:r w:rsidR="00EF4061" w:rsidRPr="00A9234B">
              <w:rPr>
                <w:rFonts w:asciiTheme="majorHAnsi" w:hAnsiTheme="majorHAnsi" w:cs="Calibri"/>
                <w:b w:val="0"/>
                <w:bCs/>
                <w:sz w:val="20"/>
                <w:szCs w:val="20"/>
                <w:lang w:val="es-ES_tradnl"/>
              </w:rPr>
              <w:t>: Revi</w:t>
            </w:r>
            <w:r w:rsidR="00314C4F" w:rsidRPr="00A9234B">
              <w:rPr>
                <w:rFonts w:asciiTheme="majorHAnsi" w:hAnsiTheme="majorHAnsi" w:cs="Calibri"/>
                <w:b w:val="0"/>
                <w:bCs/>
                <w:sz w:val="20"/>
                <w:szCs w:val="20"/>
                <w:lang w:val="es-ES_tradnl"/>
              </w:rPr>
              <w:t xml:space="preserve">sar y desarrollar lineamientos para los inventarios de turberas tropicales para su designación como Humedales de Importancia Internacional. Se hablará de los lineamientos científicos y técnicos de "buenas prácticas" en una Nota Informativa que </w:t>
            </w:r>
            <w:r w:rsidR="0037459B" w:rsidRPr="00A9234B">
              <w:rPr>
                <w:rFonts w:asciiTheme="majorHAnsi" w:hAnsiTheme="majorHAnsi" w:cs="Calibri"/>
                <w:b w:val="0"/>
                <w:bCs/>
                <w:sz w:val="20"/>
                <w:szCs w:val="20"/>
                <w:lang w:val="es-ES_tradnl"/>
              </w:rPr>
              <w:t xml:space="preserve">haga referencia a </w:t>
            </w:r>
            <w:r w:rsidR="00314C4F" w:rsidRPr="00A9234B">
              <w:rPr>
                <w:rFonts w:asciiTheme="majorHAnsi" w:hAnsiTheme="majorHAnsi" w:cs="Calibri"/>
                <w:b w:val="0"/>
                <w:bCs/>
                <w:sz w:val="20"/>
                <w:szCs w:val="20"/>
                <w:lang w:val="es-ES_tradnl"/>
              </w:rPr>
              <w:t xml:space="preserve">extensión, profundidad, calidad, elevación y </w:t>
            </w:r>
            <w:r w:rsidR="00E93BD9" w:rsidRPr="00A9234B">
              <w:rPr>
                <w:rFonts w:asciiTheme="majorHAnsi" w:hAnsiTheme="majorHAnsi" w:cs="Calibri"/>
                <w:b w:val="0"/>
                <w:bCs/>
                <w:sz w:val="20"/>
                <w:szCs w:val="20"/>
                <w:lang w:val="es-ES_tradnl"/>
              </w:rPr>
              <w:t>metodologías de estudio</w:t>
            </w:r>
            <w:r w:rsidR="00314C4F" w:rsidRPr="00A9234B">
              <w:rPr>
                <w:rFonts w:asciiTheme="majorHAnsi" w:hAnsiTheme="majorHAnsi" w:cs="Calibri"/>
                <w:b w:val="0"/>
                <w:bCs/>
                <w:sz w:val="20"/>
                <w:szCs w:val="20"/>
                <w:lang w:val="es-ES_tradnl"/>
              </w:rPr>
              <w:t xml:space="preserve">. Asimismo, se desarrollarán lineamientos </w:t>
            </w:r>
            <w:r w:rsidR="00B27BE9" w:rsidRPr="00A9234B">
              <w:rPr>
                <w:rFonts w:asciiTheme="majorHAnsi" w:hAnsiTheme="majorHAnsi" w:cs="Calibri"/>
                <w:b w:val="0"/>
                <w:bCs/>
                <w:sz w:val="20"/>
                <w:szCs w:val="20"/>
                <w:lang w:val="es-ES_tradnl"/>
              </w:rPr>
              <w:t xml:space="preserve">relativos a la designación de </w:t>
            </w:r>
            <w:r w:rsidR="00193209" w:rsidRPr="00A9234B">
              <w:rPr>
                <w:rFonts w:asciiTheme="majorHAnsi" w:hAnsiTheme="majorHAnsi" w:cs="Calibri"/>
                <w:b w:val="0"/>
                <w:bCs/>
                <w:sz w:val="20"/>
                <w:szCs w:val="20"/>
                <w:lang w:val="es-ES_tradnl"/>
              </w:rPr>
              <w:t xml:space="preserve">las </w:t>
            </w:r>
            <w:r w:rsidR="00B27BE9" w:rsidRPr="00A9234B">
              <w:rPr>
                <w:rFonts w:asciiTheme="majorHAnsi" w:hAnsiTheme="majorHAnsi" w:cs="Calibri"/>
                <w:b w:val="0"/>
                <w:bCs/>
                <w:sz w:val="20"/>
                <w:szCs w:val="20"/>
                <w:lang w:val="es-ES_tradnl"/>
              </w:rPr>
              <w:t xml:space="preserve">turberas como Humedales de Importancia Internacional, especialmente con respecto al Criterio 1, </w:t>
            </w:r>
            <w:r w:rsidR="00E70400" w:rsidRPr="00A9234B">
              <w:rPr>
                <w:rFonts w:asciiTheme="majorHAnsi" w:hAnsiTheme="majorHAnsi" w:cs="Calibri"/>
                <w:b w:val="0"/>
                <w:bCs/>
                <w:sz w:val="20"/>
                <w:szCs w:val="20"/>
                <w:lang w:val="es-ES_tradnl"/>
              </w:rPr>
              <w:t xml:space="preserve">y particularmente el párrafo 121 </w:t>
            </w:r>
            <w:r w:rsidR="00EF4061" w:rsidRPr="00A9234B">
              <w:rPr>
                <w:rFonts w:asciiTheme="majorHAnsi" w:hAnsiTheme="majorHAnsi" w:cs="Calibri"/>
                <w:b w:val="0"/>
                <w:bCs/>
                <w:sz w:val="20"/>
                <w:szCs w:val="20"/>
                <w:lang w:val="es-ES_tradnl"/>
              </w:rPr>
              <w:t xml:space="preserve">(vi) </w:t>
            </w:r>
            <w:r w:rsidR="00E70400" w:rsidRPr="00A9234B">
              <w:rPr>
                <w:rFonts w:asciiTheme="majorHAnsi" w:hAnsiTheme="majorHAnsi" w:cs="Calibri"/>
                <w:b w:val="0"/>
                <w:bCs/>
                <w:sz w:val="20"/>
                <w:szCs w:val="20"/>
                <w:lang w:val="es-ES_tradnl"/>
              </w:rPr>
              <w:t>del Anexo 2 de la Resolución</w:t>
            </w:r>
            <w:r w:rsidR="0088725B" w:rsidRPr="00A9234B">
              <w:rPr>
                <w:rFonts w:asciiTheme="majorHAnsi" w:hAnsiTheme="majorHAnsi" w:cs="Calibri"/>
                <w:b w:val="0"/>
                <w:bCs/>
                <w:sz w:val="20"/>
                <w:szCs w:val="20"/>
                <w:lang w:val="es-ES_tradnl"/>
              </w:rPr>
              <w:t xml:space="preserve"> </w:t>
            </w:r>
            <w:r w:rsidR="00EF4061" w:rsidRPr="00A9234B">
              <w:rPr>
                <w:rFonts w:asciiTheme="majorHAnsi" w:hAnsiTheme="majorHAnsi" w:cs="Calibri"/>
                <w:b w:val="0"/>
                <w:bCs/>
                <w:sz w:val="20"/>
                <w:szCs w:val="20"/>
                <w:lang w:val="es-ES_tradnl"/>
              </w:rPr>
              <w:t>XI.8 (</w:t>
            </w:r>
            <w:r w:rsidR="00E70400" w:rsidRPr="00A9234B">
              <w:rPr>
                <w:rFonts w:asciiTheme="majorHAnsi" w:hAnsiTheme="majorHAnsi" w:cs="Calibri"/>
                <w:b w:val="0"/>
                <w:bCs/>
                <w:sz w:val="20"/>
                <w:szCs w:val="20"/>
                <w:lang w:val="es-ES_tradnl"/>
              </w:rPr>
              <w:t xml:space="preserve">importancia hidrológica </w:t>
            </w:r>
            <w:r w:rsidR="005E3C87" w:rsidRPr="00A9234B">
              <w:rPr>
                <w:rFonts w:asciiTheme="majorHAnsi" w:hAnsiTheme="majorHAnsi" w:cs="Calibri"/>
                <w:b w:val="0"/>
                <w:bCs/>
                <w:sz w:val="20"/>
                <w:szCs w:val="20"/>
                <w:lang w:val="es-ES_tradnl"/>
              </w:rPr>
              <w:t>en el contexto de la regulación o estabilidad del clima regional</w:t>
            </w:r>
            <w:r w:rsidR="00EF4061" w:rsidRPr="00A9234B">
              <w:rPr>
                <w:rFonts w:asciiTheme="majorHAnsi" w:hAnsiTheme="majorHAnsi"/>
                <w:b w:val="0"/>
                <w:sz w:val="20"/>
                <w:szCs w:val="20"/>
                <w:lang w:val="es-ES_tradnl"/>
              </w:rPr>
              <w:t>)</w:t>
            </w:r>
            <w:r w:rsidR="00EF4061" w:rsidRPr="00A9234B">
              <w:rPr>
                <w:rFonts w:asciiTheme="majorHAnsi" w:hAnsiTheme="majorHAnsi" w:cs="Calibri"/>
                <w:b w:val="0"/>
                <w:bCs/>
                <w:sz w:val="20"/>
                <w:szCs w:val="20"/>
                <w:lang w:val="es-ES_tradnl"/>
              </w:rPr>
              <w:t>.</w:t>
            </w:r>
          </w:p>
          <w:p w14:paraId="23564424" w14:textId="529736F8" w:rsidR="00EF4061" w:rsidRPr="00A9234B" w:rsidRDefault="00DF2144" w:rsidP="00EF4061">
            <w:pPr>
              <w:widowControl w:val="0"/>
              <w:autoSpaceDE w:val="0"/>
              <w:autoSpaceDN w:val="0"/>
              <w:adjustRightInd w:val="0"/>
              <w:rPr>
                <w:rFonts w:asciiTheme="majorHAnsi" w:hAnsiTheme="majorHAnsi" w:cs="Tahoma"/>
                <w:b w:val="0"/>
                <w:sz w:val="20"/>
                <w:szCs w:val="20"/>
                <w:lang w:val="es-ES_tradnl"/>
              </w:rPr>
            </w:pPr>
            <w:r w:rsidRPr="00A9234B">
              <w:rPr>
                <w:rFonts w:asciiTheme="majorHAnsi" w:hAnsiTheme="majorHAnsi" w:cs="Calibri"/>
                <w:b w:val="0"/>
                <w:bCs/>
                <w:sz w:val="20"/>
                <w:szCs w:val="20"/>
                <w:u w:val="single"/>
                <w:lang w:val="es-ES_tradnl"/>
              </w:rPr>
              <w:t>Producto(s) esperado(s)</w:t>
            </w:r>
            <w:r w:rsidR="00EF4061" w:rsidRPr="00A9234B">
              <w:rPr>
                <w:rFonts w:asciiTheme="majorHAnsi" w:hAnsiTheme="majorHAnsi" w:cs="Calibri"/>
                <w:b w:val="0"/>
                <w:bCs/>
                <w:sz w:val="20"/>
                <w:szCs w:val="20"/>
                <w:u w:val="single"/>
                <w:lang w:val="es-ES_tradnl"/>
              </w:rPr>
              <w:t>:</w:t>
            </w:r>
          </w:p>
          <w:p w14:paraId="4BF7AC77" w14:textId="3C6158FC" w:rsidR="00EF4061" w:rsidRPr="00A9234B" w:rsidRDefault="00EF4061" w:rsidP="00EF4061">
            <w:pPr>
              <w:widowControl w:val="0"/>
              <w:autoSpaceDE w:val="0"/>
              <w:autoSpaceDN w:val="0"/>
              <w:adjustRightInd w:val="0"/>
              <w:rPr>
                <w:rFonts w:asciiTheme="majorHAnsi" w:hAnsiTheme="majorHAnsi" w:cs="Tahoma"/>
                <w:b w:val="0"/>
                <w:sz w:val="20"/>
                <w:szCs w:val="20"/>
                <w:lang w:val="es-ES_tradnl"/>
              </w:rPr>
            </w:pPr>
            <w:r w:rsidRPr="00A9234B">
              <w:rPr>
                <w:rFonts w:asciiTheme="majorHAnsi" w:hAnsiTheme="majorHAnsi" w:cs="Calibri"/>
                <w:b w:val="0"/>
                <w:bCs/>
                <w:sz w:val="20"/>
                <w:szCs w:val="20"/>
                <w:lang w:val="es-ES_tradnl"/>
              </w:rPr>
              <w:t xml:space="preserve">1) </w:t>
            </w:r>
            <w:r w:rsidR="004123A7" w:rsidRPr="00A9234B">
              <w:rPr>
                <w:rFonts w:asciiTheme="majorHAnsi" w:hAnsiTheme="majorHAnsi" w:cs="Calibri"/>
                <w:b w:val="0"/>
                <w:bCs/>
                <w:sz w:val="20"/>
                <w:szCs w:val="20"/>
                <w:lang w:val="es-ES_tradnl"/>
              </w:rPr>
              <w:t>Nota Informativa para</w:t>
            </w:r>
            <w:r w:rsidRPr="00A9234B">
              <w:rPr>
                <w:rFonts w:asciiTheme="majorHAnsi" w:hAnsiTheme="majorHAnsi" w:cs="Calibri"/>
                <w:b w:val="0"/>
                <w:bCs/>
                <w:sz w:val="20"/>
                <w:szCs w:val="20"/>
                <w:lang w:val="es-ES_tradnl"/>
              </w:rPr>
              <w:t xml:space="preserve"> </w:t>
            </w:r>
            <w:r w:rsidR="005B4BA2" w:rsidRPr="00A9234B">
              <w:rPr>
                <w:rFonts w:asciiTheme="majorHAnsi" w:hAnsiTheme="majorHAnsi" w:cs="Calibri"/>
                <w:b w:val="0"/>
                <w:bCs/>
                <w:sz w:val="20"/>
                <w:szCs w:val="20"/>
                <w:lang w:val="es-ES_tradnl"/>
              </w:rPr>
              <w:t>profesionales</w:t>
            </w:r>
            <w:r w:rsidRPr="00A9234B">
              <w:rPr>
                <w:rFonts w:asciiTheme="majorHAnsi" w:hAnsiTheme="majorHAnsi" w:cs="Calibri"/>
                <w:b w:val="0"/>
                <w:bCs/>
                <w:sz w:val="20"/>
                <w:szCs w:val="20"/>
                <w:lang w:val="es-ES_tradnl"/>
              </w:rPr>
              <w:t xml:space="preserve"> (</w:t>
            </w:r>
            <w:r w:rsidR="004123A7" w:rsidRPr="00A9234B">
              <w:rPr>
                <w:rFonts w:asciiTheme="majorHAnsi" w:hAnsiTheme="majorHAnsi" w:cs="Calibri"/>
                <w:b w:val="0"/>
                <w:bCs/>
                <w:sz w:val="20"/>
                <w:szCs w:val="20"/>
                <w:lang w:val="es-ES_tradnl"/>
              </w:rPr>
              <w:t>administradores de sitios</w:t>
            </w:r>
            <w:r w:rsidR="0088725B" w:rsidRPr="00A9234B">
              <w:rPr>
                <w:rFonts w:asciiTheme="majorHAnsi" w:hAnsiTheme="majorHAnsi" w:cs="Calibri"/>
                <w:b w:val="0"/>
                <w:bCs/>
                <w:sz w:val="20"/>
                <w:szCs w:val="20"/>
                <w:lang w:val="es-ES_tradnl"/>
              </w:rPr>
              <w:t xml:space="preserve"> </w:t>
            </w:r>
            <w:r w:rsidR="004123A7" w:rsidRPr="00A9234B">
              <w:rPr>
                <w:rFonts w:asciiTheme="majorHAnsi" w:hAnsiTheme="majorHAnsi" w:cs="Calibri"/>
                <w:b w:val="0"/>
                <w:bCs/>
                <w:sz w:val="20"/>
                <w:szCs w:val="20"/>
                <w:lang w:val="es-ES_tradnl"/>
              </w:rPr>
              <w:t>Ramsar</w:t>
            </w:r>
            <w:r w:rsidRPr="00A9234B">
              <w:rPr>
                <w:rFonts w:asciiTheme="majorHAnsi" w:hAnsiTheme="majorHAnsi" w:cs="Calibri"/>
                <w:b w:val="0"/>
                <w:bCs/>
                <w:sz w:val="20"/>
                <w:szCs w:val="20"/>
                <w:lang w:val="es-ES_tradnl"/>
              </w:rPr>
              <w:t xml:space="preserve">) </w:t>
            </w:r>
            <w:r w:rsidR="004123A7" w:rsidRPr="00A9234B">
              <w:rPr>
                <w:rFonts w:asciiTheme="majorHAnsi" w:hAnsiTheme="majorHAnsi" w:cs="Calibri"/>
                <w:b w:val="0"/>
                <w:bCs/>
                <w:sz w:val="20"/>
                <w:szCs w:val="20"/>
                <w:lang w:val="es-ES_tradnl"/>
              </w:rPr>
              <w:t xml:space="preserve">que incluya </w:t>
            </w:r>
            <w:r w:rsidR="00193209" w:rsidRPr="00A9234B">
              <w:rPr>
                <w:rFonts w:asciiTheme="majorHAnsi" w:hAnsiTheme="majorHAnsi" w:cs="Calibri"/>
                <w:b w:val="0"/>
                <w:bCs/>
                <w:sz w:val="20"/>
                <w:szCs w:val="20"/>
                <w:lang w:val="es-ES_tradnl"/>
              </w:rPr>
              <w:t xml:space="preserve">las metodologías para determinar </w:t>
            </w:r>
            <w:r w:rsidR="004123A7" w:rsidRPr="00A9234B">
              <w:rPr>
                <w:rFonts w:asciiTheme="majorHAnsi" w:hAnsiTheme="majorHAnsi" w:cs="Arial"/>
                <w:b w:val="0"/>
                <w:sz w:val="20"/>
                <w:szCs w:val="20"/>
                <w:lang w:val="es-ES_tradnl"/>
              </w:rPr>
              <w:t>la extensión, profundidades, calidad, elev</w:t>
            </w:r>
            <w:r w:rsidR="00193209" w:rsidRPr="00A9234B">
              <w:rPr>
                <w:rFonts w:asciiTheme="majorHAnsi" w:hAnsiTheme="majorHAnsi" w:cs="Arial"/>
                <w:b w:val="0"/>
                <w:sz w:val="20"/>
                <w:szCs w:val="20"/>
                <w:lang w:val="es-ES_tradnl"/>
              </w:rPr>
              <w:t xml:space="preserve">ación y </w:t>
            </w:r>
            <w:r w:rsidR="00360FBC" w:rsidRPr="00A9234B">
              <w:rPr>
                <w:rFonts w:asciiTheme="majorHAnsi" w:hAnsiTheme="majorHAnsi" w:cs="Arial"/>
                <w:b w:val="0"/>
                <w:sz w:val="20"/>
                <w:szCs w:val="20"/>
                <w:lang w:val="es-ES_tradnl"/>
              </w:rPr>
              <w:t>topografía</w:t>
            </w:r>
            <w:r w:rsidR="004123A7" w:rsidRPr="00A9234B">
              <w:rPr>
                <w:rFonts w:asciiTheme="majorHAnsi" w:hAnsiTheme="majorHAnsi" w:cs="Arial"/>
                <w:b w:val="0"/>
                <w:sz w:val="20"/>
                <w:szCs w:val="20"/>
                <w:lang w:val="es-ES_tradnl"/>
              </w:rPr>
              <w:t>, y</w:t>
            </w:r>
            <w:r w:rsidR="0088725B" w:rsidRPr="00A9234B">
              <w:rPr>
                <w:rFonts w:asciiTheme="majorHAnsi" w:hAnsiTheme="majorHAnsi" w:cs="Arial"/>
                <w:b w:val="0"/>
                <w:sz w:val="20"/>
                <w:szCs w:val="20"/>
                <w:lang w:val="es-ES_tradnl"/>
              </w:rPr>
              <w:t xml:space="preserve"> </w:t>
            </w:r>
          </w:p>
          <w:p w14:paraId="7D9F93A9" w14:textId="77777777" w:rsidR="00360FBC" w:rsidRPr="00A9234B" w:rsidRDefault="00360FBC" w:rsidP="00EF4061">
            <w:pPr>
              <w:widowControl w:val="0"/>
              <w:autoSpaceDE w:val="0"/>
              <w:autoSpaceDN w:val="0"/>
              <w:adjustRightInd w:val="0"/>
              <w:rPr>
                <w:rFonts w:asciiTheme="majorHAnsi" w:hAnsiTheme="majorHAnsi" w:cs="Calibri"/>
                <w:b w:val="0"/>
                <w:bCs/>
                <w:color w:val="0C0D00"/>
                <w:sz w:val="20"/>
                <w:szCs w:val="20"/>
                <w:lang w:val="es-ES_tradnl"/>
              </w:rPr>
            </w:pPr>
          </w:p>
          <w:p w14:paraId="54CF7829" w14:textId="745EE9C5" w:rsidR="00EF4061" w:rsidRPr="00A9234B" w:rsidRDefault="00EF4061" w:rsidP="00EF4061">
            <w:pPr>
              <w:widowControl w:val="0"/>
              <w:autoSpaceDE w:val="0"/>
              <w:autoSpaceDN w:val="0"/>
              <w:adjustRightInd w:val="0"/>
              <w:rPr>
                <w:rFonts w:asciiTheme="majorHAnsi" w:hAnsiTheme="majorHAnsi" w:cs="Tahoma"/>
                <w:b w:val="0"/>
                <w:sz w:val="20"/>
                <w:szCs w:val="20"/>
                <w:lang w:val="es-ES_tradnl"/>
              </w:rPr>
            </w:pPr>
            <w:r w:rsidRPr="00A9234B">
              <w:rPr>
                <w:rFonts w:asciiTheme="majorHAnsi" w:hAnsiTheme="majorHAnsi" w:cs="Calibri"/>
                <w:b w:val="0"/>
                <w:bCs/>
                <w:color w:val="0C0D00"/>
                <w:sz w:val="20"/>
                <w:szCs w:val="20"/>
                <w:lang w:val="es-ES_tradnl"/>
              </w:rPr>
              <w:t xml:space="preserve">2) </w:t>
            </w:r>
            <w:r w:rsidR="00314C4F" w:rsidRPr="00A9234B">
              <w:rPr>
                <w:rFonts w:asciiTheme="majorHAnsi" w:hAnsiTheme="majorHAnsi" w:cs="Calibri"/>
                <w:b w:val="0"/>
                <w:bCs/>
                <w:color w:val="0C0D00"/>
                <w:sz w:val="20"/>
                <w:szCs w:val="20"/>
                <w:lang w:val="es-ES_tradnl"/>
              </w:rPr>
              <w:t xml:space="preserve">Se presentarán los lineamientos revisados, como Anexo a un proyecto de Resolución, al Comité Permanente y a la </w:t>
            </w:r>
            <w:r w:rsidR="00360FBC" w:rsidRPr="00A9234B">
              <w:rPr>
                <w:rFonts w:asciiTheme="majorHAnsi" w:hAnsiTheme="majorHAnsi" w:cs="Calibri"/>
                <w:b w:val="0"/>
                <w:bCs/>
                <w:color w:val="0C0D00"/>
                <w:sz w:val="20"/>
                <w:szCs w:val="20"/>
                <w:lang w:val="es-ES_tradnl"/>
              </w:rPr>
              <w:t>13ª reunión de la Conferencia de las Partes Con</w:t>
            </w:r>
            <w:r w:rsidR="00314C4F" w:rsidRPr="00A9234B">
              <w:rPr>
                <w:rFonts w:asciiTheme="majorHAnsi" w:hAnsiTheme="majorHAnsi" w:cs="Calibri"/>
                <w:b w:val="0"/>
                <w:bCs/>
                <w:color w:val="0C0D00"/>
                <w:sz w:val="20"/>
                <w:szCs w:val="20"/>
                <w:lang w:val="es-ES_tradnl"/>
              </w:rPr>
              <w:t xml:space="preserve">tratantes </w:t>
            </w:r>
          </w:p>
          <w:p w14:paraId="783B13D6" w14:textId="77777777" w:rsidR="00360FBC" w:rsidRPr="00A9234B" w:rsidRDefault="00360FBC" w:rsidP="007360DF">
            <w:pPr>
              <w:rPr>
                <w:rFonts w:asciiTheme="majorHAnsi" w:hAnsiTheme="majorHAnsi" w:cs="Calibri"/>
                <w:b w:val="0"/>
                <w:bCs/>
                <w:sz w:val="20"/>
                <w:szCs w:val="20"/>
                <w:u w:val="single"/>
                <w:lang w:val="es-ES_tradnl"/>
              </w:rPr>
            </w:pPr>
          </w:p>
          <w:p w14:paraId="3641A5B8" w14:textId="5CAFDFF3" w:rsidR="00EF4061" w:rsidRPr="00A9234B" w:rsidRDefault="00DF2144" w:rsidP="007360DF">
            <w:pPr>
              <w:rPr>
                <w:rFonts w:asciiTheme="majorHAnsi" w:hAnsiTheme="majorHAnsi" w:cs="Arial"/>
                <w:sz w:val="20"/>
                <w:szCs w:val="20"/>
                <w:u w:val="single"/>
                <w:lang w:val="es-ES_tradnl"/>
              </w:rPr>
            </w:pPr>
            <w:r w:rsidRPr="00A9234B">
              <w:rPr>
                <w:rFonts w:asciiTheme="majorHAnsi" w:hAnsiTheme="majorHAnsi" w:cs="Calibri"/>
                <w:b w:val="0"/>
                <w:bCs/>
                <w:sz w:val="20"/>
                <w:szCs w:val="20"/>
                <w:u w:val="single"/>
                <w:lang w:val="es-ES_tradnl"/>
              </w:rPr>
              <w:t>Grupo(s) destinatario(s)</w:t>
            </w:r>
            <w:r w:rsidR="00EF4061" w:rsidRPr="00A9234B">
              <w:rPr>
                <w:rFonts w:asciiTheme="majorHAnsi" w:hAnsiTheme="majorHAnsi" w:cs="Calibri"/>
                <w:b w:val="0"/>
                <w:bCs/>
                <w:sz w:val="20"/>
                <w:szCs w:val="20"/>
                <w:lang w:val="es-ES_tradnl"/>
              </w:rPr>
              <w:t xml:space="preserve">: </w:t>
            </w:r>
            <w:r w:rsidR="005B4BA2" w:rsidRPr="00A9234B">
              <w:rPr>
                <w:rFonts w:asciiTheme="majorHAnsi" w:hAnsiTheme="majorHAnsi" w:cs="Calibri"/>
                <w:b w:val="0"/>
                <w:bCs/>
                <w:sz w:val="20"/>
                <w:szCs w:val="20"/>
                <w:lang w:val="es-ES_tradnl"/>
              </w:rPr>
              <w:t>Profesionales</w:t>
            </w:r>
            <w:r w:rsidR="00EF4061" w:rsidRPr="00A9234B">
              <w:rPr>
                <w:rFonts w:asciiTheme="majorHAnsi" w:hAnsiTheme="majorHAnsi" w:cs="Calibri"/>
                <w:b w:val="0"/>
                <w:bCs/>
                <w:sz w:val="20"/>
                <w:szCs w:val="20"/>
                <w:lang w:val="es-ES_tradnl"/>
              </w:rPr>
              <w:t xml:space="preserve"> (</w:t>
            </w:r>
            <w:r w:rsidR="00360FBC" w:rsidRPr="00A9234B">
              <w:rPr>
                <w:rFonts w:asciiTheme="majorHAnsi" w:hAnsiTheme="majorHAnsi" w:cs="Calibri"/>
                <w:b w:val="0"/>
                <w:bCs/>
                <w:sz w:val="20"/>
                <w:szCs w:val="20"/>
                <w:lang w:val="es-ES_tradnl"/>
              </w:rPr>
              <w:t>a</w:t>
            </w:r>
            <w:r w:rsidR="0088725B" w:rsidRPr="00A9234B">
              <w:rPr>
                <w:rFonts w:asciiTheme="majorHAnsi" w:hAnsiTheme="majorHAnsi" w:cs="Calibri"/>
                <w:b w:val="0"/>
                <w:bCs/>
                <w:sz w:val="20"/>
                <w:szCs w:val="20"/>
                <w:lang w:val="es-ES_tradnl"/>
              </w:rPr>
              <w:t>dministradores de sitios Ramsar</w:t>
            </w:r>
            <w:r w:rsidR="00EF4061" w:rsidRPr="00A9234B">
              <w:rPr>
                <w:rFonts w:asciiTheme="majorHAnsi" w:hAnsiTheme="majorHAnsi" w:cs="Calibri"/>
                <w:b w:val="0"/>
                <w:bCs/>
                <w:sz w:val="20"/>
                <w:szCs w:val="20"/>
                <w:lang w:val="es-ES_tradnl"/>
              </w:rPr>
              <w:t>) (</w:t>
            </w:r>
            <w:r w:rsidR="007360DF" w:rsidRPr="00A9234B">
              <w:rPr>
                <w:rFonts w:asciiTheme="majorHAnsi" w:hAnsiTheme="majorHAnsi" w:cs="Calibri"/>
                <w:b w:val="0"/>
                <w:bCs/>
                <w:sz w:val="20"/>
                <w:szCs w:val="20"/>
                <w:lang w:val="es-ES_tradnl"/>
              </w:rPr>
              <w:t>Nota Informativa</w:t>
            </w:r>
            <w:r w:rsidR="00EF4061" w:rsidRPr="00A9234B">
              <w:rPr>
                <w:rFonts w:asciiTheme="majorHAnsi" w:hAnsiTheme="majorHAnsi" w:cs="Calibri"/>
                <w:b w:val="0"/>
                <w:bCs/>
                <w:sz w:val="20"/>
                <w:szCs w:val="20"/>
                <w:lang w:val="es-ES_tradnl"/>
              </w:rPr>
              <w:t xml:space="preserve">) </w:t>
            </w:r>
            <w:r w:rsidR="007360DF" w:rsidRPr="00A9234B">
              <w:rPr>
                <w:rFonts w:asciiTheme="majorHAnsi" w:hAnsiTheme="majorHAnsi" w:cs="Calibri"/>
                <w:b w:val="0"/>
                <w:bCs/>
                <w:sz w:val="20"/>
                <w:szCs w:val="20"/>
                <w:lang w:val="es-ES_tradnl"/>
              </w:rPr>
              <w:t>y</w:t>
            </w:r>
            <w:r w:rsidR="00EF4061" w:rsidRPr="00A9234B">
              <w:rPr>
                <w:rFonts w:asciiTheme="majorHAnsi" w:hAnsiTheme="majorHAnsi" w:cs="Calibri"/>
                <w:b w:val="0"/>
                <w:bCs/>
                <w:sz w:val="20"/>
                <w:szCs w:val="20"/>
                <w:lang w:val="es-ES_tradnl"/>
              </w:rPr>
              <w:t xml:space="preserve"> </w:t>
            </w:r>
            <w:r w:rsidR="005B4BA2" w:rsidRPr="00A9234B">
              <w:rPr>
                <w:rFonts w:asciiTheme="majorHAnsi" w:hAnsiTheme="majorHAnsi" w:cs="Calibri"/>
                <w:b w:val="0"/>
                <w:bCs/>
                <w:sz w:val="20"/>
                <w:szCs w:val="20"/>
                <w:lang w:val="es-ES_tradnl"/>
              </w:rPr>
              <w:t xml:space="preserve">responsables </w:t>
            </w:r>
            <w:r w:rsidR="0088725B" w:rsidRPr="00A9234B">
              <w:rPr>
                <w:rFonts w:asciiTheme="majorHAnsi" w:hAnsiTheme="majorHAnsi" w:cs="Calibri"/>
                <w:b w:val="0"/>
                <w:bCs/>
                <w:sz w:val="20"/>
                <w:szCs w:val="20"/>
                <w:lang w:val="es-ES_tradnl"/>
              </w:rPr>
              <w:t>de políticas</w:t>
            </w:r>
            <w:r w:rsidR="00EF4061" w:rsidRPr="00A9234B">
              <w:rPr>
                <w:rFonts w:asciiTheme="majorHAnsi" w:hAnsiTheme="majorHAnsi" w:cs="Calibri"/>
                <w:b w:val="0"/>
                <w:bCs/>
                <w:sz w:val="20"/>
                <w:szCs w:val="20"/>
                <w:lang w:val="es-ES_tradnl"/>
              </w:rPr>
              <w:t xml:space="preserve"> (An</w:t>
            </w:r>
            <w:r w:rsidR="007360DF" w:rsidRPr="00A9234B">
              <w:rPr>
                <w:rFonts w:asciiTheme="majorHAnsi" w:hAnsiTheme="majorHAnsi" w:cs="Calibri"/>
                <w:b w:val="0"/>
                <w:bCs/>
                <w:sz w:val="20"/>
                <w:szCs w:val="20"/>
                <w:lang w:val="es-ES_tradnl"/>
              </w:rPr>
              <w:t>exo a proyecto de Resolución</w:t>
            </w:r>
            <w:r w:rsidR="00EF4061" w:rsidRPr="00A9234B">
              <w:rPr>
                <w:rFonts w:asciiTheme="majorHAnsi" w:hAnsiTheme="majorHAnsi" w:cs="Calibri"/>
                <w:b w:val="0"/>
                <w:bCs/>
                <w:sz w:val="20"/>
                <w:szCs w:val="20"/>
                <w:lang w:val="es-ES_tradnl"/>
              </w:rPr>
              <w:t xml:space="preserve">) </w:t>
            </w:r>
          </w:p>
        </w:tc>
        <w:tc>
          <w:tcPr>
            <w:tcW w:w="497" w:type="pct"/>
          </w:tcPr>
          <w:p w14:paraId="0F7F621B" w14:textId="1BEBA057" w:rsidR="00EF4061" w:rsidRPr="00A9234B" w:rsidRDefault="003E038E"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Hasta</w:t>
            </w:r>
            <w:r w:rsidR="0088725B" w:rsidRPr="00A9234B">
              <w:rPr>
                <w:rFonts w:asciiTheme="majorHAnsi" w:hAnsiTheme="majorHAnsi" w:cs="Arial"/>
                <w:b w:val="0"/>
                <w:sz w:val="20"/>
                <w:szCs w:val="20"/>
                <w:lang w:val="es-ES_tradnl"/>
              </w:rPr>
              <w:t xml:space="preserve"> </w:t>
            </w:r>
            <w:r w:rsidR="00EF4061" w:rsidRPr="00A9234B">
              <w:rPr>
                <w:rFonts w:asciiTheme="majorHAnsi" w:hAnsiTheme="majorHAnsi" w:cs="Arial"/>
                <w:b w:val="0"/>
                <w:sz w:val="20"/>
                <w:szCs w:val="20"/>
                <w:lang w:val="es-ES_tradnl"/>
              </w:rPr>
              <w:t>13</w:t>
            </w:r>
            <w:r w:rsidRPr="00A9234B">
              <w:rPr>
                <w:rFonts w:asciiTheme="majorHAnsi" w:hAnsiTheme="majorHAnsi" w:cs="Arial"/>
                <w:b w:val="0"/>
                <w:sz w:val="20"/>
                <w:szCs w:val="20"/>
                <w:lang w:val="es-ES_tradnl"/>
              </w:rPr>
              <w:t>.</w:t>
            </w:r>
            <w:r w:rsidR="00EF4061" w:rsidRPr="00A9234B">
              <w:rPr>
                <w:rFonts w:asciiTheme="majorHAnsi" w:hAnsiTheme="majorHAnsi" w:cs="Arial"/>
                <w:b w:val="0"/>
                <w:sz w:val="20"/>
                <w:szCs w:val="20"/>
                <w:lang w:val="es-ES_tradnl"/>
              </w:rPr>
              <w:t>000</w:t>
            </w:r>
          </w:p>
        </w:tc>
      </w:tr>
    </w:tbl>
    <w:p w14:paraId="43CAB5D3" w14:textId="77777777" w:rsidR="00EF4061" w:rsidRPr="00A9234B" w:rsidRDefault="00EF4061" w:rsidP="00EF4061">
      <w:pPr>
        <w:rPr>
          <w:rFonts w:asciiTheme="majorHAnsi" w:hAnsiTheme="majorHAnsi" w:cs="Arial"/>
          <w:sz w:val="20"/>
          <w:szCs w:val="20"/>
          <w:lang w:val="es-ES_tradnl"/>
        </w:rPr>
      </w:pPr>
    </w:p>
    <w:tbl>
      <w:tblPr>
        <w:tblStyle w:val="TableGrid1"/>
        <w:tblpPr w:leftFromText="180" w:rightFromText="180" w:vertAnchor="text" w:horzAnchor="margin" w:tblpY="20"/>
        <w:tblW w:w="5000" w:type="pct"/>
        <w:tblLook w:val="04A0" w:firstRow="1" w:lastRow="0" w:firstColumn="1" w:lastColumn="0" w:noHBand="0" w:noVBand="1"/>
      </w:tblPr>
      <w:tblGrid>
        <w:gridCol w:w="14174"/>
      </w:tblGrid>
      <w:tr w:rsidR="00EF4061" w:rsidRPr="00504EB0" w14:paraId="0272D658" w14:textId="77777777" w:rsidTr="00EF4061">
        <w:tc>
          <w:tcPr>
            <w:tcW w:w="5000" w:type="pct"/>
            <w:shd w:val="clear" w:color="auto" w:fill="000000" w:themeFill="text1"/>
          </w:tcPr>
          <w:p w14:paraId="52AE43FB" w14:textId="3881ADC2" w:rsidR="00EF4061" w:rsidRPr="00504EB0" w:rsidRDefault="00E96BD0" w:rsidP="00504EB0">
            <w:pPr>
              <w:pStyle w:val="Heading1"/>
              <w:spacing w:before="0"/>
              <w:outlineLvl w:val="0"/>
              <w:rPr>
                <w:rFonts w:asciiTheme="majorHAnsi" w:hAnsiTheme="majorHAnsi"/>
                <w:b/>
                <w:sz w:val="20"/>
                <w:szCs w:val="20"/>
                <w:lang w:val="es-ES"/>
              </w:rPr>
            </w:pPr>
            <w:bookmarkStart w:id="3" w:name="_Toc455997517"/>
            <w:r w:rsidRPr="00504EB0">
              <w:rPr>
                <w:rFonts w:asciiTheme="majorHAnsi" w:hAnsiTheme="majorHAnsi"/>
                <w:b/>
                <w:color w:val="FFFFFF" w:themeColor="background1"/>
                <w:sz w:val="20"/>
                <w:szCs w:val="20"/>
                <w:lang w:val="es-ES"/>
              </w:rPr>
              <w:t xml:space="preserve">Área Temática de Trabajo Nº 2: Buenas prácticas para el desarrollo y </w:t>
            </w:r>
            <w:r w:rsidR="00DE6F79" w:rsidRPr="00504EB0">
              <w:rPr>
                <w:rFonts w:asciiTheme="majorHAnsi" w:hAnsiTheme="majorHAnsi"/>
                <w:b/>
                <w:color w:val="FFFFFF" w:themeColor="background1"/>
                <w:sz w:val="20"/>
                <w:szCs w:val="20"/>
                <w:lang w:val="es-ES"/>
              </w:rPr>
              <w:t>la ejecución</w:t>
            </w:r>
            <w:r w:rsidRPr="00504EB0">
              <w:rPr>
                <w:rFonts w:asciiTheme="majorHAnsi" w:hAnsiTheme="majorHAnsi"/>
                <w:b/>
                <w:color w:val="FFFFFF" w:themeColor="background1"/>
                <w:sz w:val="20"/>
                <w:szCs w:val="20"/>
                <w:lang w:val="es-ES"/>
              </w:rPr>
              <w:t xml:space="preserve"> de</w:t>
            </w:r>
            <w:r w:rsidR="00360FBC" w:rsidRPr="00504EB0">
              <w:rPr>
                <w:rFonts w:asciiTheme="majorHAnsi" w:hAnsiTheme="majorHAnsi"/>
                <w:b/>
                <w:color w:val="FFFFFF" w:themeColor="background1"/>
                <w:sz w:val="20"/>
                <w:szCs w:val="20"/>
                <w:lang w:val="es-ES"/>
              </w:rPr>
              <w:t xml:space="preserve"> planes de manejo, planes de a</w:t>
            </w:r>
            <w:r w:rsidRPr="00504EB0">
              <w:rPr>
                <w:rFonts w:asciiTheme="majorHAnsi" w:hAnsiTheme="majorHAnsi"/>
                <w:b/>
                <w:color w:val="FFFFFF" w:themeColor="background1"/>
                <w:sz w:val="20"/>
                <w:szCs w:val="20"/>
                <w:lang w:val="es-ES"/>
              </w:rPr>
              <w:t xml:space="preserve">cción y otros instrumentos para </w:t>
            </w:r>
            <w:r w:rsidR="00DE6F79" w:rsidRPr="00504EB0">
              <w:rPr>
                <w:rFonts w:asciiTheme="majorHAnsi" w:hAnsiTheme="majorHAnsi"/>
                <w:b/>
                <w:color w:val="FFFFFF" w:themeColor="background1"/>
                <w:sz w:val="20"/>
                <w:szCs w:val="20"/>
                <w:lang w:val="es-ES"/>
              </w:rPr>
              <w:t xml:space="preserve">los </w:t>
            </w:r>
            <w:r w:rsidRPr="00504EB0">
              <w:rPr>
                <w:rFonts w:asciiTheme="majorHAnsi" w:hAnsiTheme="majorHAnsi"/>
                <w:b/>
                <w:color w:val="FFFFFF" w:themeColor="background1"/>
                <w:sz w:val="20"/>
                <w:szCs w:val="20"/>
                <w:lang w:val="es-ES"/>
              </w:rPr>
              <w:t xml:space="preserve">sitios Ramsar y </w:t>
            </w:r>
            <w:r w:rsidRPr="00504EB0">
              <w:rPr>
                <w:rFonts w:asciiTheme="majorHAnsi" w:hAnsiTheme="majorHAnsi"/>
                <w:b/>
                <w:color w:val="FFFFFF" w:themeColor="background1"/>
                <w:sz w:val="20"/>
                <w:szCs w:val="20"/>
                <w:lang w:val="es-ES"/>
              </w:rPr>
              <w:lastRenderedPageBreak/>
              <w:t>otros humedales</w:t>
            </w:r>
            <w:bookmarkEnd w:id="3"/>
            <w:r w:rsidRPr="00504EB0">
              <w:rPr>
                <w:rFonts w:asciiTheme="majorHAnsi" w:hAnsiTheme="majorHAnsi"/>
                <w:b/>
                <w:color w:val="FFFFFF" w:themeColor="background1"/>
                <w:sz w:val="20"/>
                <w:szCs w:val="20"/>
                <w:lang w:val="es-ES"/>
              </w:rPr>
              <w:t xml:space="preserve"> </w:t>
            </w:r>
          </w:p>
        </w:tc>
      </w:tr>
    </w:tbl>
    <w:p w14:paraId="0A959F80" w14:textId="77777777" w:rsidR="00EF4061" w:rsidRPr="00A9234B" w:rsidRDefault="00EF4061" w:rsidP="00EF4061">
      <w:pPr>
        <w:rPr>
          <w:rFonts w:asciiTheme="majorHAnsi" w:hAnsiTheme="majorHAnsi" w:cs="Arial"/>
          <w:sz w:val="20"/>
          <w:szCs w:val="20"/>
          <w:lang w:val="es-ES_tradnl"/>
        </w:rPr>
      </w:pPr>
    </w:p>
    <w:tbl>
      <w:tblPr>
        <w:tblStyle w:val="TableGrid21"/>
        <w:tblW w:w="5000" w:type="pct"/>
        <w:tblLook w:val="04A0" w:firstRow="1" w:lastRow="0" w:firstColumn="1" w:lastColumn="0" w:noHBand="0" w:noVBand="1"/>
      </w:tblPr>
      <w:tblGrid>
        <w:gridCol w:w="3561"/>
        <w:gridCol w:w="10613"/>
      </w:tblGrid>
      <w:tr w:rsidR="00EF4061" w:rsidRPr="00504EB0" w14:paraId="07E269E2" w14:textId="77777777" w:rsidTr="00EF4061">
        <w:tc>
          <w:tcPr>
            <w:tcW w:w="1256" w:type="pct"/>
          </w:tcPr>
          <w:p w14:paraId="2914A774" w14:textId="7F87021A" w:rsidR="00EF4061" w:rsidRPr="00A9234B" w:rsidRDefault="000A7839" w:rsidP="00EF4061">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 xml:space="preserve">Responsable(s) del grupo de trabajo y participantes: </w:t>
            </w:r>
          </w:p>
        </w:tc>
        <w:tc>
          <w:tcPr>
            <w:tcW w:w="3744" w:type="pct"/>
          </w:tcPr>
          <w:p w14:paraId="1868CF39" w14:textId="5A6E2EC7" w:rsidR="00EF4061" w:rsidRPr="00A9234B" w:rsidRDefault="00EF4061" w:rsidP="00360FBC">
            <w:pPr>
              <w:tabs>
                <w:tab w:val="left" w:pos="1095"/>
              </w:tabs>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Susanna Aguilar, Channa Bambaradeniya (</w:t>
            </w:r>
            <w:r w:rsidR="00360FBC" w:rsidRPr="00A9234B">
              <w:rPr>
                <w:rFonts w:asciiTheme="majorHAnsi" w:eastAsia="Calibri" w:hAnsiTheme="majorHAnsi" w:cs="Arial"/>
                <w:b w:val="0"/>
                <w:sz w:val="20"/>
                <w:szCs w:val="20"/>
                <w:lang w:val="es-ES_tradnl"/>
              </w:rPr>
              <w:t>responsable</w:t>
            </w:r>
            <w:r w:rsidRPr="00A9234B">
              <w:rPr>
                <w:rFonts w:asciiTheme="majorHAnsi" w:eastAsia="Calibri" w:hAnsiTheme="majorHAnsi" w:cs="Arial"/>
                <w:b w:val="0"/>
                <w:sz w:val="20"/>
                <w:szCs w:val="20"/>
                <w:lang w:val="es-ES_tradnl"/>
              </w:rPr>
              <w:t xml:space="preserve">), Ruth Cromie, Lars Dinesen, Jari Ilmonen, Guangchun Lei, Kassim Kulindwa, Ritesh Kumar </w:t>
            </w:r>
          </w:p>
        </w:tc>
      </w:tr>
      <w:tr w:rsidR="00E2615C" w:rsidRPr="00504EB0" w14:paraId="53F12F83" w14:textId="77777777" w:rsidTr="00EF4061">
        <w:tc>
          <w:tcPr>
            <w:tcW w:w="1256" w:type="pct"/>
          </w:tcPr>
          <w:p w14:paraId="752FD0F4" w14:textId="2D5F746C" w:rsidR="00E2615C" w:rsidRPr="00A9234B" w:rsidRDefault="00E2615C" w:rsidP="00EF4061">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Organizaciones contribuyentes: [OIA/observadores/otros]</w:t>
            </w:r>
          </w:p>
        </w:tc>
        <w:tc>
          <w:tcPr>
            <w:tcW w:w="3744" w:type="pct"/>
          </w:tcPr>
          <w:p w14:paraId="46700EB6" w14:textId="4FBBCBD3" w:rsidR="00E2615C" w:rsidRPr="00A9234B" w:rsidRDefault="00E2615C" w:rsidP="007D6E58">
            <w:pPr>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 xml:space="preserve">BirdLife International (Zoltan Waliczky), Unión Internacional para la Conservación de la Naturaleza (UICN) (Stefano Barchiesi, William Darwall), Instituto Internacional para el Manejo del Agua (IWMI) (Sanjiv de Silva), WI (Marcel Silvius), </w:t>
            </w:r>
            <w:r w:rsidR="005B45C0" w:rsidRPr="00A9234B">
              <w:rPr>
                <w:rFonts w:asciiTheme="majorHAnsi" w:eastAsia="Calibri" w:hAnsiTheme="majorHAnsi" w:cs="Arial"/>
                <w:b w:val="0"/>
                <w:sz w:val="20"/>
                <w:szCs w:val="20"/>
                <w:lang w:val="es-ES_tradnl"/>
              </w:rPr>
              <w:t>WWT (Rob</w:t>
            </w:r>
            <w:r w:rsidRPr="00A9234B">
              <w:rPr>
                <w:rFonts w:asciiTheme="majorHAnsi" w:eastAsia="Calibri" w:hAnsiTheme="majorHAnsi" w:cs="Arial"/>
                <w:b w:val="0"/>
                <w:sz w:val="20"/>
                <w:szCs w:val="20"/>
                <w:lang w:val="es-ES_tradnl"/>
              </w:rPr>
              <w:t xml:space="preserve"> Shore)/</w:t>
            </w:r>
            <w:r w:rsidR="005B45C0" w:rsidRPr="00A9234B">
              <w:rPr>
                <w:rFonts w:asciiTheme="majorHAnsi" w:eastAsia="Calibri" w:hAnsiTheme="majorHAnsi" w:cs="Arial"/>
                <w:b w:val="0"/>
                <w:sz w:val="20"/>
                <w:szCs w:val="20"/>
                <w:lang w:val="es-ES_tradnl"/>
              </w:rPr>
              <w:t xml:space="preserve">Comité Técnico de </w:t>
            </w:r>
            <w:r w:rsidRPr="00A9234B">
              <w:rPr>
                <w:rFonts w:asciiTheme="majorHAnsi" w:eastAsia="Calibri" w:hAnsiTheme="majorHAnsi" w:cs="Arial"/>
                <w:b w:val="0"/>
                <w:sz w:val="20"/>
                <w:szCs w:val="20"/>
                <w:lang w:val="es-ES_tradnl"/>
              </w:rPr>
              <w:t xml:space="preserve">AEWA </w:t>
            </w:r>
            <w:r w:rsidR="005B45C0" w:rsidRPr="00A9234B">
              <w:rPr>
                <w:rFonts w:asciiTheme="majorHAnsi" w:eastAsia="Calibri" w:hAnsiTheme="majorHAnsi" w:cs="Arial"/>
                <w:b w:val="0"/>
                <w:sz w:val="20"/>
                <w:szCs w:val="20"/>
                <w:lang w:val="es-ES_tradnl"/>
              </w:rPr>
              <w:t xml:space="preserve">(David Shroud), </w:t>
            </w:r>
            <w:r w:rsidRPr="00A9234B">
              <w:rPr>
                <w:rFonts w:asciiTheme="majorHAnsi" w:eastAsia="Calibri" w:hAnsiTheme="majorHAnsi" w:cs="Arial"/>
                <w:b w:val="0"/>
                <w:sz w:val="20"/>
                <w:szCs w:val="20"/>
                <w:lang w:val="es-ES_tradnl"/>
              </w:rPr>
              <w:t>SWS (Nick Davidson), Tour du Valat/</w:t>
            </w:r>
            <w:r w:rsidR="007D6E58" w:rsidRPr="00A9234B">
              <w:rPr>
                <w:rFonts w:asciiTheme="majorHAnsi" w:eastAsia="Calibri" w:hAnsiTheme="majorHAnsi" w:cs="Arial"/>
                <w:b w:val="0"/>
                <w:sz w:val="20"/>
                <w:szCs w:val="20"/>
                <w:lang w:val="es-ES_tradnl"/>
              </w:rPr>
              <w:t xml:space="preserve">Observatorio de los humedales del Mediterráneo </w:t>
            </w:r>
            <w:r w:rsidRPr="00A9234B">
              <w:rPr>
                <w:rFonts w:asciiTheme="majorHAnsi" w:eastAsia="Calibri" w:hAnsiTheme="majorHAnsi" w:cs="Arial"/>
                <w:b w:val="0"/>
                <w:sz w:val="20"/>
                <w:szCs w:val="20"/>
                <w:lang w:val="es-ES_tradnl"/>
              </w:rPr>
              <w:t>(Christian Perennou), PNUMA (Marisol Estrella), ONU-Habitat (Rob McInnes), UNESCO-MAB (Marie Prchlova), Centro del Patrimonio Mundial (Tim Badman)/</w:t>
            </w:r>
            <w:r w:rsidRPr="00A9234B">
              <w:rPr>
                <w:rFonts w:asciiTheme="majorHAnsi" w:eastAsiaTheme="minorHAnsi" w:hAnsiTheme="majorHAnsi" w:cs="Arial"/>
                <w:b w:val="0"/>
                <w:sz w:val="20"/>
                <w:szCs w:val="20"/>
                <w:lang w:val="es-ES_tradnl" w:eastAsia="en-US"/>
              </w:rPr>
              <w:t xml:space="preserve"> Sociedad Internacional de la Turba (Jack Rieley)</w:t>
            </w:r>
          </w:p>
        </w:tc>
      </w:tr>
    </w:tbl>
    <w:p w14:paraId="4ADA9897" w14:textId="77777777" w:rsidR="00EF4061" w:rsidRPr="00A9234B" w:rsidRDefault="00EF4061" w:rsidP="00EF4061">
      <w:pPr>
        <w:rPr>
          <w:rFonts w:asciiTheme="majorHAnsi" w:hAnsiTheme="majorHAnsi" w:cs="Arial"/>
          <w:sz w:val="20"/>
          <w:szCs w:val="20"/>
          <w:lang w:val="es-ES_tradnl"/>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500"/>
        <w:gridCol w:w="1233"/>
        <w:gridCol w:w="851"/>
        <w:gridCol w:w="1036"/>
        <w:gridCol w:w="8216"/>
        <w:gridCol w:w="1320"/>
      </w:tblGrid>
      <w:tr w:rsidR="005265E4" w:rsidRPr="00A9234B" w14:paraId="33A8FB94" w14:textId="77777777" w:rsidTr="000D6510">
        <w:tc>
          <w:tcPr>
            <w:tcW w:w="530" w:type="pct"/>
            <w:shd w:val="clear" w:color="auto" w:fill="D9D9D9" w:themeFill="background1" w:themeFillShade="D9"/>
          </w:tcPr>
          <w:p w14:paraId="4DE8A6D7" w14:textId="3FACAF9A" w:rsidR="00360FBC" w:rsidRPr="00A9234B" w:rsidRDefault="005265E4"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Nº</w:t>
            </w:r>
            <w:r w:rsidR="00360FBC" w:rsidRPr="00A9234B">
              <w:rPr>
                <w:rFonts w:asciiTheme="majorHAnsi" w:hAnsiTheme="majorHAnsi" w:cs="Arial"/>
                <w:sz w:val="20"/>
                <w:szCs w:val="20"/>
                <w:lang w:val="es-ES_tradnl"/>
              </w:rPr>
              <w:t xml:space="preserve"> y título de la tarea</w:t>
            </w:r>
          </w:p>
        </w:tc>
        <w:tc>
          <w:tcPr>
            <w:tcW w:w="436" w:type="pct"/>
            <w:shd w:val="clear" w:color="auto" w:fill="D9D9D9" w:themeFill="background1" w:themeFillShade="D9"/>
          </w:tcPr>
          <w:p w14:paraId="71556650" w14:textId="76DD7851" w:rsidR="00360FBC" w:rsidRPr="00A9234B" w:rsidRDefault="00360FB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Prioridad</w:t>
            </w:r>
          </w:p>
        </w:tc>
        <w:tc>
          <w:tcPr>
            <w:tcW w:w="301" w:type="pct"/>
            <w:shd w:val="clear" w:color="auto" w:fill="D9D9D9" w:themeFill="background1" w:themeFillShade="D9"/>
          </w:tcPr>
          <w:p w14:paraId="7442ED97" w14:textId="08508B24" w:rsidR="00360FBC" w:rsidRPr="00A9234B" w:rsidRDefault="00360FB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Res.</w:t>
            </w:r>
          </w:p>
        </w:tc>
        <w:tc>
          <w:tcPr>
            <w:tcW w:w="366" w:type="pct"/>
            <w:shd w:val="clear" w:color="auto" w:fill="D9D9D9" w:themeFill="background1" w:themeFillShade="D9"/>
          </w:tcPr>
          <w:p w14:paraId="46A1B4AA" w14:textId="52FB95F0" w:rsidR="00360FBC" w:rsidRPr="00A9234B" w:rsidRDefault="00360FBC" w:rsidP="00EF4061">
            <w:pPr>
              <w:jc w:val="center"/>
              <w:rPr>
                <w:rFonts w:asciiTheme="majorHAnsi" w:hAnsiTheme="majorHAnsi" w:cs="Arial"/>
                <w:sz w:val="20"/>
                <w:szCs w:val="20"/>
                <w:lang w:val="es-ES_tradnl"/>
              </w:rPr>
            </w:pPr>
            <w:r w:rsidRPr="00A9234B">
              <w:rPr>
                <w:rFonts w:asciiTheme="majorHAnsi" w:eastAsia="Calibri" w:hAnsiTheme="majorHAnsi" w:cs="Arial"/>
                <w:sz w:val="20"/>
                <w:szCs w:val="20"/>
                <w:lang w:val="es-ES_tradnl"/>
              </w:rPr>
              <w:t>Objetivo y meta del Plan Estratégico</w:t>
            </w:r>
          </w:p>
        </w:tc>
        <w:tc>
          <w:tcPr>
            <w:tcW w:w="2902" w:type="pct"/>
            <w:shd w:val="clear" w:color="auto" w:fill="D9D9D9" w:themeFill="background1" w:themeFillShade="D9"/>
          </w:tcPr>
          <w:p w14:paraId="449CAC82" w14:textId="019ACD34" w:rsidR="00360FBC" w:rsidRPr="00A9234B" w:rsidRDefault="00360FBC" w:rsidP="00CC3A9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 xml:space="preserve">Descripción de la tarea, </w:t>
            </w:r>
            <w:r w:rsidR="00CC3A91" w:rsidRPr="00A9234B">
              <w:rPr>
                <w:rFonts w:asciiTheme="majorHAnsi" w:hAnsiTheme="majorHAnsi" w:cs="Arial"/>
                <w:sz w:val="20"/>
                <w:szCs w:val="20"/>
                <w:lang w:val="es-ES_tradnl"/>
              </w:rPr>
              <w:t xml:space="preserve">productos esperados y grupos destinatarios </w:t>
            </w:r>
          </w:p>
        </w:tc>
        <w:tc>
          <w:tcPr>
            <w:tcW w:w="466" w:type="pct"/>
            <w:shd w:val="clear" w:color="auto" w:fill="D9D9D9" w:themeFill="background1" w:themeFillShade="D9"/>
          </w:tcPr>
          <w:p w14:paraId="27353BD5" w14:textId="77777777" w:rsidR="00360FBC" w:rsidRPr="00A9234B" w:rsidRDefault="00360FBC" w:rsidP="00360FBC">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Costo</w:t>
            </w:r>
          </w:p>
          <w:p w14:paraId="1FDE7130" w14:textId="404525AF" w:rsidR="00360FBC" w:rsidRPr="00A9234B" w:rsidRDefault="00360FB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francos suizos</w:t>
            </w:r>
          </w:p>
        </w:tc>
      </w:tr>
      <w:tr w:rsidR="00360FBC" w:rsidRPr="00504EB0" w14:paraId="6CB0D557" w14:textId="77777777" w:rsidTr="000D6510">
        <w:tc>
          <w:tcPr>
            <w:tcW w:w="530" w:type="pct"/>
          </w:tcPr>
          <w:p w14:paraId="74C83EFE" w14:textId="071C797C"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2.1 Juego de herramientas para el manejo de los sitios Ramsar </w:t>
            </w:r>
          </w:p>
          <w:p w14:paraId="41259B7F" w14:textId="77777777" w:rsidR="00360FBC" w:rsidRPr="00A9234B" w:rsidRDefault="00360FBC" w:rsidP="00EF4061">
            <w:pPr>
              <w:rPr>
                <w:rFonts w:asciiTheme="majorHAnsi" w:hAnsiTheme="majorHAnsi" w:cs="Arial"/>
                <w:b w:val="0"/>
                <w:sz w:val="20"/>
                <w:szCs w:val="20"/>
                <w:lang w:val="es-ES_tradnl"/>
              </w:rPr>
            </w:pPr>
          </w:p>
        </w:tc>
        <w:tc>
          <w:tcPr>
            <w:tcW w:w="436" w:type="pct"/>
          </w:tcPr>
          <w:p w14:paraId="5ACB2F7A" w14:textId="6A6D3714"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Alta</w:t>
            </w:r>
          </w:p>
        </w:tc>
        <w:tc>
          <w:tcPr>
            <w:tcW w:w="301" w:type="pct"/>
          </w:tcPr>
          <w:p w14:paraId="718C4D59" w14:textId="3FCC9317" w:rsidR="00360FBC" w:rsidRPr="00A9234B" w:rsidRDefault="00360FBC" w:rsidP="00BE38F5">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XII.11 ¶28; XII.13; ¶¶ , 27, 28; </w:t>
            </w:r>
          </w:p>
        </w:tc>
        <w:tc>
          <w:tcPr>
            <w:tcW w:w="366" w:type="pct"/>
          </w:tcPr>
          <w:p w14:paraId="2E803C6E" w14:textId="77777777"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3.8, 3.9, 3.10, 3.11, 3.12; 4.14, </w:t>
            </w:r>
          </w:p>
        </w:tc>
        <w:tc>
          <w:tcPr>
            <w:tcW w:w="2902" w:type="pct"/>
          </w:tcPr>
          <w:p w14:paraId="089B0D6C" w14:textId="3B1D8014" w:rsidR="00360FBC" w:rsidRPr="00A9234B" w:rsidRDefault="00360FBC" w:rsidP="00EF4061">
            <w:pPr>
              <w:rPr>
                <w:rFonts w:asciiTheme="majorHAnsi" w:eastAsiaTheme="minorHAnsi" w:hAnsiTheme="majorHAnsi" w:cs="Arial"/>
                <w:b w:val="0"/>
                <w:sz w:val="20"/>
                <w:szCs w:val="20"/>
                <w:lang w:val="es-ES_tradnl" w:eastAsia="en-US"/>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xml:space="preserve">: </w:t>
            </w:r>
            <w:r w:rsidRPr="00A9234B">
              <w:rPr>
                <w:rFonts w:asciiTheme="majorHAnsi" w:eastAsiaTheme="minorHAnsi" w:hAnsiTheme="majorHAnsi" w:cs="Arial"/>
                <w:b w:val="0"/>
                <w:sz w:val="20"/>
                <w:szCs w:val="20"/>
                <w:lang w:val="es-ES_tradnl" w:eastAsia="en-US"/>
              </w:rPr>
              <w:t xml:space="preserve">Compilación de un 'Juego de herramientas para el manejo de los sitios Ramsar' en línea, consistente en una página especial en el sitio web de Ramsar, con las traducciones correspondientes a los idiomas de Ramsar. </w:t>
            </w:r>
          </w:p>
          <w:p w14:paraId="3F5EAA52" w14:textId="77777777" w:rsidR="00360FBC" w:rsidRPr="00A9234B" w:rsidRDefault="00360FBC" w:rsidP="00EF4061">
            <w:pPr>
              <w:rPr>
                <w:rFonts w:asciiTheme="majorHAnsi" w:eastAsiaTheme="minorHAnsi" w:hAnsiTheme="majorHAnsi" w:cs="Arial"/>
                <w:b w:val="0"/>
                <w:sz w:val="20"/>
                <w:szCs w:val="20"/>
                <w:lang w:val="es-ES_tradnl" w:eastAsia="en-US"/>
              </w:rPr>
            </w:pPr>
          </w:p>
          <w:p w14:paraId="2DB8ED92" w14:textId="104AC0B8" w:rsidR="00360FBC" w:rsidRPr="00A9234B" w:rsidRDefault="00360FBC" w:rsidP="00EF4061">
            <w:pPr>
              <w:rPr>
                <w:rFonts w:asciiTheme="majorHAnsi" w:eastAsiaTheme="minorHAnsi" w:hAnsiTheme="majorHAnsi" w:cs="Arial"/>
                <w:b w:val="0"/>
                <w:sz w:val="20"/>
                <w:szCs w:val="20"/>
                <w:lang w:val="es-ES_tradnl" w:eastAsia="en-US"/>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Página web cuyo contenido consistiría en orientaciones y contribuciones actuales del GECT sobre el manejo de los sitios, incluyendo buenas prácticas y estudios de casos, a recopilar por la Secretaría, sobre la restauración de humedales y los conocimientos de los pueblos indígenas y comunidades locales, junto con un listado de las iniciativas y recursos de capacitación internacionales y/o regionales, con las fuentes de referencia correspondientes. El sitio sería actualizado y mantenido periódicamente por la Secretaría. El GECT proporcionaría la orientación técnica y material pertinente, con anotaciones, para su inclusión en el juego de herramientas. </w:t>
            </w:r>
          </w:p>
          <w:p w14:paraId="2A7ED574" w14:textId="77777777" w:rsidR="00360FBC" w:rsidRPr="00A9234B" w:rsidRDefault="00360FBC" w:rsidP="00EF4061">
            <w:pPr>
              <w:rPr>
                <w:rFonts w:asciiTheme="majorHAnsi" w:hAnsiTheme="majorHAnsi" w:cs="Arial"/>
                <w:b w:val="0"/>
                <w:sz w:val="20"/>
                <w:szCs w:val="20"/>
                <w:lang w:val="es-ES_tradnl"/>
              </w:rPr>
            </w:pPr>
          </w:p>
          <w:p w14:paraId="5ECF8DB1" w14:textId="4A42F513" w:rsidR="00360FBC" w:rsidRPr="00A9234B" w:rsidRDefault="00360FBC" w:rsidP="00EF4061">
            <w:pPr>
              <w:rPr>
                <w:rFonts w:asciiTheme="majorHAnsi" w:hAnsiTheme="majorHAnsi" w:cs="Arial"/>
                <w:b w:val="0"/>
                <w:sz w:val="20"/>
                <w:szCs w:val="20"/>
                <w:lang w:val="es-ES_tradnl"/>
              </w:rPr>
            </w:pPr>
            <w:r w:rsidRPr="00A9234B">
              <w:rPr>
                <w:rFonts w:asciiTheme="majorHAnsi" w:eastAsiaTheme="minorHAnsi" w:hAnsiTheme="majorHAnsi" w:cs="Arial"/>
                <w:b w:val="0"/>
                <w:sz w:val="20"/>
                <w:szCs w:val="20"/>
                <w:u w:val="single"/>
                <w:lang w:val="es-ES_tradnl" w:eastAsia="en-US"/>
              </w:rPr>
              <w:t>Grupo(s) destinatario(s)</w:t>
            </w:r>
            <w:r w:rsidR="00C67941" w:rsidRPr="00A9234B">
              <w:rPr>
                <w:rFonts w:asciiTheme="majorHAnsi" w:eastAsiaTheme="minorHAnsi" w:hAnsiTheme="majorHAnsi" w:cs="Arial"/>
                <w:b w:val="0"/>
                <w:sz w:val="20"/>
                <w:szCs w:val="20"/>
                <w:lang w:val="es-ES_tradnl" w:eastAsia="en-US"/>
              </w:rPr>
              <w:t>: Profesionales (a</w:t>
            </w:r>
            <w:r w:rsidRPr="00A9234B">
              <w:rPr>
                <w:rFonts w:asciiTheme="majorHAnsi" w:eastAsiaTheme="minorHAnsi" w:hAnsiTheme="majorHAnsi" w:cs="Arial"/>
                <w:b w:val="0"/>
                <w:sz w:val="20"/>
                <w:szCs w:val="20"/>
                <w:lang w:val="es-ES_tradnl" w:eastAsia="en-US"/>
              </w:rPr>
              <w:t>dministradores de sitios Ramsar)</w:t>
            </w:r>
          </w:p>
        </w:tc>
        <w:tc>
          <w:tcPr>
            <w:tcW w:w="466" w:type="pct"/>
          </w:tcPr>
          <w:p w14:paraId="33E4BB41" w14:textId="4A974A65" w:rsidR="00360FBC" w:rsidRPr="00A9234B" w:rsidRDefault="00C67941"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No implica costo alguno para el presupuesto del GECT. </w:t>
            </w:r>
            <w:r w:rsidRPr="00A9234B">
              <w:rPr>
                <w:rFonts w:asciiTheme="majorHAnsi" w:eastAsia="Calibri" w:hAnsiTheme="majorHAnsi" w:cs="Calibri"/>
                <w:b w:val="0"/>
                <w:sz w:val="20"/>
                <w:szCs w:val="20"/>
                <w:lang w:val="es-ES_tradnl"/>
              </w:rPr>
              <w:t xml:space="preserve">El asesoramiento se proporciona de forma voluntaria. </w:t>
            </w:r>
          </w:p>
          <w:p w14:paraId="68F07B23" w14:textId="1109E32B" w:rsidR="00360FBC" w:rsidRPr="00A9234B" w:rsidRDefault="00360FBC" w:rsidP="000A7839">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Posibles costos de traducción, a determinar. </w:t>
            </w:r>
          </w:p>
        </w:tc>
      </w:tr>
      <w:tr w:rsidR="000D6510" w:rsidRPr="00504EB0" w14:paraId="3D465C88" w14:textId="77777777" w:rsidTr="000D6510">
        <w:tc>
          <w:tcPr>
            <w:tcW w:w="530" w:type="pct"/>
          </w:tcPr>
          <w:p w14:paraId="343DAD7A" w14:textId="3B3545A9" w:rsidR="000D6510" w:rsidRPr="00A9234B" w:rsidRDefault="000D6510" w:rsidP="005265E4">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2.2 </w:t>
            </w:r>
            <w:r w:rsidR="005265E4" w:rsidRPr="00A9234B">
              <w:rPr>
                <w:rFonts w:asciiTheme="majorHAnsi" w:hAnsiTheme="majorHAnsi" w:cs="Arial"/>
                <w:b w:val="0"/>
                <w:sz w:val="20"/>
                <w:szCs w:val="20"/>
                <w:lang w:val="es-ES_tradnl"/>
              </w:rPr>
              <w:t xml:space="preserve">Manejo de los humedales para reducir el riesgo de enfermedades transmitidas por el agua o por </w:t>
            </w:r>
            <w:r w:rsidR="005265E4" w:rsidRPr="00A9234B">
              <w:rPr>
                <w:rFonts w:asciiTheme="majorHAnsi" w:hAnsiTheme="majorHAnsi" w:cs="Arial"/>
                <w:b w:val="0"/>
                <w:sz w:val="20"/>
                <w:szCs w:val="20"/>
                <w:lang w:val="es-ES_tradnl"/>
              </w:rPr>
              <w:lastRenderedPageBreak/>
              <w:t>vectores acuáticos</w:t>
            </w:r>
          </w:p>
        </w:tc>
        <w:tc>
          <w:tcPr>
            <w:tcW w:w="436" w:type="pct"/>
          </w:tcPr>
          <w:p w14:paraId="3D34E5E1" w14:textId="26743CC4" w:rsidR="000D6510" w:rsidRPr="00A9234B" w:rsidRDefault="000D6510" w:rsidP="00EF4061">
            <w:pPr>
              <w:rPr>
                <w:rFonts w:asciiTheme="majorHAnsi" w:hAnsiTheme="majorHAnsi" w:cs="Arial"/>
                <w:b w:val="0"/>
                <w:sz w:val="20"/>
                <w:szCs w:val="20"/>
                <w:lang w:val="es-ES_tradnl"/>
              </w:rPr>
            </w:pPr>
          </w:p>
        </w:tc>
        <w:tc>
          <w:tcPr>
            <w:tcW w:w="301" w:type="pct"/>
          </w:tcPr>
          <w:p w14:paraId="3163CA4C" w14:textId="5DCA7013" w:rsidR="000D6510" w:rsidRPr="00A9234B" w:rsidRDefault="000D6510"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XII. 5, An</w:t>
            </w:r>
            <w:r w:rsidR="005265E4" w:rsidRPr="00A9234B">
              <w:rPr>
                <w:rFonts w:asciiTheme="majorHAnsi" w:hAnsiTheme="majorHAnsi" w:cs="Arial"/>
                <w:b w:val="0"/>
                <w:sz w:val="20"/>
                <w:szCs w:val="20"/>
                <w:lang w:val="es-ES_tradnl"/>
              </w:rPr>
              <w:t>exo</w:t>
            </w:r>
            <w:r w:rsidRPr="00A9234B">
              <w:rPr>
                <w:rFonts w:asciiTheme="majorHAnsi" w:hAnsiTheme="majorHAnsi" w:cs="Arial"/>
                <w:b w:val="0"/>
                <w:sz w:val="20"/>
                <w:szCs w:val="20"/>
                <w:lang w:val="es-ES_tradnl"/>
              </w:rPr>
              <w:t xml:space="preserve"> 1, ¶¶  1-2; 15 (ii); 38</w:t>
            </w:r>
          </w:p>
        </w:tc>
        <w:tc>
          <w:tcPr>
            <w:tcW w:w="366" w:type="pct"/>
          </w:tcPr>
          <w:p w14:paraId="5C548C1E" w14:textId="092D8268" w:rsidR="000D6510" w:rsidRPr="00A9234B" w:rsidRDefault="000D6510"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2.5, 2.7; 3.8, 3.9, 3.11, 3.12; 4.14</w:t>
            </w:r>
          </w:p>
        </w:tc>
        <w:tc>
          <w:tcPr>
            <w:tcW w:w="2902" w:type="pct"/>
          </w:tcPr>
          <w:p w14:paraId="0D5E2A4A" w14:textId="16439FC6" w:rsidR="000D6510" w:rsidRPr="00A9234B" w:rsidRDefault="005265E4" w:rsidP="000D6510">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Descripción de la tarea</w:t>
            </w:r>
            <w:r w:rsidR="000D6510" w:rsidRPr="00A9234B">
              <w:rPr>
                <w:rFonts w:asciiTheme="majorHAnsi" w:hAnsiTheme="majorHAnsi" w:cs="Arial"/>
                <w:b w:val="0"/>
                <w:sz w:val="20"/>
                <w:szCs w:val="20"/>
                <w:u w:val="single"/>
                <w:lang w:val="es-ES_tradnl"/>
              </w:rPr>
              <w:t>:</w:t>
            </w:r>
            <w:r w:rsidRPr="00A9234B">
              <w:rPr>
                <w:rFonts w:asciiTheme="majorHAnsi" w:hAnsiTheme="majorHAnsi" w:cs="Arial"/>
                <w:b w:val="0"/>
                <w:sz w:val="20"/>
                <w:szCs w:val="20"/>
                <w:lang w:val="es-ES_tradnl"/>
              </w:rPr>
              <w:t xml:space="preserve"> Brindar asesoramiento sobre el manejo de los humedales para reducir el riesgo de enfermedades transmitidas por el agua o por vectores acuáticos, basándose en el Informe Técnico núm. 6 de Ramsar, </w:t>
            </w:r>
            <w:r w:rsidRPr="00A9234B">
              <w:rPr>
                <w:rFonts w:asciiTheme="majorHAnsi" w:hAnsiTheme="majorHAnsi" w:cs="Arial"/>
                <w:b w:val="0"/>
                <w:i/>
                <w:sz w:val="20"/>
                <w:szCs w:val="20"/>
                <w:lang w:val="es-ES_tradnl"/>
              </w:rPr>
              <w:t>H</w:t>
            </w:r>
            <w:r w:rsidR="000D6510" w:rsidRPr="00A9234B">
              <w:rPr>
                <w:rFonts w:asciiTheme="majorHAnsi" w:hAnsiTheme="majorHAnsi" w:cs="Arial"/>
                <w:b w:val="0"/>
                <w:i/>
                <w:sz w:val="20"/>
                <w:szCs w:val="20"/>
                <w:lang w:val="es-ES_tradnl"/>
              </w:rPr>
              <w:t>ealthy Wetlands, Healthy People</w:t>
            </w:r>
            <w:r w:rsidR="000D6510"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[Humedales saludables, gente sana] y complementándolo con las buenas prácticas actuales</w:t>
            </w:r>
            <w:r w:rsidR="000D6510" w:rsidRPr="00A9234B">
              <w:rPr>
                <w:rFonts w:asciiTheme="majorHAnsi" w:hAnsiTheme="majorHAnsi" w:cs="Arial"/>
                <w:b w:val="0"/>
                <w:sz w:val="20"/>
                <w:szCs w:val="20"/>
                <w:lang w:val="es-ES_tradnl"/>
              </w:rPr>
              <w:t>.</w:t>
            </w:r>
          </w:p>
          <w:p w14:paraId="708909E2" w14:textId="77777777" w:rsidR="000D6510" w:rsidRPr="00A9234B" w:rsidRDefault="000D6510" w:rsidP="000D6510">
            <w:pPr>
              <w:rPr>
                <w:rFonts w:asciiTheme="majorHAnsi" w:hAnsiTheme="majorHAnsi" w:cs="Arial"/>
                <w:b w:val="0"/>
                <w:sz w:val="20"/>
                <w:szCs w:val="20"/>
                <w:highlight w:val="yellow"/>
                <w:u w:val="single"/>
                <w:lang w:val="es-ES_tradnl"/>
              </w:rPr>
            </w:pPr>
          </w:p>
          <w:p w14:paraId="49CA5A3E" w14:textId="77777777" w:rsidR="00544EF7" w:rsidRPr="00A9234B" w:rsidRDefault="00544EF7" w:rsidP="000D6510">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w:t>
            </w:r>
          </w:p>
          <w:p w14:paraId="2D1F86CB" w14:textId="0FF1379D" w:rsidR="000D6510" w:rsidRPr="00A9234B" w:rsidRDefault="000D6510" w:rsidP="000D6510">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 </w:t>
            </w:r>
            <w:r w:rsidR="00544EF7" w:rsidRPr="00A9234B">
              <w:rPr>
                <w:rFonts w:asciiTheme="majorHAnsi" w:hAnsiTheme="majorHAnsi" w:cs="Arial"/>
                <w:b w:val="0"/>
                <w:sz w:val="20"/>
                <w:szCs w:val="20"/>
                <w:lang w:val="es-ES_tradnl"/>
              </w:rPr>
              <w:t>Nota informativa para profesionales (administradores de humedales) y</w:t>
            </w:r>
          </w:p>
          <w:p w14:paraId="2D82E294" w14:textId="078BBA33" w:rsidR="000D6510" w:rsidRPr="00A9234B" w:rsidRDefault="000D6510" w:rsidP="000D6510">
            <w:pPr>
              <w:rPr>
                <w:rFonts w:asciiTheme="majorHAnsi" w:hAnsiTheme="majorHAnsi" w:cs="Arial"/>
                <w:b w:val="0"/>
                <w:sz w:val="20"/>
                <w:szCs w:val="20"/>
                <w:u w:val="single"/>
                <w:lang w:val="es-ES_tradnl"/>
              </w:rPr>
            </w:pPr>
            <w:r w:rsidRPr="00A9234B">
              <w:rPr>
                <w:rFonts w:asciiTheme="majorHAnsi" w:hAnsiTheme="majorHAnsi" w:cs="Arial"/>
                <w:b w:val="0"/>
                <w:sz w:val="20"/>
                <w:szCs w:val="20"/>
                <w:lang w:val="es-ES_tradnl"/>
              </w:rPr>
              <w:lastRenderedPageBreak/>
              <w:t xml:space="preserve">2) </w:t>
            </w:r>
            <w:r w:rsidR="00544EF7" w:rsidRPr="00A9234B">
              <w:rPr>
                <w:rFonts w:asciiTheme="majorHAnsi" w:hAnsiTheme="majorHAnsi" w:cs="Arial"/>
                <w:b w:val="0"/>
                <w:sz w:val="20"/>
                <w:szCs w:val="20"/>
                <w:lang w:val="es-ES_tradnl"/>
              </w:rPr>
              <w:t>Nota sobre políticas que sitúe el control de los vectores en un contexto más amplio, subrayando el valor del manejo adecuado de los humedales para reducir el riesgo de enfermedades transmitidas por el agua o por vectores acuáticos.</w:t>
            </w:r>
          </w:p>
          <w:p w14:paraId="113B1086" w14:textId="77777777" w:rsidR="000D6510" w:rsidRPr="00A9234B" w:rsidRDefault="000D6510" w:rsidP="000D6510">
            <w:pPr>
              <w:rPr>
                <w:rFonts w:asciiTheme="majorHAnsi" w:hAnsiTheme="majorHAnsi" w:cs="Arial"/>
                <w:b w:val="0"/>
                <w:sz w:val="20"/>
                <w:szCs w:val="20"/>
                <w:u w:val="single"/>
                <w:lang w:val="es-ES_tradnl"/>
              </w:rPr>
            </w:pPr>
          </w:p>
          <w:p w14:paraId="329031D1" w14:textId="3C42AE78" w:rsidR="000D6510" w:rsidRPr="00A9234B" w:rsidRDefault="00544EF7" w:rsidP="00EF4061">
            <w:pPr>
              <w:rPr>
                <w:rFonts w:asciiTheme="majorHAnsi" w:hAnsiTheme="majorHAnsi" w:cs="Arial"/>
                <w:sz w:val="20"/>
                <w:szCs w:val="20"/>
                <w:u w:val="single"/>
                <w:lang w:val="es-ES_tradnl"/>
              </w:rPr>
            </w:pPr>
            <w:r w:rsidRPr="00A9234B">
              <w:rPr>
                <w:rFonts w:asciiTheme="majorHAnsi" w:eastAsiaTheme="minorHAnsi" w:hAnsiTheme="majorHAnsi" w:cs="Arial"/>
                <w:b w:val="0"/>
                <w:sz w:val="20"/>
                <w:szCs w:val="20"/>
                <w:u w:val="single"/>
                <w:lang w:val="es-ES_tradnl" w:eastAsia="en-US"/>
              </w:rPr>
              <w:t>Grupo(s) destinatario(s)</w:t>
            </w:r>
            <w:r w:rsidRPr="00A9234B">
              <w:rPr>
                <w:rFonts w:asciiTheme="majorHAnsi" w:eastAsiaTheme="minorHAnsi" w:hAnsiTheme="majorHAnsi" w:cs="Arial"/>
                <w:b w:val="0"/>
                <w:sz w:val="20"/>
                <w:szCs w:val="20"/>
                <w:lang w:val="es-ES_tradnl" w:eastAsia="en-US"/>
              </w:rPr>
              <w:t>: Profesionales (administradores de humedales) y responsables de políticas</w:t>
            </w:r>
          </w:p>
        </w:tc>
        <w:tc>
          <w:tcPr>
            <w:tcW w:w="466" w:type="pct"/>
          </w:tcPr>
          <w:p w14:paraId="60D3ED60" w14:textId="6ABC3FE4" w:rsidR="000D6510" w:rsidRPr="00A9234B" w:rsidRDefault="00544EF7" w:rsidP="000D06BD">
            <w:pPr>
              <w:rPr>
                <w:rFonts w:asciiTheme="majorHAnsi" w:hAnsiTheme="majorHAnsi" w:cs="Arial"/>
                <w:sz w:val="20"/>
                <w:szCs w:val="20"/>
                <w:lang w:val="es-ES_tradnl"/>
              </w:rPr>
            </w:pPr>
            <w:r w:rsidRPr="00A9234B">
              <w:rPr>
                <w:rFonts w:asciiTheme="majorHAnsi" w:hAnsiTheme="majorHAnsi" w:cs="Arial"/>
                <w:b w:val="0"/>
                <w:sz w:val="20"/>
                <w:szCs w:val="20"/>
                <w:lang w:val="es-ES_tradnl"/>
              </w:rPr>
              <w:lastRenderedPageBreak/>
              <w:t>Hasta 22.000 [13.</w:t>
            </w:r>
            <w:r w:rsidR="000D6510" w:rsidRPr="00A9234B">
              <w:rPr>
                <w:rFonts w:asciiTheme="majorHAnsi" w:hAnsiTheme="majorHAnsi" w:cs="Arial"/>
                <w:b w:val="0"/>
                <w:sz w:val="20"/>
                <w:szCs w:val="20"/>
                <w:lang w:val="es-ES_tradnl"/>
              </w:rPr>
              <w:t xml:space="preserve">000 </w:t>
            </w:r>
            <w:r w:rsidRPr="00A9234B">
              <w:rPr>
                <w:rFonts w:asciiTheme="majorHAnsi" w:hAnsiTheme="majorHAnsi" w:cs="Arial"/>
                <w:b w:val="0"/>
                <w:sz w:val="20"/>
                <w:szCs w:val="20"/>
                <w:lang w:val="es-ES_tradnl"/>
              </w:rPr>
              <w:t xml:space="preserve">para una </w:t>
            </w:r>
            <w:r w:rsidR="000D06BD" w:rsidRPr="00A9234B">
              <w:rPr>
                <w:rFonts w:asciiTheme="majorHAnsi" w:hAnsiTheme="majorHAnsi" w:cs="Arial"/>
                <w:b w:val="0"/>
                <w:sz w:val="20"/>
                <w:szCs w:val="20"/>
                <w:lang w:val="es-ES_tradnl"/>
              </w:rPr>
              <w:t>N</w:t>
            </w:r>
            <w:r w:rsidRPr="00A9234B">
              <w:rPr>
                <w:rFonts w:asciiTheme="majorHAnsi" w:hAnsiTheme="majorHAnsi" w:cs="Arial"/>
                <w:b w:val="0"/>
                <w:sz w:val="20"/>
                <w:szCs w:val="20"/>
                <w:lang w:val="es-ES_tradnl"/>
              </w:rPr>
              <w:t>ota informativa y 9.</w:t>
            </w:r>
            <w:r w:rsidR="000D6510" w:rsidRPr="00A9234B">
              <w:rPr>
                <w:rFonts w:asciiTheme="majorHAnsi" w:hAnsiTheme="majorHAnsi" w:cs="Arial"/>
                <w:b w:val="0"/>
                <w:sz w:val="20"/>
                <w:szCs w:val="20"/>
                <w:lang w:val="es-ES_tradnl"/>
              </w:rPr>
              <w:t xml:space="preserve">000 </w:t>
            </w:r>
            <w:r w:rsidRPr="00A9234B">
              <w:rPr>
                <w:rFonts w:asciiTheme="majorHAnsi" w:hAnsiTheme="majorHAnsi" w:cs="Arial"/>
                <w:b w:val="0"/>
                <w:sz w:val="20"/>
                <w:szCs w:val="20"/>
                <w:lang w:val="es-ES_tradnl"/>
              </w:rPr>
              <w:t xml:space="preserve">para una </w:t>
            </w:r>
            <w:r w:rsidR="000D06BD" w:rsidRPr="00A9234B">
              <w:rPr>
                <w:rFonts w:asciiTheme="majorHAnsi" w:hAnsiTheme="majorHAnsi" w:cs="Arial"/>
                <w:b w:val="0"/>
                <w:sz w:val="20"/>
                <w:szCs w:val="20"/>
                <w:lang w:val="es-ES_tradnl"/>
              </w:rPr>
              <w:t>N</w:t>
            </w:r>
            <w:r w:rsidRPr="00A9234B">
              <w:rPr>
                <w:rFonts w:asciiTheme="majorHAnsi" w:hAnsiTheme="majorHAnsi" w:cs="Arial"/>
                <w:b w:val="0"/>
                <w:sz w:val="20"/>
                <w:szCs w:val="20"/>
                <w:lang w:val="es-ES_tradnl"/>
              </w:rPr>
              <w:t xml:space="preserve">ota sobre </w:t>
            </w:r>
            <w:r w:rsidRPr="00A9234B">
              <w:rPr>
                <w:rFonts w:asciiTheme="majorHAnsi" w:hAnsiTheme="majorHAnsi" w:cs="Arial"/>
                <w:b w:val="0"/>
                <w:sz w:val="20"/>
                <w:szCs w:val="20"/>
                <w:lang w:val="es-ES_tradnl"/>
              </w:rPr>
              <w:lastRenderedPageBreak/>
              <w:t>políticas</w:t>
            </w:r>
            <w:r w:rsidR="000D6510" w:rsidRPr="00A9234B">
              <w:rPr>
                <w:rFonts w:asciiTheme="majorHAnsi" w:hAnsiTheme="majorHAnsi" w:cs="Arial"/>
                <w:b w:val="0"/>
                <w:sz w:val="20"/>
                <w:szCs w:val="20"/>
                <w:lang w:val="es-ES_tradnl"/>
              </w:rPr>
              <w:t>]</w:t>
            </w:r>
          </w:p>
        </w:tc>
      </w:tr>
      <w:tr w:rsidR="000D6510" w:rsidRPr="00A9234B" w14:paraId="23126048" w14:textId="77777777" w:rsidTr="000D6510">
        <w:tc>
          <w:tcPr>
            <w:tcW w:w="530" w:type="pct"/>
          </w:tcPr>
          <w:p w14:paraId="56F54C76" w14:textId="018FFE03" w:rsidR="000D6510" w:rsidRPr="00A9234B" w:rsidRDefault="000D6510" w:rsidP="007360DF">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2.3 Manejo de los humedales transfronterizos</w:t>
            </w:r>
          </w:p>
        </w:tc>
        <w:tc>
          <w:tcPr>
            <w:tcW w:w="436" w:type="pct"/>
          </w:tcPr>
          <w:p w14:paraId="1B832D67" w14:textId="77777777" w:rsidR="000D6510" w:rsidRPr="00A9234B" w:rsidRDefault="000D6510" w:rsidP="00EF4061">
            <w:pPr>
              <w:rPr>
                <w:rFonts w:asciiTheme="majorHAnsi" w:hAnsiTheme="majorHAnsi" w:cs="Arial"/>
                <w:b w:val="0"/>
                <w:sz w:val="20"/>
                <w:szCs w:val="20"/>
                <w:lang w:val="es-ES_tradnl"/>
              </w:rPr>
            </w:pPr>
          </w:p>
        </w:tc>
        <w:tc>
          <w:tcPr>
            <w:tcW w:w="301" w:type="pct"/>
          </w:tcPr>
          <w:p w14:paraId="1271766D" w14:textId="47B30346"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XII.5, Anexo 1, ¶¶ 1-2</w:t>
            </w:r>
          </w:p>
        </w:tc>
        <w:tc>
          <w:tcPr>
            <w:tcW w:w="366" w:type="pct"/>
          </w:tcPr>
          <w:p w14:paraId="25D8FB4E" w14:textId="71998EC4"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3.8, 3.9, 3.11, 3.12; 4.14</w:t>
            </w:r>
          </w:p>
        </w:tc>
        <w:tc>
          <w:tcPr>
            <w:tcW w:w="2902" w:type="pct"/>
          </w:tcPr>
          <w:p w14:paraId="102DB2A9" w14:textId="39C22A63"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Generación de una Nota sobre políticas que describe los enfoques y las buenas prácticas para desarrollar y aplicar los planes de manejo y otros instrumentos de los humedales transfronterizos, además, de las lecciones aprendidas, con énfasis especial en los recursos hídricos compartidos, el manejo de las cuencas y la conservación de las características ecológicas de los humedales transfronterizos, incluyendo una introducción sobre las iniciativas internacionales/regionales pertinentes.</w:t>
            </w:r>
          </w:p>
          <w:p w14:paraId="442BB045" w14:textId="77777777" w:rsidR="000D6510" w:rsidRPr="00A9234B" w:rsidRDefault="000D6510" w:rsidP="00EF4061">
            <w:pPr>
              <w:rPr>
                <w:rFonts w:asciiTheme="majorHAnsi" w:hAnsiTheme="majorHAnsi" w:cs="Arial"/>
                <w:b w:val="0"/>
                <w:sz w:val="20"/>
                <w:szCs w:val="20"/>
                <w:highlight w:val="yellow"/>
                <w:u w:val="single"/>
                <w:lang w:val="es-ES_tradnl"/>
              </w:rPr>
            </w:pPr>
          </w:p>
          <w:p w14:paraId="5B162DB8" w14:textId="3259CD25"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Nota sobre políticas </w:t>
            </w:r>
          </w:p>
          <w:p w14:paraId="7CE4BFD6" w14:textId="77777777" w:rsidR="000D6510" w:rsidRPr="00A9234B" w:rsidRDefault="000D6510" w:rsidP="00EF4061">
            <w:pPr>
              <w:rPr>
                <w:rFonts w:asciiTheme="majorHAnsi" w:hAnsiTheme="majorHAnsi" w:cs="Arial"/>
                <w:b w:val="0"/>
                <w:sz w:val="20"/>
                <w:szCs w:val="20"/>
                <w:lang w:val="es-ES_tradnl"/>
              </w:rPr>
            </w:pPr>
          </w:p>
          <w:p w14:paraId="6EA06655" w14:textId="04E96B83" w:rsidR="000D6510" w:rsidRPr="00A9234B" w:rsidRDefault="000D6510" w:rsidP="00EF4061">
            <w:pPr>
              <w:ind w:left="720" w:hanging="720"/>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Responsables de políticas</w:t>
            </w:r>
          </w:p>
        </w:tc>
        <w:tc>
          <w:tcPr>
            <w:tcW w:w="466" w:type="pct"/>
          </w:tcPr>
          <w:p w14:paraId="1A82B2CF" w14:textId="1D008A91"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Hasta 9.000</w:t>
            </w:r>
          </w:p>
        </w:tc>
      </w:tr>
      <w:tr w:rsidR="000D6510" w:rsidRPr="00A9234B" w14:paraId="3B98EC24" w14:textId="77777777" w:rsidTr="000D6510">
        <w:tc>
          <w:tcPr>
            <w:tcW w:w="530" w:type="pct"/>
          </w:tcPr>
          <w:p w14:paraId="13045CA9" w14:textId="1288B3F1" w:rsidR="000D6510" w:rsidRPr="00A9234B" w:rsidRDefault="00106B7A" w:rsidP="007360DF">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2.4</w:t>
            </w:r>
            <w:r w:rsidR="000D6510" w:rsidRPr="00A9234B">
              <w:rPr>
                <w:rFonts w:asciiTheme="majorHAnsi" w:hAnsiTheme="majorHAnsi" w:cs="Arial"/>
                <w:b w:val="0"/>
                <w:sz w:val="20"/>
                <w:szCs w:val="20"/>
                <w:lang w:val="es-ES_tradnl"/>
              </w:rPr>
              <w:t xml:space="preserve"> Evaluación del progreso logrado en la aplicación de los “Lineamientos para la Acción Mundial sobre Turberas”</w:t>
            </w:r>
          </w:p>
        </w:tc>
        <w:tc>
          <w:tcPr>
            <w:tcW w:w="436" w:type="pct"/>
          </w:tcPr>
          <w:p w14:paraId="29638335" w14:textId="77777777" w:rsidR="000D6510" w:rsidRPr="00A9234B" w:rsidRDefault="000D6510" w:rsidP="00EF4061">
            <w:pPr>
              <w:rPr>
                <w:rFonts w:asciiTheme="majorHAnsi" w:hAnsiTheme="majorHAnsi" w:cs="Arial"/>
                <w:b w:val="0"/>
                <w:sz w:val="20"/>
                <w:szCs w:val="20"/>
                <w:lang w:val="es-ES_tradnl"/>
              </w:rPr>
            </w:pPr>
          </w:p>
        </w:tc>
        <w:tc>
          <w:tcPr>
            <w:tcW w:w="301" w:type="pct"/>
          </w:tcPr>
          <w:p w14:paraId="69AD4A7D" w14:textId="358A2A95"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XII.11, ¶24(c) ¶27</w:t>
            </w:r>
          </w:p>
        </w:tc>
        <w:tc>
          <w:tcPr>
            <w:tcW w:w="366" w:type="pct"/>
          </w:tcPr>
          <w:p w14:paraId="380F8D21" w14:textId="77777777"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2.6; 3.8, 3.9, 3.11, 3.12; 4.14, 4.18</w:t>
            </w:r>
          </w:p>
        </w:tc>
        <w:tc>
          <w:tcPr>
            <w:tcW w:w="2902" w:type="pct"/>
          </w:tcPr>
          <w:p w14:paraId="47A5FE29" w14:textId="377B6638" w:rsidR="000D6510" w:rsidRPr="00A9234B" w:rsidRDefault="000D6510" w:rsidP="00EF4061">
            <w:pPr>
              <w:pStyle w:val="Default"/>
              <w:rPr>
                <w:rFonts w:asciiTheme="majorHAnsi" w:hAnsiTheme="majorHAnsi" w:cs="Arial"/>
                <w:b w:val="0"/>
                <w:color w:val="auto"/>
                <w:sz w:val="20"/>
                <w:szCs w:val="20"/>
                <w:lang w:val="es-ES_tradnl"/>
              </w:rPr>
            </w:pPr>
            <w:r w:rsidRPr="00A9234B">
              <w:rPr>
                <w:rFonts w:asciiTheme="majorHAnsi" w:hAnsiTheme="majorHAnsi" w:cs="Arial"/>
                <w:b w:val="0"/>
                <w:color w:val="auto"/>
                <w:sz w:val="20"/>
                <w:szCs w:val="20"/>
                <w:u w:val="single"/>
                <w:lang w:val="es-ES_tradnl"/>
              </w:rPr>
              <w:t>Descripción de la tarea</w:t>
            </w:r>
            <w:r w:rsidRPr="00A9234B">
              <w:rPr>
                <w:rFonts w:asciiTheme="majorHAnsi" w:hAnsiTheme="majorHAnsi" w:cs="Arial"/>
                <w:b w:val="0"/>
                <w:color w:val="auto"/>
                <w:sz w:val="20"/>
                <w:szCs w:val="20"/>
                <w:lang w:val="es-ES_tradnl"/>
              </w:rPr>
              <w:t xml:space="preserve">: Desarrollo y distribución de un cuestionario, a través de los Coordinadores Nacionales del GECT, a las Partes Contratantes seleccionadas en base al área de turberas/otros criterios, con el fin de identificar las buenas prácticas para aplicar un plan de acción para los humedales. </w:t>
            </w:r>
          </w:p>
          <w:p w14:paraId="46143633" w14:textId="77777777" w:rsidR="000D6510" w:rsidRPr="00A9234B" w:rsidRDefault="000D6510" w:rsidP="00EF4061">
            <w:pPr>
              <w:pStyle w:val="Default"/>
              <w:rPr>
                <w:rFonts w:asciiTheme="majorHAnsi" w:hAnsiTheme="majorHAnsi" w:cs="Arial"/>
                <w:b w:val="0"/>
                <w:color w:val="auto"/>
                <w:sz w:val="20"/>
                <w:szCs w:val="20"/>
                <w:lang w:val="es-ES_tradnl"/>
              </w:rPr>
            </w:pPr>
            <w:r w:rsidRPr="00A9234B">
              <w:rPr>
                <w:rFonts w:asciiTheme="majorHAnsi" w:hAnsiTheme="majorHAnsi" w:cs="Arial"/>
                <w:b w:val="0"/>
                <w:color w:val="auto"/>
                <w:sz w:val="20"/>
                <w:szCs w:val="20"/>
                <w:lang w:val="es-ES_tradnl"/>
              </w:rPr>
              <w:t xml:space="preserve"> </w:t>
            </w:r>
          </w:p>
          <w:p w14:paraId="356511B2" w14:textId="045C3DB3" w:rsidR="000D6510" w:rsidRPr="00A9234B" w:rsidRDefault="000D6510" w:rsidP="00EF4061">
            <w:pPr>
              <w:pStyle w:val="Default"/>
              <w:rPr>
                <w:rFonts w:asciiTheme="majorHAnsi" w:hAnsiTheme="majorHAnsi" w:cs="Arial"/>
                <w:b w:val="0"/>
                <w:color w:val="auto"/>
                <w:sz w:val="20"/>
                <w:szCs w:val="20"/>
                <w:lang w:val="es-ES_tradnl"/>
              </w:rPr>
            </w:pPr>
            <w:r w:rsidRPr="00A9234B">
              <w:rPr>
                <w:rFonts w:asciiTheme="majorHAnsi" w:hAnsiTheme="majorHAnsi" w:cs="Arial"/>
                <w:b w:val="0"/>
                <w:color w:val="auto"/>
                <w:sz w:val="20"/>
                <w:szCs w:val="20"/>
                <w:u w:val="single"/>
                <w:lang w:val="es-ES_tradnl"/>
              </w:rPr>
              <w:t>Producto(s) esperado(s)</w:t>
            </w:r>
            <w:r w:rsidRPr="00A9234B">
              <w:rPr>
                <w:rFonts w:asciiTheme="majorHAnsi" w:hAnsiTheme="majorHAnsi" w:cs="Arial"/>
                <w:b w:val="0"/>
                <w:color w:val="auto"/>
                <w:sz w:val="20"/>
                <w:szCs w:val="20"/>
                <w:lang w:val="es-ES_tradnl"/>
              </w:rPr>
              <w:t xml:space="preserve">: Informe resumido y seminario web sobre el progreso logrado en la aplicación de los </w:t>
            </w:r>
            <w:r w:rsidRPr="00A9234B">
              <w:rPr>
                <w:rFonts w:asciiTheme="majorHAnsi" w:hAnsiTheme="majorHAnsi" w:cs="Arial"/>
                <w:b w:val="0"/>
                <w:sz w:val="20"/>
                <w:szCs w:val="20"/>
                <w:lang w:val="es-ES_tradnl"/>
              </w:rPr>
              <w:t xml:space="preserve">Lineamientos para la acción mundial sobre turberas. </w:t>
            </w:r>
            <w:r w:rsidRPr="00A9234B">
              <w:rPr>
                <w:rFonts w:asciiTheme="majorHAnsi" w:hAnsiTheme="majorHAnsi" w:cs="Arial"/>
                <w:b w:val="0"/>
                <w:color w:val="auto"/>
                <w:sz w:val="20"/>
                <w:szCs w:val="20"/>
                <w:lang w:val="es-ES_tradnl"/>
              </w:rPr>
              <w:t xml:space="preserve">Los productos adicionales dependerán de los resultados obtenidos. </w:t>
            </w:r>
          </w:p>
          <w:p w14:paraId="0164ABF1" w14:textId="77777777" w:rsidR="000D6510" w:rsidRPr="00A9234B" w:rsidRDefault="000D6510" w:rsidP="00EF4061">
            <w:pPr>
              <w:pStyle w:val="Default"/>
              <w:rPr>
                <w:rFonts w:asciiTheme="majorHAnsi" w:hAnsiTheme="majorHAnsi" w:cs="Arial"/>
                <w:b w:val="0"/>
                <w:color w:val="auto"/>
                <w:sz w:val="20"/>
                <w:szCs w:val="20"/>
                <w:lang w:val="es-ES_tradnl"/>
              </w:rPr>
            </w:pPr>
          </w:p>
          <w:p w14:paraId="0E24DA9A" w14:textId="61B7B1C0" w:rsidR="000D6510" w:rsidRPr="00A9234B" w:rsidRDefault="000D6510" w:rsidP="00EF4061">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Responsables de políticas y profesionales.</w:t>
            </w:r>
          </w:p>
        </w:tc>
        <w:tc>
          <w:tcPr>
            <w:tcW w:w="466" w:type="pct"/>
          </w:tcPr>
          <w:p w14:paraId="36E2F334" w14:textId="60F2E412"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Hasta 9.000 </w:t>
            </w:r>
          </w:p>
        </w:tc>
      </w:tr>
      <w:tr w:rsidR="000D6510" w:rsidRPr="00A9234B" w14:paraId="0DBF9555" w14:textId="77777777" w:rsidTr="000D6510">
        <w:tc>
          <w:tcPr>
            <w:tcW w:w="530" w:type="pct"/>
          </w:tcPr>
          <w:p w14:paraId="74A805EE" w14:textId="403762A1" w:rsidR="000D6510" w:rsidRPr="00A9234B" w:rsidRDefault="00106B7A" w:rsidP="004D1C1F">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 2.5</w:t>
            </w:r>
            <w:r w:rsidR="000D6510" w:rsidRPr="00A9234B">
              <w:rPr>
                <w:rFonts w:asciiTheme="majorHAnsi" w:hAnsiTheme="majorHAnsi" w:cs="Arial"/>
                <w:b w:val="0"/>
                <w:sz w:val="20"/>
                <w:szCs w:val="20"/>
                <w:lang w:val="es-ES_tradnl"/>
              </w:rPr>
              <w:t xml:space="preserve"> Buenas prácticas para desarrollar y aplicar los planes de acción para el manejo de las Especies Exóticas Invasoras en sitios Ramsar y </w:t>
            </w:r>
            <w:r w:rsidR="000D6510" w:rsidRPr="00A9234B">
              <w:rPr>
                <w:rFonts w:asciiTheme="majorHAnsi" w:hAnsiTheme="majorHAnsi" w:cs="Arial"/>
                <w:b w:val="0"/>
                <w:sz w:val="20"/>
                <w:szCs w:val="20"/>
                <w:lang w:val="es-ES_tradnl"/>
              </w:rPr>
              <w:lastRenderedPageBreak/>
              <w:t xml:space="preserve">otros humedales: una guía sobre las orientaciones existentes </w:t>
            </w:r>
          </w:p>
        </w:tc>
        <w:tc>
          <w:tcPr>
            <w:tcW w:w="436" w:type="pct"/>
          </w:tcPr>
          <w:p w14:paraId="6CF86808" w14:textId="77777777" w:rsidR="000D6510" w:rsidRPr="00A9234B" w:rsidRDefault="000D6510" w:rsidP="00EF4061">
            <w:pPr>
              <w:rPr>
                <w:rFonts w:asciiTheme="majorHAnsi" w:hAnsiTheme="majorHAnsi" w:cs="Arial"/>
                <w:b w:val="0"/>
                <w:sz w:val="20"/>
                <w:szCs w:val="20"/>
                <w:lang w:val="es-ES_tradnl"/>
              </w:rPr>
            </w:pPr>
          </w:p>
        </w:tc>
        <w:tc>
          <w:tcPr>
            <w:tcW w:w="301" w:type="pct"/>
          </w:tcPr>
          <w:p w14:paraId="10BBDC64" w14:textId="5DE73A4A"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XII.2, Anexo, ¶ 30 </w:t>
            </w:r>
          </w:p>
        </w:tc>
        <w:tc>
          <w:tcPr>
            <w:tcW w:w="366" w:type="pct"/>
          </w:tcPr>
          <w:p w14:paraId="1202A7F2" w14:textId="4B41BE88"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1.4; 2.5, 2.7; 3.8, 3.9, 3.11, 3.12; 4.14, </w:t>
            </w:r>
          </w:p>
        </w:tc>
        <w:tc>
          <w:tcPr>
            <w:tcW w:w="2902" w:type="pct"/>
          </w:tcPr>
          <w:p w14:paraId="0AF1AA90" w14:textId="1744CD8C"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Generar una Nota Informativa que sirva de guía sobre las orientaciones existentes relativas a las buenas prácticas para desarrollar y aplicar los planes de acción para el manejo de las Especies Exóticas Invasoras en los sitios Ramsar y otros humedales (en colaboración con AEWA).</w:t>
            </w:r>
          </w:p>
          <w:p w14:paraId="7428F9E7" w14:textId="77777777"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 </w:t>
            </w:r>
          </w:p>
          <w:p w14:paraId="6307F778" w14:textId="1BBCD8B0"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Nota informativa</w:t>
            </w:r>
          </w:p>
          <w:p w14:paraId="43ADADCE" w14:textId="77777777" w:rsidR="000D6510" w:rsidRPr="00A9234B" w:rsidRDefault="000D6510" w:rsidP="00EF4061">
            <w:pPr>
              <w:rPr>
                <w:rFonts w:asciiTheme="majorHAnsi" w:hAnsiTheme="majorHAnsi" w:cs="Arial"/>
                <w:b w:val="0"/>
                <w:sz w:val="20"/>
                <w:szCs w:val="20"/>
                <w:lang w:val="es-ES_tradnl"/>
              </w:rPr>
            </w:pPr>
          </w:p>
          <w:p w14:paraId="78F1914C" w14:textId="1DB53FF9" w:rsidR="000D6510" w:rsidRPr="00A9234B" w:rsidRDefault="000D6510" w:rsidP="00C67941">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Profesionales (administradores de humedales)</w:t>
            </w:r>
          </w:p>
        </w:tc>
        <w:tc>
          <w:tcPr>
            <w:tcW w:w="466" w:type="pct"/>
          </w:tcPr>
          <w:p w14:paraId="66600C2A" w14:textId="2E7AD887"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Hasta 13.000</w:t>
            </w:r>
          </w:p>
        </w:tc>
      </w:tr>
      <w:tr w:rsidR="000D6510" w:rsidRPr="00504EB0" w14:paraId="79688858" w14:textId="77777777" w:rsidTr="000D6510">
        <w:tc>
          <w:tcPr>
            <w:tcW w:w="530" w:type="pct"/>
          </w:tcPr>
          <w:p w14:paraId="58C9FE59" w14:textId="77777777" w:rsidR="000D6510" w:rsidRPr="00A9234B" w:rsidRDefault="000D6510"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2.6</w:t>
            </w:r>
          </w:p>
          <w:p w14:paraId="582F7678" w14:textId="6F23EB68" w:rsidR="000D6510" w:rsidRPr="00A9234B" w:rsidRDefault="000D6510" w:rsidP="007360DF">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Registro de Montreux</w:t>
            </w:r>
          </w:p>
        </w:tc>
        <w:tc>
          <w:tcPr>
            <w:tcW w:w="436" w:type="pct"/>
          </w:tcPr>
          <w:p w14:paraId="2FE0C724" w14:textId="77777777" w:rsidR="000D6510" w:rsidRPr="00A9234B" w:rsidRDefault="000D6510" w:rsidP="00EF4061">
            <w:pPr>
              <w:rPr>
                <w:rFonts w:asciiTheme="majorHAnsi" w:hAnsiTheme="majorHAnsi" w:cs="Arial"/>
                <w:b w:val="0"/>
                <w:sz w:val="20"/>
                <w:szCs w:val="20"/>
                <w:lang w:val="es-ES_tradnl"/>
              </w:rPr>
            </w:pPr>
          </w:p>
        </w:tc>
        <w:tc>
          <w:tcPr>
            <w:tcW w:w="301" w:type="pct"/>
          </w:tcPr>
          <w:p w14:paraId="5D4478FB" w14:textId="4E270B9C" w:rsidR="000D6510" w:rsidRPr="00A9234B" w:rsidRDefault="000D6510" w:rsidP="00EF4061">
            <w:pPr>
              <w:rPr>
                <w:rFonts w:asciiTheme="majorHAnsi" w:hAnsiTheme="majorHAnsi" w:cs="Arial"/>
                <w:b w:val="0"/>
                <w:sz w:val="20"/>
                <w:szCs w:val="20"/>
                <w:highlight w:val="yellow"/>
                <w:lang w:val="es-ES_tradnl"/>
              </w:rPr>
            </w:pPr>
            <w:r w:rsidRPr="00A9234B">
              <w:rPr>
                <w:rFonts w:asciiTheme="majorHAnsi" w:hAnsiTheme="majorHAnsi" w:cs="Arial"/>
                <w:b w:val="0"/>
                <w:sz w:val="20"/>
                <w:szCs w:val="20"/>
                <w:lang w:val="es-ES_tradnl"/>
              </w:rPr>
              <w:t>XII.5, Anexo 1, ¶¶ 1-2; 12 (v); 15; 38</w:t>
            </w:r>
          </w:p>
        </w:tc>
        <w:tc>
          <w:tcPr>
            <w:tcW w:w="366" w:type="pct"/>
          </w:tcPr>
          <w:p w14:paraId="26E22B46" w14:textId="77777777" w:rsidR="000D6510" w:rsidRPr="00A9234B" w:rsidRDefault="000D6510" w:rsidP="00EF4061">
            <w:pPr>
              <w:rPr>
                <w:rFonts w:asciiTheme="majorHAnsi" w:hAnsiTheme="majorHAnsi" w:cs="Arial"/>
                <w:b w:val="0"/>
                <w:sz w:val="20"/>
                <w:szCs w:val="20"/>
                <w:highlight w:val="yellow"/>
                <w:lang w:val="es-ES_tradnl"/>
              </w:rPr>
            </w:pPr>
            <w:r w:rsidRPr="00A9234B">
              <w:rPr>
                <w:rFonts w:asciiTheme="majorHAnsi" w:hAnsiTheme="majorHAnsi" w:cs="Arial"/>
                <w:b w:val="0"/>
                <w:sz w:val="20"/>
                <w:szCs w:val="20"/>
                <w:lang w:val="es-ES_tradnl"/>
              </w:rPr>
              <w:t>2.5, 2.7; 3.8, 3.9, 3.11, 3.12; 4.14</w:t>
            </w:r>
          </w:p>
        </w:tc>
        <w:tc>
          <w:tcPr>
            <w:tcW w:w="2902" w:type="pct"/>
          </w:tcPr>
          <w:p w14:paraId="7B95B75D" w14:textId="301D531B" w:rsidR="000D6510" w:rsidRPr="00A9234B" w:rsidRDefault="000D6510" w:rsidP="00EF4061">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xml:space="preserve">: </w:t>
            </w:r>
            <w:r w:rsidRPr="00A9234B">
              <w:rPr>
                <w:rFonts w:asciiTheme="majorHAnsi" w:hAnsiTheme="majorHAnsi"/>
                <w:b w:val="0"/>
                <w:sz w:val="20"/>
                <w:szCs w:val="20"/>
                <w:shd w:val="clear" w:color="auto" w:fill="FFFFFF"/>
                <w:lang w:val="es-ES_tradnl"/>
              </w:rPr>
              <w:t xml:space="preserve">Proporcionar asesoramiento sobre la utilidad del Registro de Montreux como herramienta para los sitios Ramsar. </w:t>
            </w:r>
          </w:p>
          <w:p w14:paraId="34BB87AA" w14:textId="77777777" w:rsidR="000D6510" w:rsidRPr="00A9234B" w:rsidRDefault="000D6510" w:rsidP="008B26B4">
            <w:pPr>
              <w:spacing w:after="20"/>
              <w:rPr>
                <w:rFonts w:asciiTheme="majorHAnsi" w:hAnsiTheme="majorHAnsi" w:cs="Arial"/>
                <w:b w:val="0"/>
                <w:sz w:val="20"/>
                <w:szCs w:val="20"/>
                <w:u w:val="single"/>
                <w:lang w:val="es-ES_tradnl"/>
              </w:rPr>
            </w:pPr>
          </w:p>
          <w:p w14:paraId="098B26C9" w14:textId="7A9B016E" w:rsidR="000D6510" w:rsidRPr="00A9234B" w:rsidRDefault="000D6510" w:rsidP="00830CC7">
            <w:pPr>
              <w:spacing w:after="20"/>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Publicación del informe “Cambio en las características ecológicas de los sitios de humedales </w:t>
            </w:r>
            <w:r w:rsidRPr="00A9234B">
              <w:rPr>
                <w:rFonts w:asciiTheme="majorHAnsi" w:hAnsiTheme="majorHAnsi" w:cs="Arial"/>
                <w:b w:val="0"/>
                <w:sz w:val="20"/>
                <w:szCs w:val="20"/>
                <w:lang w:val="es-ES_tradnl"/>
              </w:rPr>
              <w:softHyphen/>
              <w:t xml:space="preserve">– una revisión de las orientaciones y mecanismos de Ramsar" en el que se habla del Registro de Montreux, en el sitio web de Ramsar como parte del Juego de instrumentos para el manejo de los sitios Ramsar (véase la tarea 2.1 arriba) y realización de un seminario web en el que se habla de la posible utilidad del Registro de Montreux para que se preste una atención prioritaria a nivel nacional e internacional con miras a su conservación.  </w:t>
            </w:r>
          </w:p>
          <w:p w14:paraId="3A5BAD29" w14:textId="77777777" w:rsidR="000D6510" w:rsidRPr="00A9234B" w:rsidRDefault="000D6510" w:rsidP="00EF4061">
            <w:pPr>
              <w:rPr>
                <w:rFonts w:asciiTheme="majorHAnsi" w:hAnsiTheme="majorHAnsi" w:cs="Arial"/>
                <w:b w:val="0"/>
                <w:sz w:val="20"/>
                <w:szCs w:val="20"/>
                <w:lang w:val="es-ES_tradnl"/>
              </w:rPr>
            </w:pPr>
          </w:p>
          <w:p w14:paraId="6A0EC3F3" w14:textId="50DA98F4" w:rsidR="000D6510" w:rsidRPr="00A9234B" w:rsidRDefault="000D6510" w:rsidP="008B26B4">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Profesionales (administradores de sitios Ramsar) y responsables de políticas</w:t>
            </w:r>
          </w:p>
        </w:tc>
        <w:tc>
          <w:tcPr>
            <w:tcW w:w="466" w:type="pct"/>
          </w:tcPr>
          <w:p w14:paraId="53803B1C" w14:textId="6B7EBB82" w:rsidR="000D6510" w:rsidRPr="00A9234B" w:rsidRDefault="000D6510" w:rsidP="004E6F6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No implica costo alguno para el presupuesto del GECT; el informe ya está preparado y la Secretaría dispone del material informático necesario para el seminario web. </w:t>
            </w:r>
          </w:p>
        </w:tc>
      </w:tr>
    </w:tbl>
    <w:p w14:paraId="3A439CBE" w14:textId="77777777" w:rsidR="00EF4061" w:rsidRPr="00A9234B" w:rsidRDefault="00EF4061" w:rsidP="00EF4061">
      <w:pPr>
        <w:rPr>
          <w:rFonts w:asciiTheme="majorHAnsi" w:hAnsiTheme="majorHAnsi" w:cs="Arial"/>
          <w:sz w:val="20"/>
          <w:szCs w:val="20"/>
          <w:lang w:val="es-ES_tradnl"/>
        </w:rPr>
      </w:pPr>
    </w:p>
    <w:tbl>
      <w:tblPr>
        <w:tblStyle w:val="TableGrid"/>
        <w:tblW w:w="5000" w:type="pct"/>
        <w:tblLook w:val="04A0" w:firstRow="1" w:lastRow="0" w:firstColumn="1" w:lastColumn="0" w:noHBand="0" w:noVBand="1"/>
      </w:tblPr>
      <w:tblGrid>
        <w:gridCol w:w="14174"/>
      </w:tblGrid>
      <w:tr w:rsidR="005C68E2" w:rsidRPr="00504EB0" w14:paraId="256C1135" w14:textId="77777777" w:rsidTr="005C68E2">
        <w:trPr>
          <w:trHeight w:val="271"/>
        </w:trPr>
        <w:tc>
          <w:tcPr>
            <w:tcW w:w="5000" w:type="pct"/>
            <w:shd w:val="clear" w:color="auto" w:fill="000000" w:themeFill="text1"/>
          </w:tcPr>
          <w:p w14:paraId="22189DD7" w14:textId="60C4868E" w:rsidR="005C68E2" w:rsidRPr="00504EB0" w:rsidRDefault="005C68E2" w:rsidP="00504EB0">
            <w:pPr>
              <w:pStyle w:val="Heading1"/>
              <w:spacing w:before="0"/>
              <w:outlineLvl w:val="0"/>
              <w:rPr>
                <w:rFonts w:asciiTheme="majorHAnsi" w:hAnsiTheme="majorHAnsi"/>
                <w:b/>
                <w:color w:val="FFFFFF" w:themeColor="background1"/>
                <w:sz w:val="20"/>
                <w:szCs w:val="20"/>
              </w:rPr>
            </w:pPr>
            <w:bookmarkStart w:id="4" w:name="_Toc455997518"/>
            <w:r w:rsidRPr="00504EB0">
              <w:rPr>
                <w:rFonts w:asciiTheme="majorHAnsi" w:hAnsiTheme="majorHAnsi"/>
                <w:b/>
                <w:color w:val="FFFFFF" w:themeColor="background1"/>
                <w:sz w:val="20"/>
                <w:szCs w:val="20"/>
              </w:rPr>
              <w:t xml:space="preserve">Área </w:t>
            </w:r>
            <w:r w:rsidR="000D06BD" w:rsidRPr="00504EB0">
              <w:rPr>
                <w:rFonts w:asciiTheme="majorHAnsi" w:hAnsiTheme="majorHAnsi"/>
                <w:b/>
                <w:color w:val="FFFFFF" w:themeColor="background1"/>
                <w:sz w:val="20"/>
                <w:szCs w:val="20"/>
              </w:rPr>
              <w:t>Temática de T</w:t>
            </w:r>
            <w:r w:rsidRPr="00504EB0">
              <w:rPr>
                <w:rFonts w:asciiTheme="majorHAnsi" w:hAnsiTheme="majorHAnsi"/>
                <w:b/>
                <w:color w:val="FFFFFF" w:themeColor="background1"/>
                <w:sz w:val="20"/>
                <w:szCs w:val="20"/>
              </w:rPr>
              <w:t>rabajo</w:t>
            </w:r>
            <w:r w:rsidR="000D06BD" w:rsidRPr="00504EB0">
              <w:rPr>
                <w:rFonts w:asciiTheme="majorHAnsi" w:hAnsiTheme="majorHAnsi"/>
                <w:b/>
                <w:color w:val="FFFFFF" w:themeColor="background1"/>
                <w:sz w:val="20"/>
                <w:szCs w:val="20"/>
              </w:rPr>
              <w:t xml:space="preserve"> Nº</w:t>
            </w:r>
            <w:r w:rsidRPr="00504EB0">
              <w:rPr>
                <w:rFonts w:asciiTheme="majorHAnsi" w:hAnsiTheme="majorHAnsi"/>
                <w:b/>
                <w:color w:val="FFFFFF" w:themeColor="background1"/>
                <w:sz w:val="20"/>
                <w:szCs w:val="20"/>
              </w:rPr>
              <w:t xml:space="preserve"> 3:</w:t>
            </w:r>
            <w:r w:rsidR="00E96BD0" w:rsidRPr="00504EB0">
              <w:rPr>
                <w:rFonts w:asciiTheme="majorHAnsi" w:hAnsiTheme="majorHAnsi"/>
                <w:b/>
                <w:color w:val="FFFFFF" w:themeColor="background1"/>
                <w:sz w:val="20"/>
                <w:szCs w:val="20"/>
              </w:rPr>
              <w:t xml:space="preserve"> </w:t>
            </w:r>
            <w:r w:rsidR="00DE6F79" w:rsidRPr="00504EB0">
              <w:rPr>
                <w:rFonts w:asciiTheme="majorHAnsi" w:hAnsiTheme="majorHAnsi"/>
                <w:b/>
                <w:color w:val="FFFFFF" w:themeColor="background1"/>
                <w:sz w:val="20"/>
                <w:szCs w:val="20"/>
              </w:rPr>
              <w:t>Metodologías</w:t>
            </w:r>
            <w:r w:rsidRPr="00504EB0">
              <w:rPr>
                <w:rFonts w:asciiTheme="majorHAnsi" w:hAnsiTheme="majorHAnsi"/>
                <w:b/>
                <w:color w:val="FFFFFF" w:themeColor="background1"/>
                <w:sz w:val="20"/>
                <w:szCs w:val="20"/>
              </w:rPr>
              <w:t xml:space="preserve"> para determinar l</w:t>
            </w:r>
            <w:r w:rsidR="00DE6F79" w:rsidRPr="00504EB0">
              <w:rPr>
                <w:rFonts w:asciiTheme="majorHAnsi" w:hAnsiTheme="majorHAnsi"/>
                <w:b/>
                <w:color w:val="FFFFFF" w:themeColor="background1"/>
                <w:sz w:val="20"/>
                <w:szCs w:val="20"/>
              </w:rPr>
              <w:t>a valoración</w:t>
            </w:r>
            <w:r w:rsidRPr="00504EB0">
              <w:rPr>
                <w:rFonts w:asciiTheme="majorHAnsi" w:hAnsiTheme="majorHAnsi"/>
                <w:b/>
                <w:color w:val="FFFFFF" w:themeColor="background1"/>
                <w:sz w:val="20"/>
                <w:szCs w:val="20"/>
              </w:rPr>
              <w:t xml:space="preserve"> económic</w:t>
            </w:r>
            <w:r w:rsidR="00DE6F79" w:rsidRPr="00504EB0">
              <w:rPr>
                <w:rFonts w:asciiTheme="majorHAnsi" w:hAnsiTheme="majorHAnsi"/>
                <w:b/>
                <w:color w:val="FFFFFF" w:themeColor="background1"/>
                <w:sz w:val="20"/>
                <w:szCs w:val="20"/>
              </w:rPr>
              <w:t>a</w:t>
            </w:r>
            <w:r w:rsidRPr="00504EB0">
              <w:rPr>
                <w:rFonts w:asciiTheme="majorHAnsi" w:hAnsiTheme="majorHAnsi"/>
                <w:b/>
                <w:color w:val="FFFFFF" w:themeColor="background1"/>
                <w:sz w:val="20"/>
                <w:szCs w:val="20"/>
              </w:rPr>
              <w:t xml:space="preserve"> y no económic</w:t>
            </w:r>
            <w:r w:rsidR="00DE6F79" w:rsidRPr="00504EB0">
              <w:rPr>
                <w:rFonts w:asciiTheme="majorHAnsi" w:hAnsiTheme="majorHAnsi"/>
                <w:b/>
                <w:color w:val="FFFFFF" w:themeColor="background1"/>
                <w:sz w:val="20"/>
                <w:szCs w:val="20"/>
              </w:rPr>
              <w:t>a</w:t>
            </w:r>
            <w:r w:rsidRPr="00504EB0">
              <w:rPr>
                <w:rFonts w:asciiTheme="majorHAnsi" w:hAnsiTheme="majorHAnsi"/>
                <w:b/>
                <w:color w:val="FFFFFF" w:themeColor="background1"/>
                <w:sz w:val="20"/>
                <w:szCs w:val="20"/>
              </w:rPr>
              <w:t xml:space="preserve"> de los bienes y servicios de los humedales</w:t>
            </w:r>
            <w:bookmarkEnd w:id="4"/>
          </w:p>
        </w:tc>
      </w:tr>
    </w:tbl>
    <w:p w14:paraId="3DDCD866" w14:textId="77777777" w:rsidR="005C68E2" w:rsidRPr="00A9234B" w:rsidRDefault="005C68E2" w:rsidP="005C68E2">
      <w:pPr>
        <w:rPr>
          <w:rFonts w:asciiTheme="majorHAnsi" w:hAnsiTheme="majorHAnsi" w:cs="Arial"/>
          <w:sz w:val="20"/>
          <w:szCs w:val="20"/>
          <w:lang w:val="es-ES_tradnl"/>
        </w:rPr>
      </w:pPr>
    </w:p>
    <w:tbl>
      <w:tblPr>
        <w:tblStyle w:val="TableGrid2"/>
        <w:tblW w:w="5000" w:type="pct"/>
        <w:jc w:val="center"/>
        <w:tblLook w:val="04A0" w:firstRow="1" w:lastRow="0" w:firstColumn="1" w:lastColumn="0" w:noHBand="0" w:noVBand="1"/>
      </w:tblPr>
      <w:tblGrid>
        <w:gridCol w:w="3561"/>
        <w:gridCol w:w="10613"/>
      </w:tblGrid>
      <w:tr w:rsidR="005C68E2" w:rsidRPr="00504EB0" w14:paraId="56004E4C" w14:textId="77777777" w:rsidTr="005C68E2">
        <w:trPr>
          <w:jc w:val="center"/>
        </w:trPr>
        <w:tc>
          <w:tcPr>
            <w:tcW w:w="1256" w:type="pct"/>
          </w:tcPr>
          <w:p w14:paraId="5C669918" w14:textId="77777777" w:rsidR="005C68E2" w:rsidRPr="00A9234B" w:rsidRDefault="005C68E2" w:rsidP="005C68E2">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 xml:space="preserve">Responsable(s) del grupo de trabajo y participantes: </w:t>
            </w:r>
          </w:p>
        </w:tc>
        <w:tc>
          <w:tcPr>
            <w:tcW w:w="3744" w:type="pct"/>
          </w:tcPr>
          <w:p w14:paraId="670C17F7" w14:textId="50D44C27" w:rsidR="005C68E2" w:rsidRPr="00A9234B" w:rsidRDefault="005C68E2" w:rsidP="004E6F6D">
            <w:pPr>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Channa Bambaradeniya, Ruth Cromie, Lars Dinesen, Siobhan Fennessy, Max Finlayson, Vincent V. Hilomen , Kassim Kulindwa, Ritesh Kumar (</w:t>
            </w:r>
            <w:r w:rsidR="004E6F6D" w:rsidRPr="00A9234B">
              <w:rPr>
                <w:rFonts w:asciiTheme="majorHAnsi" w:eastAsia="Calibri" w:hAnsiTheme="majorHAnsi" w:cs="Arial"/>
                <w:b w:val="0"/>
                <w:sz w:val="20"/>
                <w:szCs w:val="20"/>
                <w:lang w:val="es-ES_tradnl"/>
              </w:rPr>
              <w:t>responsable</w:t>
            </w:r>
            <w:r w:rsidRPr="00A9234B">
              <w:rPr>
                <w:rFonts w:asciiTheme="majorHAnsi" w:eastAsia="Calibri" w:hAnsiTheme="majorHAnsi" w:cs="Arial"/>
                <w:b w:val="0"/>
                <w:sz w:val="20"/>
                <w:szCs w:val="20"/>
                <w:lang w:val="es-ES_tradnl"/>
              </w:rPr>
              <w:t>),</w:t>
            </w:r>
            <w:r w:rsidR="0088725B" w:rsidRPr="00A9234B">
              <w:rPr>
                <w:rFonts w:asciiTheme="majorHAnsi" w:eastAsia="Calibri" w:hAnsiTheme="majorHAnsi" w:cs="Arial"/>
                <w:b w:val="0"/>
                <w:sz w:val="20"/>
                <w:szCs w:val="20"/>
                <w:lang w:val="es-ES_tradnl"/>
              </w:rPr>
              <w:t xml:space="preserve"> </w:t>
            </w:r>
            <w:r w:rsidRPr="00A9234B">
              <w:rPr>
                <w:rFonts w:asciiTheme="majorHAnsi" w:eastAsia="Calibri" w:hAnsiTheme="majorHAnsi" w:cs="Arial"/>
                <w:b w:val="0"/>
                <w:sz w:val="20"/>
                <w:szCs w:val="20"/>
                <w:lang w:val="es-ES_tradnl"/>
              </w:rPr>
              <w:t>Guangchun Lei, Laura Martinez, Dulce Infante Mata, Matt Walpole</w:t>
            </w:r>
          </w:p>
        </w:tc>
      </w:tr>
      <w:tr w:rsidR="005C68E2" w:rsidRPr="00504EB0" w14:paraId="65294141" w14:textId="77777777" w:rsidTr="005C68E2">
        <w:trPr>
          <w:jc w:val="center"/>
        </w:trPr>
        <w:tc>
          <w:tcPr>
            <w:tcW w:w="1256" w:type="pct"/>
          </w:tcPr>
          <w:p w14:paraId="64C8A534" w14:textId="77777777" w:rsidR="005C68E2" w:rsidRPr="00A9234B" w:rsidRDefault="005C68E2" w:rsidP="005C68E2">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Organizaciones contribuyentes: [OIA/observadores/otros]</w:t>
            </w:r>
          </w:p>
        </w:tc>
        <w:tc>
          <w:tcPr>
            <w:tcW w:w="3744" w:type="pct"/>
          </w:tcPr>
          <w:p w14:paraId="0076B5CE" w14:textId="7C7D934D" w:rsidR="005C68E2" w:rsidRPr="00A9234B" w:rsidRDefault="005C68E2" w:rsidP="006E601A">
            <w:pPr>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 xml:space="preserve">BirdLife International (Zoltan Waliczky), </w:t>
            </w:r>
            <w:r w:rsidR="005B45C0" w:rsidRPr="00A9234B">
              <w:rPr>
                <w:rFonts w:asciiTheme="majorHAnsi" w:eastAsia="Calibri" w:hAnsiTheme="majorHAnsi" w:cs="Arial"/>
                <w:b w:val="0"/>
                <w:sz w:val="20"/>
                <w:szCs w:val="20"/>
                <w:lang w:val="es-ES_tradnl"/>
              </w:rPr>
              <w:t>UICN</w:t>
            </w:r>
            <w:r w:rsidRPr="00A9234B">
              <w:rPr>
                <w:rFonts w:asciiTheme="majorHAnsi" w:eastAsia="Calibri" w:hAnsiTheme="majorHAnsi" w:cs="Arial"/>
                <w:b w:val="0"/>
                <w:sz w:val="20"/>
                <w:szCs w:val="20"/>
                <w:lang w:val="es-ES_tradnl"/>
              </w:rPr>
              <w:t xml:space="preserve"> (Stefano Barchiesi), IWMI (Sanjiv De Silva), WI (Marcel Silvius), WWF International (Denis Landenbergue), WWT (Rob Shore)/ Tour Du Valat/</w:t>
            </w:r>
            <w:r w:rsidR="005B45C0" w:rsidRPr="00A9234B">
              <w:rPr>
                <w:rFonts w:asciiTheme="majorHAnsi" w:eastAsia="Calibri" w:hAnsiTheme="majorHAnsi" w:cs="Arial"/>
                <w:b w:val="0"/>
                <w:sz w:val="20"/>
                <w:szCs w:val="20"/>
                <w:lang w:val="es-ES_tradnl"/>
              </w:rPr>
              <w:t xml:space="preserve">Observatorio de los humedales del Mediterráneo </w:t>
            </w:r>
            <w:r w:rsidRPr="00A9234B">
              <w:rPr>
                <w:rFonts w:asciiTheme="majorHAnsi" w:eastAsia="Calibri" w:hAnsiTheme="majorHAnsi" w:cs="Arial"/>
                <w:b w:val="0"/>
                <w:sz w:val="20"/>
                <w:szCs w:val="20"/>
                <w:lang w:val="es-ES_tradnl"/>
              </w:rPr>
              <w:t xml:space="preserve">(Christian Perennou), SWS (Nick Davidson), </w:t>
            </w:r>
            <w:r w:rsidR="005B45C0" w:rsidRPr="00A9234B">
              <w:rPr>
                <w:rFonts w:asciiTheme="majorHAnsi" w:eastAsia="Calibri" w:hAnsiTheme="majorHAnsi" w:cs="Arial"/>
                <w:b w:val="0"/>
                <w:sz w:val="20"/>
                <w:szCs w:val="20"/>
                <w:lang w:val="es-ES_tradnl"/>
              </w:rPr>
              <w:t>ONU-</w:t>
            </w:r>
            <w:r w:rsidRPr="00A9234B">
              <w:rPr>
                <w:rFonts w:asciiTheme="majorHAnsi" w:eastAsia="Calibri" w:hAnsiTheme="majorHAnsi" w:cs="Arial"/>
                <w:b w:val="0"/>
                <w:sz w:val="20"/>
                <w:szCs w:val="20"/>
                <w:lang w:val="es-ES_tradnl"/>
              </w:rPr>
              <w:t xml:space="preserve">Habitat (Rob McInnes), UNESCO-IHE (Anne van Dam), UNESCO-MAB (Marie Prchalova), </w:t>
            </w:r>
            <w:r w:rsidR="005B45C0" w:rsidRPr="00A9234B">
              <w:rPr>
                <w:rFonts w:asciiTheme="majorHAnsi" w:eastAsia="Calibri" w:hAnsiTheme="majorHAnsi" w:cs="Arial"/>
                <w:b w:val="0"/>
                <w:sz w:val="20"/>
                <w:szCs w:val="20"/>
                <w:lang w:val="es-ES_tradnl"/>
              </w:rPr>
              <w:t>Centro del Patrimonio Mundial</w:t>
            </w:r>
            <w:r w:rsidRPr="00A9234B">
              <w:rPr>
                <w:rFonts w:asciiTheme="majorHAnsi" w:eastAsia="Calibri" w:hAnsiTheme="majorHAnsi" w:cs="Arial"/>
                <w:b w:val="0"/>
                <w:sz w:val="20"/>
                <w:szCs w:val="20"/>
                <w:lang w:val="es-ES_tradnl"/>
              </w:rPr>
              <w:t xml:space="preserve"> (Tim Badman)/ </w:t>
            </w:r>
            <w:r w:rsidR="00517D16" w:rsidRPr="00A9234B">
              <w:rPr>
                <w:rFonts w:asciiTheme="majorHAnsi" w:eastAsia="Calibri" w:hAnsiTheme="majorHAnsi" w:cs="Arial"/>
                <w:b w:val="0"/>
                <w:sz w:val="20"/>
                <w:szCs w:val="20"/>
                <w:lang w:val="es-ES_tradnl"/>
              </w:rPr>
              <w:t>Coordinador Nacional del GECT para Malasia</w:t>
            </w:r>
            <w:r w:rsidRPr="00A9234B">
              <w:rPr>
                <w:rFonts w:asciiTheme="majorHAnsi" w:eastAsia="Calibri" w:hAnsiTheme="majorHAnsi" w:cs="Arial"/>
                <w:b w:val="0"/>
                <w:sz w:val="20"/>
                <w:szCs w:val="20"/>
                <w:lang w:val="es-ES_tradnl"/>
              </w:rPr>
              <w:t xml:space="preserve"> (Abd Rahman Kassim), </w:t>
            </w:r>
          </w:p>
        </w:tc>
      </w:tr>
    </w:tbl>
    <w:p w14:paraId="7AB934E6" w14:textId="77777777" w:rsidR="005C68E2" w:rsidRPr="00A9234B" w:rsidRDefault="005C68E2" w:rsidP="005C68E2">
      <w:pPr>
        <w:rPr>
          <w:rFonts w:asciiTheme="majorHAnsi" w:hAnsiTheme="majorHAnsi" w:cs="Arial"/>
          <w:sz w:val="20"/>
          <w:szCs w:val="20"/>
          <w:lang w:val="es-ES_tradnl"/>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953"/>
        <w:gridCol w:w="876"/>
        <w:gridCol w:w="1126"/>
        <w:gridCol w:w="8347"/>
        <w:gridCol w:w="1418"/>
      </w:tblGrid>
      <w:tr w:rsidR="00360FBC" w:rsidRPr="00A9234B" w14:paraId="12BB1D8F" w14:textId="77777777" w:rsidTr="00360FBC">
        <w:tc>
          <w:tcPr>
            <w:tcW w:w="514" w:type="pct"/>
            <w:shd w:val="clear" w:color="auto" w:fill="D9D9D9" w:themeFill="background1" w:themeFillShade="D9"/>
          </w:tcPr>
          <w:p w14:paraId="6AE2A795" w14:textId="56DE4B55" w:rsidR="00360FBC" w:rsidRPr="00A9234B" w:rsidRDefault="005265E4"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Nº</w:t>
            </w:r>
            <w:r w:rsidR="00360FBC" w:rsidRPr="00A9234B">
              <w:rPr>
                <w:rFonts w:asciiTheme="majorHAnsi" w:hAnsiTheme="majorHAnsi" w:cs="Arial"/>
                <w:sz w:val="20"/>
                <w:szCs w:val="20"/>
                <w:lang w:val="es-ES_tradnl"/>
              </w:rPr>
              <w:t xml:space="preserve"> y título de la tarea</w:t>
            </w:r>
          </w:p>
        </w:tc>
        <w:tc>
          <w:tcPr>
            <w:tcW w:w="336" w:type="pct"/>
            <w:shd w:val="clear" w:color="auto" w:fill="D9D9D9" w:themeFill="background1" w:themeFillShade="D9"/>
          </w:tcPr>
          <w:p w14:paraId="1443EC3A" w14:textId="36B1B6DD" w:rsidR="00360FBC" w:rsidRPr="00A9234B" w:rsidRDefault="00360FBC"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Prioridad</w:t>
            </w:r>
          </w:p>
        </w:tc>
        <w:tc>
          <w:tcPr>
            <w:tcW w:w="309" w:type="pct"/>
            <w:shd w:val="clear" w:color="auto" w:fill="D9D9D9" w:themeFill="background1" w:themeFillShade="D9"/>
          </w:tcPr>
          <w:p w14:paraId="0CCA3288" w14:textId="3DED6A9D" w:rsidR="00360FBC" w:rsidRPr="00A9234B" w:rsidRDefault="00360FBC"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Res.</w:t>
            </w:r>
          </w:p>
        </w:tc>
        <w:tc>
          <w:tcPr>
            <w:tcW w:w="397" w:type="pct"/>
            <w:shd w:val="clear" w:color="auto" w:fill="D9D9D9" w:themeFill="background1" w:themeFillShade="D9"/>
          </w:tcPr>
          <w:p w14:paraId="44014D7E" w14:textId="5B101461" w:rsidR="00360FBC" w:rsidRPr="00A9234B" w:rsidRDefault="00360FBC" w:rsidP="005C68E2">
            <w:pPr>
              <w:jc w:val="center"/>
              <w:rPr>
                <w:rFonts w:asciiTheme="majorHAnsi" w:hAnsiTheme="majorHAnsi" w:cs="Arial"/>
                <w:sz w:val="20"/>
                <w:szCs w:val="20"/>
                <w:lang w:val="es-ES_tradnl"/>
              </w:rPr>
            </w:pPr>
            <w:r w:rsidRPr="00A9234B">
              <w:rPr>
                <w:rFonts w:asciiTheme="majorHAnsi" w:eastAsia="Calibri" w:hAnsiTheme="majorHAnsi" w:cs="Arial"/>
                <w:sz w:val="20"/>
                <w:szCs w:val="20"/>
                <w:lang w:val="es-ES_tradnl"/>
              </w:rPr>
              <w:t>Objetivo y meta del Plan Estratégico</w:t>
            </w:r>
          </w:p>
        </w:tc>
        <w:tc>
          <w:tcPr>
            <w:tcW w:w="2944" w:type="pct"/>
            <w:shd w:val="clear" w:color="auto" w:fill="D9D9D9" w:themeFill="background1" w:themeFillShade="D9"/>
          </w:tcPr>
          <w:p w14:paraId="0106BC8F" w14:textId="7888DA0E" w:rsidR="00360FBC" w:rsidRPr="00A9234B" w:rsidRDefault="00360FBC" w:rsidP="00CC3A9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 xml:space="preserve">Descripción de la tarea, </w:t>
            </w:r>
            <w:r w:rsidR="00CC3A91" w:rsidRPr="00A9234B">
              <w:rPr>
                <w:rFonts w:asciiTheme="majorHAnsi" w:hAnsiTheme="majorHAnsi" w:cs="Arial"/>
                <w:sz w:val="20"/>
                <w:szCs w:val="20"/>
                <w:lang w:val="es-ES_tradnl"/>
              </w:rPr>
              <w:t xml:space="preserve">productos esperados y grupos destinatarios </w:t>
            </w:r>
          </w:p>
        </w:tc>
        <w:tc>
          <w:tcPr>
            <w:tcW w:w="500" w:type="pct"/>
            <w:shd w:val="clear" w:color="auto" w:fill="D9D9D9" w:themeFill="background1" w:themeFillShade="D9"/>
          </w:tcPr>
          <w:p w14:paraId="6481011C" w14:textId="77777777" w:rsidR="00360FBC" w:rsidRPr="00A9234B" w:rsidRDefault="00360FBC" w:rsidP="00360FBC">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Costo</w:t>
            </w:r>
          </w:p>
          <w:p w14:paraId="7A7C6EFF" w14:textId="44147A8B" w:rsidR="00360FBC" w:rsidRPr="00A9234B" w:rsidRDefault="00360FBC"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francos suizos</w:t>
            </w:r>
          </w:p>
        </w:tc>
      </w:tr>
      <w:tr w:rsidR="00360FBC" w:rsidRPr="00A9234B" w14:paraId="12BECB30" w14:textId="77777777" w:rsidTr="00360FBC">
        <w:tc>
          <w:tcPr>
            <w:tcW w:w="514" w:type="pct"/>
          </w:tcPr>
          <w:p w14:paraId="2F69ABC6" w14:textId="684C30F4" w:rsidR="00360FBC" w:rsidRPr="00A9234B" w:rsidRDefault="00360FBC" w:rsidP="00544EF7">
            <w:pPr>
              <w:rPr>
                <w:rFonts w:asciiTheme="majorHAnsi" w:hAnsiTheme="majorHAnsi" w:cs="Arial"/>
                <w:b w:val="0"/>
                <w:sz w:val="20"/>
                <w:szCs w:val="20"/>
                <w:lang w:val="es-ES_tradnl"/>
              </w:rPr>
            </w:pPr>
            <w:r w:rsidRPr="00A9234B">
              <w:rPr>
                <w:rFonts w:asciiTheme="majorHAnsi" w:eastAsiaTheme="minorHAnsi" w:hAnsiTheme="majorHAnsi" w:cs="Arial"/>
                <w:b w:val="0"/>
                <w:sz w:val="20"/>
                <w:szCs w:val="20"/>
                <w:lang w:val="es-ES_tradnl" w:eastAsia="en-US"/>
              </w:rPr>
              <w:t xml:space="preserve">3.1 </w:t>
            </w:r>
            <w:r w:rsidR="004E6F6D" w:rsidRPr="00A9234B">
              <w:rPr>
                <w:rFonts w:asciiTheme="majorHAnsi" w:eastAsiaTheme="minorHAnsi" w:hAnsiTheme="majorHAnsi" w:cs="Arial"/>
                <w:b w:val="0"/>
                <w:sz w:val="20"/>
                <w:szCs w:val="20"/>
                <w:lang w:val="es-ES_tradnl" w:eastAsia="en-US"/>
              </w:rPr>
              <w:t>Nota so</w:t>
            </w:r>
            <w:r w:rsidR="00544EF7" w:rsidRPr="00A9234B">
              <w:rPr>
                <w:rFonts w:asciiTheme="majorHAnsi" w:eastAsiaTheme="minorHAnsi" w:hAnsiTheme="majorHAnsi" w:cs="Arial"/>
                <w:b w:val="0"/>
                <w:sz w:val="20"/>
                <w:szCs w:val="20"/>
                <w:lang w:val="es-ES_tradnl" w:eastAsia="en-US"/>
              </w:rPr>
              <w:t xml:space="preserve">bre </w:t>
            </w:r>
            <w:r w:rsidR="00544EF7" w:rsidRPr="00A9234B">
              <w:rPr>
                <w:rFonts w:asciiTheme="majorHAnsi" w:eastAsiaTheme="minorHAnsi" w:hAnsiTheme="majorHAnsi" w:cs="Arial"/>
                <w:b w:val="0"/>
                <w:sz w:val="20"/>
                <w:szCs w:val="20"/>
                <w:lang w:val="es-ES_tradnl" w:eastAsia="en-US"/>
              </w:rPr>
              <w:lastRenderedPageBreak/>
              <w:t>políticas con juego de herramientas sobre</w:t>
            </w:r>
            <w:r w:rsidR="004E6F6D" w:rsidRPr="00A9234B">
              <w:rPr>
                <w:rFonts w:asciiTheme="majorHAnsi" w:eastAsiaTheme="minorHAnsi" w:hAnsiTheme="majorHAnsi" w:cs="Arial"/>
                <w:b w:val="0"/>
                <w:sz w:val="20"/>
                <w:szCs w:val="20"/>
                <w:lang w:val="es-ES_tradnl" w:eastAsia="en-US"/>
              </w:rPr>
              <w:t xml:space="preserve"> la e</w:t>
            </w:r>
            <w:r w:rsidRPr="00A9234B">
              <w:rPr>
                <w:rFonts w:asciiTheme="majorHAnsi" w:eastAsiaTheme="minorHAnsi" w:hAnsiTheme="majorHAnsi" w:cs="Arial"/>
                <w:b w:val="0"/>
                <w:sz w:val="20"/>
                <w:szCs w:val="20"/>
                <w:lang w:val="es-ES_tradnl" w:eastAsia="en-US"/>
              </w:rPr>
              <w:t>valuación y valoración de los servicios de l</w:t>
            </w:r>
            <w:r w:rsidR="00544EF7" w:rsidRPr="00A9234B">
              <w:rPr>
                <w:rFonts w:asciiTheme="majorHAnsi" w:eastAsiaTheme="minorHAnsi" w:hAnsiTheme="majorHAnsi" w:cs="Arial"/>
                <w:b w:val="0"/>
                <w:sz w:val="20"/>
                <w:szCs w:val="20"/>
                <w:lang w:val="es-ES_tradnl" w:eastAsia="en-US"/>
              </w:rPr>
              <w:t>os ecosistemas de</w:t>
            </w:r>
            <w:r w:rsidR="004E6F6D" w:rsidRPr="00A9234B">
              <w:rPr>
                <w:rFonts w:asciiTheme="majorHAnsi" w:eastAsiaTheme="minorHAnsi" w:hAnsiTheme="majorHAnsi" w:cs="Arial"/>
                <w:b w:val="0"/>
                <w:sz w:val="20"/>
                <w:szCs w:val="20"/>
                <w:lang w:val="es-ES_tradnl" w:eastAsia="en-US"/>
              </w:rPr>
              <w:t xml:space="preserve"> humedales</w:t>
            </w:r>
            <w:r w:rsidR="00A97B9D" w:rsidRPr="00A9234B">
              <w:rPr>
                <w:rFonts w:asciiTheme="majorHAnsi" w:eastAsiaTheme="minorHAnsi" w:hAnsiTheme="majorHAnsi" w:cs="Arial"/>
                <w:b w:val="0"/>
                <w:sz w:val="20"/>
                <w:szCs w:val="20"/>
                <w:highlight w:val="yellow"/>
                <w:lang w:val="es-ES_tradnl" w:eastAsia="en-US"/>
              </w:rPr>
              <w:t xml:space="preserve"> </w:t>
            </w:r>
          </w:p>
        </w:tc>
        <w:tc>
          <w:tcPr>
            <w:tcW w:w="336" w:type="pct"/>
          </w:tcPr>
          <w:p w14:paraId="03EFA6F2"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Alta</w:t>
            </w:r>
          </w:p>
        </w:tc>
        <w:tc>
          <w:tcPr>
            <w:tcW w:w="309" w:type="pct"/>
          </w:tcPr>
          <w:p w14:paraId="4FB3B861" w14:textId="3CB52FB0" w:rsidR="004D303D" w:rsidRPr="00A9234B" w:rsidRDefault="00360FBC" w:rsidP="004D303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XII.13, </w:t>
            </w:r>
            <w:r w:rsidRPr="00A9234B">
              <w:rPr>
                <w:rFonts w:asciiTheme="majorHAnsi" w:hAnsiTheme="majorHAnsi" w:cs="Arial"/>
                <w:b w:val="0"/>
                <w:sz w:val="20"/>
                <w:szCs w:val="20"/>
                <w:lang w:val="es-ES_tradnl"/>
              </w:rPr>
              <w:lastRenderedPageBreak/>
              <w:t>¶¶ 27; XII.15</w:t>
            </w:r>
            <w:r w:rsidR="004D303D" w:rsidRPr="00A9234B">
              <w:rPr>
                <w:rFonts w:asciiTheme="majorHAnsi" w:hAnsiTheme="majorHAnsi" w:cs="Arial"/>
                <w:b w:val="0"/>
                <w:sz w:val="20"/>
                <w:szCs w:val="20"/>
                <w:lang w:val="es-ES_tradnl"/>
              </w:rPr>
              <w:t xml:space="preserve"> ¶ 21</w:t>
            </w:r>
          </w:p>
          <w:p w14:paraId="1BE4477E" w14:textId="77777777" w:rsidR="00360FBC" w:rsidRPr="00A9234B" w:rsidRDefault="00360FBC" w:rsidP="005C68E2">
            <w:pPr>
              <w:rPr>
                <w:rFonts w:asciiTheme="majorHAnsi" w:hAnsiTheme="majorHAnsi" w:cs="Arial"/>
                <w:b w:val="0"/>
                <w:sz w:val="20"/>
                <w:szCs w:val="20"/>
                <w:lang w:val="es-ES_tradnl"/>
              </w:rPr>
            </w:pPr>
          </w:p>
          <w:p w14:paraId="1F975B62" w14:textId="77777777" w:rsidR="00360FBC" w:rsidRPr="00A9234B" w:rsidRDefault="00360FBC" w:rsidP="005C68E2">
            <w:pPr>
              <w:rPr>
                <w:rFonts w:asciiTheme="majorHAnsi" w:hAnsiTheme="majorHAnsi" w:cs="Arial"/>
                <w:b w:val="0"/>
                <w:sz w:val="20"/>
                <w:szCs w:val="20"/>
                <w:lang w:val="es-ES_tradnl"/>
              </w:rPr>
            </w:pPr>
          </w:p>
        </w:tc>
        <w:tc>
          <w:tcPr>
            <w:tcW w:w="397" w:type="pct"/>
          </w:tcPr>
          <w:p w14:paraId="0C997155"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eastAsia="Calibri" w:hAnsiTheme="majorHAnsi" w:cs="Arial"/>
                <w:b w:val="0"/>
                <w:bCs/>
                <w:sz w:val="20"/>
                <w:szCs w:val="20"/>
                <w:lang w:val="es-ES_tradnl"/>
              </w:rPr>
              <w:lastRenderedPageBreak/>
              <w:t xml:space="preserve">1.1, 1.3; 3.8, </w:t>
            </w:r>
            <w:r w:rsidRPr="00A9234B">
              <w:rPr>
                <w:rFonts w:asciiTheme="majorHAnsi" w:eastAsia="Calibri" w:hAnsiTheme="majorHAnsi" w:cs="Arial"/>
                <w:b w:val="0"/>
                <w:bCs/>
                <w:sz w:val="20"/>
                <w:szCs w:val="20"/>
                <w:lang w:val="es-ES_tradnl"/>
              </w:rPr>
              <w:lastRenderedPageBreak/>
              <w:t xml:space="preserve">3.9, 3.10, 3.11, 3.12; 4.14 </w:t>
            </w:r>
          </w:p>
        </w:tc>
        <w:tc>
          <w:tcPr>
            <w:tcW w:w="2944" w:type="pct"/>
          </w:tcPr>
          <w:p w14:paraId="759D7C3A" w14:textId="1184860A" w:rsidR="00360FBC" w:rsidRPr="00A9234B" w:rsidRDefault="00360FBC" w:rsidP="005C68E2">
            <w:pPr>
              <w:rPr>
                <w:rFonts w:asciiTheme="majorHAnsi" w:hAnsiTheme="majorHAnsi" w:cs="Arial"/>
                <w:b w:val="0"/>
                <w:color w:val="222222"/>
                <w:sz w:val="20"/>
                <w:szCs w:val="20"/>
                <w:shd w:val="clear" w:color="auto" w:fill="FFFFFF"/>
                <w:lang w:val="es-ES_tradnl"/>
              </w:rPr>
            </w:pPr>
            <w:r w:rsidRPr="00A9234B">
              <w:rPr>
                <w:rFonts w:asciiTheme="majorHAnsi" w:hAnsiTheme="majorHAnsi" w:cs="Arial"/>
                <w:b w:val="0"/>
                <w:sz w:val="20"/>
                <w:szCs w:val="20"/>
                <w:u w:val="single"/>
                <w:lang w:val="es-ES_tradnl"/>
              </w:rPr>
              <w:lastRenderedPageBreak/>
              <w:t>Descripción de la tarea</w:t>
            </w:r>
            <w:r w:rsidRPr="00A9234B">
              <w:rPr>
                <w:rFonts w:asciiTheme="majorHAnsi" w:hAnsiTheme="majorHAnsi" w:cs="Arial"/>
                <w:b w:val="0"/>
                <w:sz w:val="20"/>
                <w:szCs w:val="20"/>
                <w:lang w:val="es-ES_tradnl"/>
              </w:rPr>
              <w:t>: Informar a los</w:t>
            </w:r>
            <w:r w:rsidR="004E6F6D"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 xml:space="preserve">responsables de políticas, mediante una Nota sobre políticas, </w:t>
            </w:r>
            <w:r w:rsidR="004E6F6D" w:rsidRPr="00A9234B">
              <w:rPr>
                <w:rFonts w:asciiTheme="majorHAnsi" w:hAnsiTheme="majorHAnsi" w:cs="Arial"/>
                <w:b w:val="0"/>
                <w:sz w:val="20"/>
                <w:szCs w:val="20"/>
                <w:lang w:val="es-ES_tradnl"/>
              </w:rPr>
              <w:lastRenderedPageBreak/>
              <w:t>de</w:t>
            </w:r>
            <w:r w:rsidRPr="00A9234B">
              <w:rPr>
                <w:rFonts w:asciiTheme="majorHAnsi" w:hAnsiTheme="majorHAnsi" w:cs="Arial"/>
                <w:b w:val="0"/>
                <w:sz w:val="20"/>
                <w:szCs w:val="20"/>
                <w:lang w:val="es-ES_tradnl"/>
              </w:rPr>
              <w:t xml:space="preserve"> las metodologías más actuales para reconocer, evaluar y aplicar los múltiples valores de los humedales para su manejo integrado.</w:t>
            </w:r>
            <w:r w:rsidR="00E263EE"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 xml:space="preserve">El </w:t>
            </w:r>
            <w:r w:rsidR="00E263EE" w:rsidRPr="00A9234B">
              <w:rPr>
                <w:rFonts w:asciiTheme="majorHAnsi" w:hAnsiTheme="majorHAnsi" w:cs="Arial"/>
                <w:b w:val="0"/>
                <w:sz w:val="20"/>
                <w:szCs w:val="20"/>
                <w:lang w:val="es-ES_tradnl"/>
              </w:rPr>
              <w:t>ámbito</w:t>
            </w:r>
            <w:r w:rsidRPr="00A9234B">
              <w:rPr>
                <w:rFonts w:asciiTheme="majorHAnsi" w:hAnsiTheme="majorHAnsi" w:cs="Arial"/>
                <w:b w:val="0"/>
                <w:sz w:val="20"/>
                <w:szCs w:val="20"/>
                <w:lang w:val="es-ES_tradnl"/>
              </w:rPr>
              <w:t xml:space="preserve"> de la Nota sobre políticas debe incluir: el argumento a favor de integrar los múltiples valores y uso racional de los humedales,</w:t>
            </w:r>
            <w:r w:rsidR="00E263EE"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 xml:space="preserve">la utilización de los múltiples valores en el proceso de toma de decisiones sectoriales, la integración de los conocimientos indígenas y locales en la valoración, </w:t>
            </w:r>
            <w:r w:rsidR="00E263EE" w:rsidRPr="00A9234B">
              <w:rPr>
                <w:rFonts w:asciiTheme="majorHAnsi" w:hAnsiTheme="majorHAnsi" w:cs="Arial"/>
                <w:b w:val="0"/>
                <w:sz w:val="20"/>
                <w:szCs w:val="20"/>
                <w:lang w:val="es-ES_tradnl"/>
              </w:rPr>
              <w:t xml:space="preserve">y </w:t>
            </w:r>
            <w:r w:rsidRPr="00A9234B">
              <w:rPr>
                <w:rFonts w:asciiTheme="majorHAnsi" w:hAnsiTheme="majorHAnsi" w:cs="Arial"/>
                <w:b w:val="0"/>
                <w:sz w:val="20"/>
                <w:szCs w:val="20"/>
                <w:lang w:val="es-ES_tradnl"/>
              </w:rPr>
              <w:t xml:space="preserve">el uso de los valores para apoyar el manejo integrado de los humedales. La Nota sobre políticas tendría un anexo con un protocolo para evaluar los múltiples valores de los humedales, que consistiría en una adaptación de la orientación existente (de 5 pasos) de la IPBES sobre la evaluación de los múltiples valores de la naturaleza. (Esta guía de los 5 pasos es el resultado del producto 3(d) de la IPBES: </w:t>
            </w:r>
            <w:r w:rsidRPr="00A9234B">
              <w:rPr>
                <w:rFonts w:asciiTheme="majorHAnsi" w:hAnsiTheme="majorHAnsi" w:cs="Arial"/>
                <w:b w:val="0"/>
                <w:color w:val="222222"/>
                <w:sz w:val="20"/>
                <w:szCs w:val="20"/>
                <w:shd w:val="clear" w:color="auto" w:fill="FFFFFF"/>
                <w:lang w:val="es-ES_tradnl"/>
              </w:rPr>
              <w:t xml:space="preserve">Conceptualización diversa de los múltiples valores de la naturaleza y sus beneficios, incluyendo la diversidad biológica y las funciones y servicios del ecosistema; está disponible en línea como Anexo 2 del documento de trabajo para la Cuarta Sesión Plenaria). </w:t>
            </w:r>
          </w:p>
          <w:p w14:paraId="091E71CC" w14:textId="77777777" w:rsidR="00A97B9D" w:rsidRPr="00A9234B" w:rsidRDefault="00A97B9D" w:rsidP="005C68E2">
            <w:pPr>
              <w:rPr>
                <w:rFonts w:asciiTheme="majorHAnsi" w:hAnsiTheme="majorHAnsi" w:cs="Arial"/>
                <w:b w:val="0"/>
                <w:color w:val="222222"/>
                <w:sz w:val="20"/>
                <w:szCs w:val="20"/>
                <w:shd w:val="clear" w:color="auto" w:fill="FFFFFF"/>
                <w:lang w:val="es-ES_tradnl"/>
              </w:rPr>
            </w:pPr>
          </w:p>
          <w:p w14:paraId="5A35F617" w14:textId="59B482FD" w:rsidR="00A97B9D" w:rsidRPr="00A9234B" w:rsidRDefault="00544EF7" w:rsidP="00A97B9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También se traducirá este protocolo en un </w:t>
            </w:r>
            <w:r w:rsidR="000D06BD" w:rsidRPr="00A9234B">
              <w:rPr>
                <w:rFonts w:asciiTheme="majorHAnsi" w:hAnsiTheme="majorHAnsi" w:cs="Arial"/>
                <w:b w:val="0"/>
                <w:sz w:val="20"/>
                <w:szCs w:val="20"/>
                <w:lang w:val="es-ES_tradnl"/>
              </w:rPr>
              <w:t>I</w:t>
            </w:r>
            <w:r w:rsidR="00A34F5D" w:rsidRPr="00A9234B">
              <w:rPr>
                <w:rFonts w:asciiTheme="majorHAnsi" w:hAnsiTheme="majorHAnsi" w:cs="Arial"/>
                <w:b w:val="0"/>
                <w:sz w:val="20"/>
                <w:szCs w:val="20"/>
                <w:lang w:val="es-ES_tradnl"/>
              </w:rPr>
              <w:t>nforme té</w:t>
            </w:r>
            <w:r w:rsidRPr="00A9234B">
              <w:rPr>
                <w:rFonts w:asciiTheme="majorHAnsi" w:hAnsiTheme="majorHAnsi" w:cs="Arial"/>
                <w:b w:val="0"/>
                <w:sz w:val="20"/>
                <w:szCs w:val="20"/>
                <w:lang w:val="es-ES_tradnl"/>
              </w:rPr>
              <w:t>cnico y juego de herramientas de Ramsar para ayudar a los profesionales de los humedales a aplicar la guía de los 5 pasos. Para cada uno de los 5 pasos del protocolo de múltiples valores, se proporcionarán orientaciones sobre herramientas, métodos</w:t>
            </w:r>
            <w:r w:rsidR="00A34F5D" w:rsidRPr="00A9234B">
              <w:rPr>
                <w:rFonts w:asciiTheme="majorHAnsi" w:hAnsiTheme="majorHAnsi" w:cs="Arial"/>
                <w:b w:val="0"/>
                <w:sz w:val="20"/>
                <w:szCs w:val="20"/>
                <w:lang w:val="es-ES_tradnl"/>
              </w:rPr>
              <w:t xml:space="preserve"> y estudios de caso a fin de facilitar su aplicación. El juego de herramientas formará parte de un conjunto de herramientas de manejo de los humedales propuestas en el marco del Área Temática de Trabajo 2 (arriba) (tarea </w:t>
            </w:r>
            <w:r w:rsidR="00A97B9D" w:rsidRPr="00A9234B">
              <w:rPr>
                <w:rFonts w:asciiTheme="majorHAnsi" w:hAnsiTheme="majorHAnsi" w:cs="Arial"/>
                <w:b w:val="0"/>
                <w:sz w:val="20"/>
                <w:szCs w:val="20"/>
                <w:lang w:val="es-ES_tradnl"/>
              </w:rPr>
              <w:t>2.1).</w:t>
            </w:r>
          </w:p>
          <w:p w14:paraId="35B3BFAC" w14:textId="77777777" w:rsidR="00360FBC" w:rsidRPr="00A9234B" w:rsidRDefault="00360FBC" w:rsidP="005C68E2">
            <w:pPr>
              <w:ind w:left="720" w:hanging="720"/>
              <w:rPr>
                <w:rFonts w:asciiTheme="majorHAnsi" w:hAnsiTheme="majorHAnsi" w:cs="Arial"/>
                <w:b w:val="0"/>
                <w:sz w:val="20"/>
                <w:szCs w:val="20"/>
                <w:u w:val="single"/>
                <w:lang w:val="es-ES_tradnl"/>
              </w:rPr>
            </w:pPr>
          </w:p>
          <w:p w14:paraId="632EB7AE" w14:textId="77777777" w:rsidR="00A97B9D"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w:t>
            </w:r>
          </w:p>
          <w:p w14:paraId="4BCCF40A" w14:textId="183ECDF1" w:rsidR="00360FBC" w:rsidRPr="00A9234B" w:rsidRDefault="00A97B9D"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 </w:t>
            </w:r>
            <w:r w:rsidR="00360FBC" w:rsidRPr="00A9234B">
              <w:rPr>
                <w:rFonts w:asciiTheme="majorHAnsi" w:hAnsiTheme="majorHAnsi" w:cs="Arial"/>
                <w:b w:val="0"/>
                <w:sz w:val="20"/>
                <w:szCs w:val="20"/>
                <w:lang w:val="es-ES_tradnl"/>
              </w:rPr>
              <w:t xml:space="preserve">Nota sobre políticas relativa al reconocimiento, evaluación y aplicación de los múltiples valores de los humedales para el manejo integrado de los </w:t>
            </w:r>
            <w:r w:rsidRPr="00A9234B">
              <w:rPr>
                <w:rFonts w:asciiTheme="majorHAnsi" w:hAnsiTheme="majorHAnsi" w:cs="Arial"/>
                <w:b w:val="0"/>
                <w:sz w:val="20"/>
                <w:szCs w:val="20"/>
                <w:lang w:val="es-ES_tradnl"/>
              </w:rPr>
              <w:t>humedales, con protocolo anexo;</w:t>
            </w:r>
          </w:p>
          <w:p w14:paraId="3C6F4874" w14:textId="77777777" w:rsidR="00A97B9D" w:rsidRPr="00A9234B" w:rsidRDefault="00A97B9D" w:rsidP="005C68E2">
            <w:pPr>
              <w:rPr>
                <w:rFonts w:asciiTheme="majorHAnsi" w:hAnsiTheme="majorHAnsi" w:cs="Arial"/>
                <w:b w:val="0"/>
                <w:sz w:val="20"/>
                <w:szCs w:val="20"/>
                <w:lang w:val="es-ES_tradnl"/>
              </w:rPr>
            </w:pPr>
          </w:p>
          <w:p w14:paraId="52138E2E" w14:textId="6B59BE94" w:rsidR="00A97B9D" w:rsidRPr="00A9234B" w:rsidRDefault="00A97B9D" w:rsidP="00A97B9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2) </w:t>
            </w:r>
            <w:r w:rsidR="00A34F5D" w:rsidRPr="00A9234B">
              <w:rPr>
                <w:rFonts w:asciiTheme="majorHAnsi" w:hAnsiTheme="majorHAnsi" w:cs="Arial"/>
                <w:b w:val="0"/>
                <w:sz w:val="20"/>
                <w:szCs w:val="20"/>
                <w:lang w:val="es-ES_tradnl"/>
              </w:rPr>
              <w:t>Informe técnico y juego de herramientas de Ramsar sobre la evaluación de los múltiples valores de los humedales y la aplicación de estos al manejo integrado</w:t>
            </w:r>
          </w:p>
          <w:p w14:paraId="10BAF336"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 </w:t>
            </w:r>
          </w:p>
          <w:p w14:paraId="6F110E58" w14:textId="7C20273E" w:rsidR="00360FBC" w:rsidRPr="00A9234B" w:rsidRDefault="00360FBC" w:rsidP="00A34F5D">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Responsables de políticas (Nota sobre políticas) y profesionales (protocolo anexo</w:t>
            </w:r>
            <w:r w:rsidR="00A97B9D" w:rsidRPr="00A9234B">
              <w:rPr>
                <w:rFonts w:asciiTheme="majorHAnsi" w:hAnsiTheme="majorHAnsi" w:cs="Arial"/>
                <w:b w:val="0"/>
                <w:sz w:val="20"/>
                <w:szCs w:val="20"/>
                <w:lang w:val="es-ES_tradnl"/>
              </w:rPr>
              <w:t xml:space="preserve">, </w:t>
            </w:r>
            <w:r w:rsidR="0011394D" w:rsidRPr="00A9234B">
              <w:rPr>
                <w:rFonts w:asciiTheme="majorHAnsi" w:hAnsiTheme="majorHAnsi" w:cs="Arial"/>
                <w:b w:val="0"/>
                <w:sz w:val="20"/>
                <w:szCs w:val="20"/>
                <w:lang w:val="es-ES_tradnl"/>
              </w:rPr>
              <w:t>I</w:t>
            </w:r>
            <w:r w:rsidR="00A34F5D" w:rsidRPr="00A9234B">
              <w:rPr>
                <w:rFonts w:asciiTheme="majorHAnsi" w:hAnsiTheme="majorHAnsi" w:cs="Arial"/>
                <w:b w:val="0"/>
                <w:sz w:val="20"/>
                <w:szCs w:val="20"/>
                <w:lang w:val="es-ES_tradnl"/>
              </w:rPr>
              <w:t xml:space="preserve">nforme técnico y juego de herramientas de </w:t>
            </w:r>
            <w:r w:rsidR="00A97B9D" w:rsidRPr="00A9234B">
              <w:rPr>
                <w:rFonts w:asciiTheme="majorHAnsi" w:hAnsiTheme="majorHAnsi" w:cs="Arial"/>
                <w:b w:val="0"/>
                <w:sz w:val="20"/>
                <w:szCs w:val="20"/>
                <w:lang w:val="es-ES_tradnl"/>
              </w:rPr>
              <w:t>Ramsar)</w:t>
            </w:r>
          </w:p>
        </w:tc>
        <w:tc>
          <w:tcPr>
            <w:tcW w:w="500" w:type="pct"/>
          </w:tcPr>
          <w:p w14:paraId="4ADAD432" w14:textId="77777777" w:rsidR="00360FBC" w:rsidRPr="00A9234B" w:rsidRDefault="00360FBC" w:rsidP="00E263EE">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Hasta 25.300 </w:t>
            </w:r>
            <w:r w:rsidRPr="00A9234B">
              <w:rPr>
                <w:rFonts w:asciiTheme="majorHAnsi" w:hAnsiTheme="majorHAnsi" w:cs="Arial"/>
                <w:b w:val="0"/>
                <w:sz w:val="20"/>
                <w:szCs w:val="20"/>
                <w:lang w:val="es-ES_tradnl"/>
              </w:rPr>
              <w:lastRenderedPageBreak/>
              <w:t>[9.000 para los costos de maquetación, diseño, revisión, traducción y publicación</w:t>
            </w:r>
            <w:r w:rsidRPr="00A9234B">
              <w:rPr>
                <w:rFonts w:asciiTheme="majorHAnsi" w:hAnsiTheme="majorHAnsi" w:cs="Tahoma"/>
                <w:b w:val="0"/>
                <w:color w:val="000000"/>
                <w:sz w:val="20"/>
                <w:szCs w:val="20"/>
                <w:shd w:val="clear" w:color="auto" w:fill="FFFFFF"/>
                <w:lang w:val="es-ES_tradnl"/>
              </w:rPr>
              <w:t xml:space="preserve">; 6.300 para </w:t>
            </w:r>
            <w:r w:rsidR="00E263EE" w:rsidRPr="00A9234B">
              <w:rPr>
                <w:rFonts w:asciiTheme="majorHAnsi" w:hAnsiTheme="majorHAnsi" w:cs="Tahoma"/>
                <w:b w:val="0"/>
                <w:color w:val="000000"/>
                <w:sz w:val="20"/>
                <w:szCs w:val="20"/>
                <w:shd w:val="clear" w:color="auto" w:fill="FFFFFF"/>
                <w:lang w:val="es-ES_tradnl"/>
              </w:rPr>
              <w:t>el consultor</w:t>
            </w:r>
            <w:r w:rsidRPr="00A9234B">
              <w:rPr>
                <w:rFonts w:asciiTheme="majorHAnsi" w:hAnsiTheme="majorHAnsi" w:cs="Tahoma"/>
                <w:b w:val="0"/>
                <w:color w:val="000000"/>
                <w:sz w:val="20"/>
                <w:szCs w:val="20"/>
                <w:shd w:val="clear" w:color="auto" w:fill="FFFFFF"/>
                <w:lang w:val="es-ES_tradnl"/>
              </w:rPr>
              <w:t>;</w:t>
            </w:r>
            <w:r w:rsidR="00E263EE" w:rsidRPr="00A9234B">
              <w:rPr>
                <w:rFonts w:asciiTheme="majorHAnsi" w:hAnsiTheme="majorHAnsi" w:cs="Tahoma"/>
                <w:b w:val="0"/>
                <w:color w:val="000000"/>
                <w:sz w:val="20"/>
                <w:szCs w:val="20"/>
                <w:shd w:val="clear" w:color="auto" w:fill="FFFFFF"/>
                <w:lang w:val="es-ES_tradnl"/>
              </w:rPr>
              <w:t xml:space="preserve"> </w:t>
            </w:r>
            <w:r w:rsidRPr="00A9234B">
              <w:rPr>
                <w:rFonts w:asciiTheme="majorHAnsi" w:hAnsiTheme="majorHAnsi" w:cs="Tahoma"/>
                <w:b w:val="0"/>
                <w:color w:val="000000"/>
                <w:sz w:val="20"/>
                <w:szCs w:val="20"/>
                <w:shd w:val="clear" w:color="auto" w:fill="FFFFFF"/>
                <w:lang w:val="es-ES_tradnl"/>
              </w:rPr>
              <w:t xml:space="preserve">y 10.000 para un taller </w:t>
            </w:r>
            <w:r w:rsidR="00E263EE" w:rsidRPr="00A9234B">
              <w:rPr>
                <w:rFonts w:asciiTheme="majorHAnsi" w:hAnsiTheme="majorHAnsi" w:cs="Tahoma"/>
                <w:b w:val="0"/>
                <w:color w:val="000000"/>
                <w:sz w:val="20"/>
                <w:szCs w:val="20"/>
                <w:shd w:val="clear" w:color="auto" w:fill="FFFFFF"/>
                <w:lang w:val="es-ES_tradnl"/>
              </w:rPr>
              <w:t>de escritura para seis personas</w:t>
            </w:r>
            <w:r w:rsidRPr="00A9234B">
              <w:rPr>
                <w:rFonts w:asciiTheme="majorHAnsi" w:hAnsiTheme="majorHAnsi" w:cs="Arial"/>
                <w:b w:val="0"/>
                <w:sz w:val="20"/>
                <w:szCs w:val="20"/>
                <w:lang w:val="es-ES_tradnl"/>
              </w:rPr>
              <w:t xml:space="preserve">] </w:t>
            </w:r>
          </w:p>
          <w:p w14:paraId="480B642C" w14:textId="77777777" w:rsidR="004D303D" w:rsidRPr="00A9234B" w:rsidRDefault="004D303D" w:rsidP="00E263EE">
            <w:pPr>
              <w:rPr>
                <w:rFonts w:asciiTheme="majorHAnsi" w:hAnsiTheme="majorHAnsi" w:cs="Arial"/>
                <w:b w:val="0"/>
                <w:sz w:val="20"/>
                <w:szCs w:val="20"/>
                <w:lang w:val="es-ES_tradnl"/>
              </w:rPr>
            </w:pPr>
          </w:p>
          <w:p w14:paraId="7C603ADB" w14:textId="03BD03ED" w:rsidR="004D303D" w:rsidRPr="00A9234B" w:rsidRDefault="000D06BD" w:rsidP="000D06B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Hasta 33.</w:t>
            </w:r>
            <w:r w:rsidR="004D303D" w:rsidRPr="00A9234B">
              <w:rPr>
                <w:rFonts w:asciiTheme="majorHAnsi" w:hAnsiTheme="majorHAnsi" w:cs="Arial"/>
                <w:b w:val="0"/>
                <w:sz w:val="20"/>
                <w:szCs w:val="20"/>
                <w:lang w:val="es-ES_tradnl"/>
              </w:rPr>
              <w:t>500</w:t>
            </w:r>
          </w:p>
        </w:tc>
      </w:tr>
      <w:tr w:rsidR="00360FBC" w:rsidRPr="00A9234B" w14:paraId="33A9B6AE" w14:textId="77777777" w:rsidTr="00360FBC">
        <w:tc>
          <w:tcPr>
            <w:tcW w:w="514" w:type="pct"/>
          </w:tcPr>
          <w:p w14:paraId="4B8B34A2" w14:textId="495F953A" w:rsidR="00360FBC" w:rsidRPr="00A9234B" w:rsidRDefault="00A34F5D" w:rsidP="0011394D">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3.2</w:t>
            </w:r>
            <w:r w:rsidR="00360FBC" w:rsidRPr="00A9234B">
              <w:rPr>
                <w:rFonts w:asciiTheme="majorHAnsi" w:hAnsiTheme="majorHAnsi" w:cs="Arial"/>
                <w:b w:val="0"/>
                <w:sz w:val="20"/>
                <w:szCs w:val="20"/>
                <w:lang w:val="es-ES_tradnl"/>
              </w:rPr>
              <w:t xml:space="preserve"> </w:t>
            </w:r>
            <w:r w:rsidR="00360FBC" w:rsidRPr="00A9234B">
              <w:rPr>
                <w:rFonts w:asciiTheme="majorHAnsi" w:hAnsiTheme="majorHAnsi"/>
                <w:b w:val="0"/>
                <w:bCs/>
                <w:sz w:val="20"/>
                <w:szCs w:val="20"/>
                <w:lang w:val="es-ES_tradnl"/>
              </w:rPr>
              <w:t>L</w:t>
            </w:r>
            <w:r w:rsidR="00360FBC" w:rsidRPr="00A9234B">
              <w:rPr>
                <w:rFonts w:asciiTheme="majorHAnsi" w:hAnsiTheme="majorHAnsi" w:cs="Arial"/>
                <w:b w:val="0"/>
                <w:sz w:val="20"/>
                <w:szCs w:val="20"/>
                <w:lang w:val="es-ES_tradnl"/>
              </w:rPr>
              <w:t xml:space="preserve">os </w:t>
            </w:r>
            <w:r w:rsidR="0011394D" w:rsidRPr="00A9234B">
              <w:rPr>
                <w:rFonts w:asciiTheme="majorHAnsi" w:hAnsiTheme="majorHAnsi" w:cs="Arial"/>
                <w:b w:val="0"/>
                <w:sz w:val="20"/>
                <w:szCs w:val="20"/>
                <w:lang w:val="es-ES_tradnl"/>
              </w:rPr>
              <w:t>ecosistemas de humedales</w:t>
            </w:r>
            <w:r w:rsidR="00360FBC" w:rsidRPr="00A9234B">
              <w:rPr>
                <w:rFonts w:asciiTheme="majorHAnsi" w:hAnsiTheme="majorHAnsi" w:cs="Arial"/>
                <w:b w:val="0"/>
                <w:sz w:val="20"/>
                <w:szCs w:val="20"/>
                <w:lang w:val="es-ES_tradnl"/>
              </w:rPr>
              <w:t xml:space="preserve"> </w:t>
            </w:r>
            <w:r w:rsidR="0011394D" w:rsidRPr="00A9234B">
              <w:rPr>
                <w:rFonts w:asciiTheme="majorHAnsi" w:hAnsiTheme="majorHAnsi" w:cs="Arial"/>
                <w:b w:val="0"/>
                <w:sz w:val="20"/>
                <w:szCs w:val="20"/>
                <w:lang w:val="es-ES_tradnl"/>
              </w:rPr>
              <w:t>y</w:t>
            </w:r>
            <w:r w:rsidR="00360FBC" w:rsidRPr="00A9234B">
              <w:rPr>
                <w:rFonts w:asciiTheme="majorHAnsi" w:hAnsiTheme="majorHAnsi" w:cs="Arial"/>
                <w:b w:val="0"/>
                <w:sz w:val="20"/>
                <w:szCs w:val="20"/>
                <w:lang w:val="es-ES_tradnl"/>
              </w:rPr>
              <w:t xml:space="preserve"> la reducción del riesgo de desastres </w:t>
            </w:r>
          </w:p>
        </w:tc>
        <w:tc>
          <w:tcPr>
            <w:tcW w:w="336" w:type="pct"/>
          </w:tcPr>
          <w:p w14:paraId="366F0D75"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Alta </w:t>
            </w:r>
          </w:p>
        </w:tc>
        <w:tc>
          <w:tcPr>
            <w:tcW w:w="309" w:type="pct"/>
          </w:tcPr>
          <w:p w14:paraId="5D641CD7"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b w:val="0"/>
                <w:bCs/>
                <w:sz w:val="20"/>
                <w:szCs w:val="20"/>
                <w:lang w:val="es-ES_tradnl"/>
              </w:rPr>
              <w:t>XII.13, ¶¶25, 30</w:t>
            </w:r>
          </w:p>
        </w:tc>
        <w:tc>
          <w:tcPr>
            <w:tcW w:w="397" w:type="pct"/>
          </w:tcPr>
          <w:p w14:paraId="64B34E0D" w14:textId="77777777" w:rsidR="00360FBC" w:rsidRPr="00A9234B" w:rsidDel="00105E16" w:rsidRDefault="00360FBC" w:rsidP="005C68E2">
            <w:pPr>
              <w:rPr>
                <w:rFonts w:asciiTheme="majorHAnsi" w:hAnsiTheme="majorHAnsi" w:cs="Arial"/>
                <w:b w:val="0"/>
                <w:sz w:val="20"/>
                <w:szCs w:val="20"/>
                <w:lang w:val="es-ES_tradnl"/>
              </w:rPr>
            </w:pPr>
            <w:r w:rsidRPr="00A9234B">
              <w:rPr>
                <w:rFonts w:asciiTheme="majorHAnsi" w:eastAsia="Calibri" w:hAnsiTheme="majorHAnsi" w:cs="Arial"/>
                <w:b w:val="0"/>
                <w:bCs/>
                <w:sz w:val="20"/>
                <w:szCs w:val="20"/>
                <w:lang w:val="es-ES_tradnl"/>
              </w:rPr>
              <w:t>1.1, 1.3; 3.8, 3.9, 3.11, 3.12; 4.14</w:t>
            </w:r>
          </w:p>
        </w:tc>
        <w:tc>
          <w:tcPr>
            <w:tcW w:w="2944" w:type="pct"/>
          </w:tcPr>
          <w:p w14:paraId="4DC642C8" w14:textId="091C96CA" w:rsidR="00360FBC" w:rsidRPr="00A9234B" w:rsidRDefault="00360FBC" w:rsidP="005C68E2">
            <w:pPr>
              <w:ind w:left="34"/>
              <w:rPr>
                <w:rFonts w:asciiTheme="majorHAnsi" w:hAnsiTheme="majorHAnsi"/>
                <w:b w:val="0"/>
                <w:bCs/>
                <w:sz w:val="20"/>
                <w:szCs w:val="20"/>
                <w:lang w:val="es-ES_tradnl"/>
              </w:rPr>
            </w:pPr>
            <w:r w:rsidRPr="00A9234B">
              <w:rPr>
                <w:rFonts w:asciiTheme="majorHAnsi" w:hAnsiTheme="majorHAnsi"/>
                <w:b w:val="0"/>
                <w:bCs/>
                <w:sz w:val="20"/>
                <w:szCs w:val="20"/>
                <w:u w:val="single"/>
                <w:lang w:val="es-ES_tradnl"/>
              </w:rPr>
              <w:t>Descripción de la tarea</w:t>
            </w:r>
            <w:r w:rsidRPr="00A9234B">
              <w:rPr>
                <w:rFonts w:asciiTheme="majorHAnsi" w:hAnsiTheme="majorHAnsi"/>
                <w:b w:val="0"/>
                <w:bCs/>
                <w:sz w:val="20"/>
                <w:szCs w:val="20"/>
                <w:lang w:val="es-ES_tradnl"/>
              </w:rPr>
              <w:t xml:space="preserve">: Proporcionar una visión de conjunto de los conocimientos actuales relativos al papel de los servicios de los </w:t>
            </w:r>
            <w:r w:rsidR="0011394D" w:rsidRPr="00A9234B">
              <w:rPr>
                <w:rFonts w:asciiTheme="majorHAnsi" w:hAnsiTheme="majorHAnsi"/>
                <w:b w:val="0"/>
                <w:bCs/>
                <w:sz w:val="20"/>
                <w:szCs w:val="20"/>
                <w:lang w:val="es-ES_tradnl"/>
              </w:rPr>
              <w:t>ecosistemas de humedales</w:t>
            </w:r>
            <w:r w:rsidRPr="00A9234B">
              <w:rPr>
                <w:rFonts w:asciiTheme="majorHAnsi" w:hAnsiTheme="majorHAnsi"/>
                <w:b w:val="0"/>
                <w:bCs/>
                <w:sz w:val="20"/>
                <w:szCs w:val="20"/>
                <w:lang w:val="es-ES_tradnl"/>
              </w:rPr>
              <w:t xml:space="preserve"> en la reducción del riesgo de desastres, </w:t>
            </w:r>
            <w:r w:rsidR="00E263EE" w:rsidRPr="00A9234B">
              <w:rPr>
                <w:rFonts w:asciiTheme="majorHAnsi" w:hAnsiTheme="majorHAnsi"/>
                <w:b w:val="0"/>
                <w:bCs/>
                <w:sz w:val="20"/>
                <w:szCs w:val="20"/>
                <w:lang w:val="es-ES_tradnl"/>
              </w:rPr>
              <w:t xml:space="preserve">las </w:t>
            </w:r>
            <w:r w:rsidRPr="00A9234B">
              <w:rPr>
                <w:rFonts w:asciiTheme="majorHAnsi" w:hAnsiTheme="majorHAnsi"/>
                <w:b w:val="0"/>
                <w:bCs/>
                <w:sz w:val="20"/>
                <w:szCs w:val="20"/>
                <w:lang w:val="es-ES_tradnl"/>
              </w:rPr>
              <w:t xml:space="preserve">oportunidades y buenas prácticas para la integración de la conservación y uso racional de los humedales, y la reducción del riesgo de desastres, y ofrecer opciones que </w:t>
            </w:r>
            <w:r w:rsidR="00E263EE" w:rsidRPr="00A9234B">
              <w:rPr>
                <w:rFonts w:asciiTheme="majorHAnsi" w:hAnsiTheme="majorHAnsi"/>
                <w:b w:val="0"/>
                <w:bCs/>
                <w:sz w:val="20"/>
                <w:szCs w:val="20"/>
                <w:lang w:val="es-ES_tradnl"/>
              </w:rPr>
              <w:t xml:space="preserve">puedan servir a </w:t>
            </w:r>
            <w:r w:rsidRPr="00A9234B">
              <w:rPr>
                <w:rFonts w:asciiTheme="majorHAnsi" w:hAnsiTheme="majorHAnsi"/>
                <w:b w:val="0"/>
                <w:bCs/>
                <w:sz w:val="20"/>
                <w:szCs w:val="20"/>
                <w:lang w:val="es-ES_tradnl"/>
              </w:rPr>
              <w:t xml:space="preserve">los responsables de políticas de ambos sectores (reducción del riesgo de desastres y manejo de los humedales) para acciones conjuntas. </w:t>
            </w:r>
          </w:p>
          <w:p w14:paraId="49FCC860" w14:textId="77777777" w:rsidR="00360FBC" w:rsidRPr="00A9234B" w:rsidRDefault="00360FBC" w:rsidP="005C68E2">
            <w:pPr>
              <w:rPr>
                <w:rFonts w:asciiTheme="majorHAnsi" w:hAnsiTheme="majorHAnsi"/>
                <w:b w:val="0"/>
                <w:bCs/>
                <w:sz w:val="20"/>
                <w:szCs w:val="20"/>
                <w:u w:val="single"/>
                <w:lang w:val="es-ES_tradnl"/>
              </w:rPr>
            </w:pPr>
          </w:p>
          <w:p w14:paraId="019FDCED" w14:textId="77777777" w:rsidR="00360FBC" w:rsidRPr="00A9234B" w:rsidRDefault="00360FBC" w:rsidP="005C68E2">
            <w:pPr>
              <w:rPr>
                <w:rFonts w:asciiTheme="majorHAnsi" w:hAnsiTheme="majorHAnsi"/>
                <w:b w:val="0"/>
                <w:bCs/>
                <w:sz w:val="20"/>
                <w:szCs w:val="20"/>
                <w:lang w:val="es-ES_tradnl"/>
              </w:rPr>
            </w:pPr>
            <w:r w:rsidRPr="00A9234B">
              <w:rPr>
                <w:rFonts w:asciiTheme="majorHAnsi" w:hAnsiTheme="majorHAnsi"/>
                <w:b w:val="0"/>
                <w:bCs/>
                <w:sz w:val="20"/>
                <w:szCs w:val="20"/>
                <w:u w:val="single"/>
                <w:lang w:val="es-ES_tradnl"/>
              </w:rPr>
              <w:lastRenderedPageBreak/>
              <w:t>Producto(s) esperado(s)</w:t>
            </w:r>
            <w:r w:rsidRPr="00A9234B">
              <w:rPr>
                <w:rFonts w:asciiTheme="majorHAnsi" w:hAnsiTheme="majorHAnsi"/>
                <w:b w:val="0"/>
                <w:bCs/>
                <w:sz w:val="20"/>
                <w:szCs w:val="20"/>
                <w:lang w:val="es-ES_tradnl"/>
              </w:rPr>
              <w:t xml:space="preserve">: Nota sobre políticas relativa a la integración de los humedales en la Reducción del Riesgo de Desastres. </w:t>
            </w:r>
          </w:p>
          <w:p w14:paraId="6CEB1F9A" w14:textId="77777777" w:rsidR="00360FBC" w:rsidRPr="00A9234B" w:rsidRDefault="00360FBC" w:rsidP="005C68E2">
            <w:pPr>
              <w:rPr>
                <w:rFonts w:asciiTheme="majorHAnsi" w:hAnsiTheme="majorHAnsi"/>
                <w:b w:val="0"/>
                <w:bCs/>
                <w:sz w:val="20"/>
                <w:szCs w:val="20"/>
                <w:u w:val="single"/>
                <w:lang w:val="es-ES_tradnl"/>
              </w:rPr>
            </w:pPr>
          </w:p>
          <w:p w14:paraId="132836EF" w14:textId="5AC8B17C" w:rsidR="00360FBC" w:rsidRPr="00A9234B" w:rsidRDefault="00360FBC" w:rsidP="005C68E2">
            <w:pPr>
              <w:rPr>
                <w:rFonts w:asciiTheme="majorHAnsi" w:hAnsiTheme="majorHAnsi" w:cs="Arial"/>
                <w:b w:val="0"/>
                <w:sz w:val="20"/>
                <w:szCs w:val="20"/>
                <w:u w:val="single"/>
                <w:lang w:val="es-ES_tradnl"/>
              </w:rPr>
            </w:pPr>
            <w:r w:rsidRPr="00A9234B">
              <w:rPr>
                <w:rFonts w:asciiTheme="majorHAnsi" w:hAnsiTheme="majorHAnsi"/>
                <w:b w:val="0"/>
                <w:bCs/>
                <w:sz w:val="20"/>
                <w:szCs w:val="20"/>
                <w:u w:val="single"/>
                <w:lang w:val="es-ES_tradnl"/>
              </w:rPr>
              <w:t>Grupo destinatario</w:t>
            </w:r>
            <w:r w:rsidRPr="00A9234B">
              <w:rPr>
                <w:rFonts w:asciiTheme="majorHAnsi" w:hAnsiTheme="majorHAnsi"/>
                <w:b w:val="0"/>
                <w:bCs/>
                <w:sz w:val="20"/>
                <w:szCs w:val="20"/>
                <w:lang w:val="es-ES_tradnl"/>
              </w:rPr>
              <w:t xml:space="preserve">: Responsables de políticas </w:t>
            </w:r>
          </w:p>
        </w:tc>
        <w:tc>
          <w:tcPr>
            <w:tcW w:w="500" w:type="pct"/>
          </w:tcPr>
          <w:p w14:paraId="08D021B4" w14:textId="5B84D1EF"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Hasta </w:t>
            </w:r>
            <w:r w:rsidRPr="00A9234B">
              <w:rPr>
                <w:rFonts w:asciiTheme="majorHAnsi" w:hAnsiTheme="majorHAnsi"/>
                <w:b w:val="0"/>
                <w:bCs/>
                <w:sz w:val="20"/>
                <w:szCs w:val="20"/>
                <w:lang w:val="es-ES_tradnl"/>
              </w:rPr>
              <w:t>9.000</w:t>
            </w:r>
          </w:p>
        </w:tc>
      </w:tr>
      <w:tr w:rsidR="00360FBC" w:rsidRPr="00A9234B" w14:paraId="0AFED661" w14:textId="77777777" w:rsidTr="00360FBC">
        <w:tc>
          <w:tcPr>
            <w:tcW w:w="514" w:type="pct"/>
          </w:tcPr>
          <w:p w14:paraId="10D20535" w14:textId="7C0A8122"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3.</w:t>
            </w:r>
            <w:r w:rsidR="00A34F5D" w:rsidRPr="00A9234B">
              <w:rPr>
                <w:rFonts w:asciiTheme="majorHAnsi" w:hAnsiTheme="majorHAnsi" w:cs="Arial"/>
                <w:b w:val="0"/>
                <w:sz w:val="20"/>
                <w:szCs w:val="20"/>
                <w:lang w:val="es-ES_tradnl"/>
              </w:rPr>
              <w:t>3</w:t>
            </w:r>
            <w:r w:rsidRPr="00A9234B">
              <w:rPr>
                <w:rFonts w:asciiTheme="majorHAnsi" w:hAnsiTheme="majorHAnsi" w:cs="Arial"/>
                <w:b w:val="0"/>
                <w:sz w:val="20"/>
                <w:szCs w:val="20"/>
                <w:lang w:val="es-ES_tradnl"/>
              </w:rPr>
              <w:t xml:space="preserve"> </w:t>
            </w:r>
            <w:r w:rsidR="0011394D" w:rsidRPr="00A9234B">
              <w:rPr>
                <w:rFonts w:asciiTheme="majorHAnsi" w:hAnsiTheme="majorHAnsi" w:cs="Arial"/>
                <w:b w:val="0"/>
                <w:bCs/>
                <w:sz w:val="20"/>
                <w:szCs w:val="20"/>
                <w:lang w:val="es-ES_tradnl"/>
              </w:rPr>
              <w:t xml:space="preserve">Estudios de caso </w:t>
            </w:r>
            <w:r w:rsidRPr="00A9234B">
              <w:rPr>
                <w:rFonts w:asciiTheme="majorHAnsi" w:hAnsiTheme="majorHAnsi" w:cs="Arial"/>
                <w:b w:val="0"/>
                <w:bCs/>
                <w:sz w:val="20"/>
                <w:szCs w:val="20"/>
                <w:lang w:val="es-ES_tradnl"/>
              </w:rPr>
              <w:t>sobre ‘la valoración y uso racional de los humedales’</w:t>
            </w:r>
          </w:p>
        </w:tc>
        <w:tc>
          <w:tcPr>
            <w:tcW w:w="336" w:type="pct"/>
          </w:tcPr>
          <w:p w14:paraId="641E8D7B" w14:textId="77777777" w:rsidR="00360FBC" w:rsidRPr="00A9234B" w:rsidRDefault="00360FBC" w:rsidP="005C68E2">
            <w:pPr>
              <w:rPr>
                <w:rFonts w:asciiTheme="majorHAnsi" w:hAnsiTheme="majorHAnsi" w:cs="Arial"/>
                <w:b w:val="0"/>
                <w:sz w:val="20"/>
                <w:szCs w:val="20"/>
                <w:lang w:val="es-ES_tradnl"/>
              </w:rPr>
            </w:pPr>
          </w:p>
        </w:tc>
        <w:tc>
          <w:tcPr>
            <w:tcW w:w="309" w:type="pct"/>
          </w:tcPr>
          <w:p w14:paraId="03268F9D" w14:textId="77777777" w:rsidR="00360FBC" w:rsidRPr="00A9234B" w:rsidRDefault="00360FBC" w:rsidP="005C68E2">
            <w:pPr>
              <w:rPr>
                <w:rFonts w:asciiTheme="majorHAnsi" w:hAnsiTheme="majorHAnsi" w:cs="Arial"/>
                <w:sz w:val="20"/>
                <w:szCs w:val="20"/>
                <w:lang w:val="es-ES_tradnl"/>
              </w:rPr>
            </w:pPr>
            <w:r w:rsidRPr="00A9234B">
              <w:rPr>
                <w:rFonts w:asciiTheme="majorHAnsi" w:hAnsiTheme="majorHAnsi" w:cs="Arial"/>
                <w:b w:val="0"/>
                <w:sz w:val="20"/>
                <w:szCs w:val="20"/>
                <w:lang w:val="es-ES_tradnl"/>
              </w:rPr>
              <w:t>XII.13, ¶ 27; XII.15, ¶ 21</w:t>
            </w:r>
          </w:p>
        </w:tc>
        <w:tc>
          <w:tcPr>
            <w:tcW w:w="397" w:type="pct"/>
          </w:tcPr>
          <w:p w14:paraId="79602B09" w14:textId="77777777" w:rsidR="00360FBC" w:rsidRPr="00A9234B" w:rsidRDefault="00360FBC" w:rsidP="005C68E2">
            <w:pPr>
              <w:rPr>
                <w:rFonts w:asciiTheme="majorHAnsi" w:hAnsiTheme="majorHAnsi" w:cs="Arial"/>
                <w:sz w:val="20"/>
                <w:szCs w:val="20"/>
                <w:lang w:val="es-ES_tradnl"/>
              </w:rPr>
            </w:pPr>
            <w:r w:rsidRPr="00A9234B">
              <w:rPr>
                <w:rFonts w:asciiTheme="majorHAnsi" w:eastAsia="Calibri" w:hAnsiTheme="majorHAnsi" w:cs="Arial"/>
                <w:b w:val="0"/>
                <w:bCs/>
                <w:sz w:val="20"/>
                <w:szCs w:val="20"/>
                <w:lang w:val="es-ES_tradnl"/>
              </w:rPr>
              <w:t xml:space="preserve">1.1, 1.3; 3.8, 3.9, 3.10, 3.11, 3.12; 4.14 </w:t>
            </w:r>
          </w:p>
        </w:tc>
        <w:tc>
          <w:tcPr>
            <w:tcW w:w="2944" w:type="pct"/>
          </w:tcPr>
          <w:p w14:paraId="795FF087" w14:textId="21FF9BB3"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xml:space="preserve">: Desarrollar casos de estudio y métodos (incluyendo los proporcionados por otras convenciones y organizaciones relacionadas con la diversidad biológica) relativos a los múltiples valores de los humedales en los contextos de planificación y toma de decisiones, que serán resumidos para los responsables de políticas. </w:t>
            </w:r>
          </w:p>
          <w:p w14:paraId="709B7056"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 </w:t>
            </w:r>
          </w:p>
          <w:p w14:paraId="163198D8"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w:t>
            </w:r>
          </w:p>
          <w:p w14:paraId="07C144DA"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 Estudios de caso y métodos a incluir como parte del conjunto de herramientas para el manejo de humedales propuesto en el Área Temática de Trabajo 2 (arriba) (tarea 2.1) y </w:t>
            </w:r>
          </w:p>
          <w:p w14:paraId="1C7B2362" w14:textId="77777777" w:rsidR="00360FBC" w:rsidRPr="00A9234B" w:rsidRDefault="00360FBC" w:rsidP="005C68E2">
            <w:pPr>
              <w:rPr>
                <w:rFonts w:asciiTheme="majorHAnsi" w:hAnsiTheme="majorHAnsi" w:cs="Arial"/>
                <w:b w:val="0"/>
                <w:sz w:val="20"/>
                <w:szCs w:val="20"/>
                <w:lang w:val="es-ES_tradnl"/>
              </w:rPr>
            </w:pPr>
          </w:p>
          <w:p w14:paraId="3B092551"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2) Nota sobre políticas</w:t>
            </w:r>
          </w:p>
          <w:p w14:paraId="68E96F89" w14:textId="77777777" w:rsidR="00360FBC" w:rsidRPr="00A9234B" w:rsidRDefault="00360FBC" w:rsidP="005C68E2">
            <w:pPr>
              <w:rPr>
                <w:rFonts w:asciiTheme="majorHAnsi" w:hAnsiTheme="majorHAnsi" w:cs="Arial"/>
                <w:b w:val="0"/>
                <w:sz w:val="20"/>
                <w:szCs w:val="20"/>
                <w:lang w:val="es-ES_tradnl"/>
              </w:rPr>
            </w:pPr>
          </w:p>
          <w:p w14:paraId="5E68D62D" w14:textId="63571DD5"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Profesionales (administradores de humedales) (estudios de caso y métodos) y responsables de políticas (Nota sobre políticas)</w:t>
            </w:r>
          </w:p>
        </w:tc>
        <w:tc>
          <w:tcPr>
            <w:tcW w:w="500" w:type="pct"/>
          </w:tcPr>
          <w:p w14:paraId="76ED5C67"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9.000 </w:t>
            </w:r>
          </w:p>
        </w:tc>
      </w:tr>
    </w:tbl>
    <w:p w14:paraId="6D72FD8F" w14:textId="77777777" w:rsidR="005C68E2" w:rsidRPr="00A9234B" w:rsidRDefault="005C68E2" w:rsidP="005C68E2">
      <w:pPr>
        <w:rPr>
          <w:rFonts w:asciiTheme="majorHAnsi" w:hAnsiTheme="majorHAnsi" w:cs="Arial"/>
          <w:sz w:val="20"/>
          <w:szCs w:val="20"/>
          <w:lang w:val="es-ES_tradnl"/>
        </w:rPr>
      </w:pPr>
    </w:p>
    <w:tbl>
      <w:tblPr>
        <w:tblStyle w:val="TableGrid3"/>
        <w:tblW w:w="5000" w:type="pct"/>
        <w:tblLook w:val="04A0" w:firstRow="1" w:lastRow="0" w:firstColumn="1" w:lastColumn="0" w:noHBand="0" w:noVBand="1"/>
      </w:tblPr>
      <w:tblGrid>
        <w:gridCol w:w="14174"/>
      </w:tblGrid>
      <w:tr w:rsidR="005C68E2" w:rsidRPr="00504EB0" w14:paraId="28313968" w14:textId="77777777" w:rsidTr="005C68E2">
        <w:tc>
          <w:tcPr>
            <w:tcW w:w="5000" w:type="pct"/>
            <w:shd w:val="clear" w:color="auto" w:fill="000000" w:themeFill="text1"/>
          </w:tcPr>
          <w:p w14:paraId="6F764B3C" w14:textId="0C538C41" w:rsidR="005C68E2" w:rsidRPr="00504EB0" w:rsidRDefault="00E96BD0" w:rsidP="00504EB0">
            <w:pPr>
              <w:pStyle w:val="Heading1"/>
              <w:spacing w:before="0"/>
              <w:outlineLvl w:val="0"/>
              <w:rPr>
                <w:rFonts w:asciiTheme="majorHAnsi" w:hAnsiTheme="majorHAnsi"/>
                <w:b/>
                <w:sz w:val="20"/>
                <w:szCs w:val="20"/>
                <w:lang w:val="es-ES"/>
              </w:rPr>
            </w:pPr>
            <w:bookmarkStart w:id="5" w:name="_Toc455997519"/>
            <w:r w:rsidRPr="00504EB0">
              <w:rPr>
                <w:rFonts w:asciiTheme="majorHAnsi" w:hAnsiTheme="majorHAnsi"/>
                <w:b/>
                <w:color w:val="FFFFFF" w:themeColor="background1"/>
                <w:sz w:val="20"/>
                <w:szCs w:val="20"/>
                <w:lang w:val="es-ES"/>
              </w:rPr>
              <w:t xml:space="preserve">Área Temática de Trabajo Nº 4: </w:t>
            </w:r>
            <w:r w:rsidR="00DE6F79" w:rsidRPr="00504EB0">
              <w:rPr>
                <w:rFonts w:asciiTheme="majorHAnsi" w:hAnsiTheme="majorHAnsi"/>
                <w:b/>
                <w:color w:val="FFFFFF" w:themeColor="background1"/>
                <w:sz w:val="20"/>
                <w:szCs w:val="20"/>
                <w:lang w:val="es-ES"/>
              </w:rPr>
              <w:t>Balance</w:t>
            </w:r>
            <w:r w:rsidRPr="00504EB0">
              <w:rPr>
                <w:rFonts w:asciiTheme="majorHAnsi" w:hAnsiTheme="majorHAnsi"/>
                <w:b/>
                <w:color w:val="FFFFFF" w:themeColor="background1"/>
                <w:sz w:val="20"/>
                <w:szCs w:val="20"/>
                <w:lang w:val="es-ES"/>
              </w:rPr>
              <w:t xml:space="preserve"> entre la conservación de los humedales y el desarrollo, por ejemplo, infraestructuras, urbanización, silvicultura, industrias extractivas y agricultura</w:t>
            </w:r>
            <w:bookmarkEnd w:id="5"/>
            <w:r w:rsidRPr="00504EB0">
              <w:rPr>
                <w:rFonts w:asciiTheme="majorHAnsi" w:hAnsiTheme="majorHAnsi"/>
                <w:b/>
                <w:color w:val="FFFFFF" w:themeColor="background1"/>
                <w:sz w:val="20"/>
                <w:szCs w:val="20"/>
                <w:lang w:val="es-ES"/>
              </w:rPr>
              <w:t xml:space="preserve"> </w:t>
            </w:r>
          </w:p>
        </w:tc>
      </w:tr>
    </w:tbl>
    <w:p w14:paraId="037400F5" w14:textId="77777777" w:rsidR="005C68E2" w:rsidRPr="00A9234B" w:rsidRDefault="005C68E2" w:rsidP="005C68E2">
      <w:pPr>
        <w:rPr>
          <w:rFonts w:asciiTheme="majorHAnsi" w:hAnsiTheme="majorHAnsi" w:cs="Arial"/>
          <w:sz w:val="20"/>
          <w:szCs w:val="20"/>
          <w:lang w:val="es-ES_tradnl"/>
        </w:rPr>
      </w:pPr>
    </w:p>
    <w:tbl>
      <w:tblPr>
        <w:tblStyle w:val="TableGrid22"/>
        <w:tblW w:w="5000" w:type="pct"/>
        <w:jc w:val="center"/>
        <w:tblLook w:val="04A0" w:firstRow="1" w:lastRow="0" w:firstColumn="1" w:lastColumn="0" w:noHBand="0" w:noVBand="1"/>
      </w:tblPr>
      <w:tblGrid>
        <w:gridCol w:w="3561"/>
        <w:gridCol w:w="10613"/>
      </w:tblGrid>
      <w:tr w:rsidR="005C68E2" w:rsidRPr="00504EB0" w14:paraId="25360A31" w14:textId="77777777" w:rsidTr="005C68E2">
        <w:trPr>
          <w:jc w:val="center"/>
        </w:trPr>
        <w:tc>
          <w:tcPr>
            <w:tcW w:w="1256" w:type="pct"/>
          </w:tcPr>
          <w:p w14:paraId="145576FF" w14:textId="77777777" w:rsidR="005C68E2" w:rsidRPr="00A9234B" w:rsidRDefault="005C68E2" w:rsidP="005C68E2">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 xml:space="preserve">Responsable(s) del grupo de trabajo y participantes: </w:t>
            </w:r>
          </w:p>
        </w:tc>
        <w:tc>
          <w:tcPr>
            <w:tcW w:w="3744" w:type="pct"/>
          </w:tcPr>
          <w:p w14:paraId="2DC2CCC2" w14:textId="0908CFEC" w:rsidR="005C68E2" w:rsidRPr="00A9234B" w:rsidRDefault="005C68E2" w:rsidP="00360FBC">
            <w:pPr>
              <w:rPr>
                <w:rFonts w:asciiTheme="majorHAnsi" w:eastAsia="Calibri" w:hAnsiTheme="majorHAnsi" w:cs="Arial"/>
                <w:b w:val="0"/>
                <w:sz w:val="20"/>
                <w:szCs w:val="20"/>
                <w:lang w:val="fr-CH"/>
              </w:rPr>
            </w:pPr>
            <w:r w:rsidRPr="00A9234B">
              <w:rPr>
                <w:rFonts w:asciiTheme="majorHAnsi" w:hAnsiTheme="majorHAnsi" w:cs="Arial"/>
                <w:b w:val="0"/>
                <w:sz w:val="20"/>
                <w:szCs w:val="20"/>
                <w:lang w:val="fr-CH"/>
              </w:rPr>
              <w:t xml:space="preserve">Ruth Cromie, Peter Davies, Roy Gardner, Max Finlayson, Kassim Kulindwa, </w:t>
            </w:r>
            <w:r w:rsidRPr="00A9234B">
              <w:rPr>
                <w:rFonts w:asciiTheme="majorHAnsi" w:eastAsia="Calibri" w:hAnsiTheme="majorHAnsi" w:cs="Arial"/>
                <w:b w:val="0"/>
                <w:sz w:val="20"/>
                <w:szCs w:val="20"/>
                <w:lang w:val="fr-CH"/>
              </w:rPr>
              <w:t xml:space="preserve">Dulce Infante Mata, </w:t>
            </w:r>
            <w:r w:rsidRPr="00A9234B">
              <w:rPr>
                <w:rFonts w:asciiTheme="majorHAnsi" w:hAnsiTheme="majorHAnsi" w:cs="Arial"/>
                <w:b w:val="0"/>
                <w:sz w:val="20"/>
                <w:szCs w:val="20"/>
                <w:lang w:val="fr-CH"/>
              </w:rPr>
              <w:t>Laura Martinez (</w:t>
            </w:r>
            <w:r w:rsidR="00360FBC" w:rsidRPr="00A9234B">
              <w:rPr>
                <w:rFonts w:asciiTheme="majorHAnsi" w:hAnsiTheme="majorHAnsi" w:cs="Arial"/>
                <w:b w:val="0"/>
                <w:sz w:val="20"/>
                <w:szCs w:val="20"/>
                <w:lang w:val="fr-CH"/>
              </w:rPr>
              <w:t>responsable</w:t>
            </w:r>
            <w:r w:rsidRPr="00A9234B">
              <w:rPr>
                <w:rFonts w:asciiTheme="majorHAnsi" w:hAnsiTheme="majorHAnsi" w:cs="Arial"/>
                <w:b w:val="0"/>
                <w:sz w:val="20"/>
                <w:szCs w:val="20"/>
                <w:lang w:val="fr-CH"/>
              </w:rPr>
              <w:t xml:space="preserve">), Rubén Quintana </w:t>
            </w:r>
          </w:p>
        </w:tc>
      </w:tr>
      <w:tr w:rsidR="005C68E2" w:rsidRPr="00504EB0" w14:paraId="3FF18240" w14:textId="77777777" w:rsidTr="005C68E2">
        <w:trPr>
          <w:jc w:val="center"/>
        </w:trPr>
        <w:tc>
          <w:tcPr>
            <w:tcW w:w="1256" w:type="pct"/>
          </w:tcPr>
          <w:p w14:paraId="2531B9DE" w14:textId="77777777" w:rsidR="005C68E2" w:rsidRPr="00A9234B" w:rsidRDefault="005C68E2" w:rsidP="005C68E2">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Organizaciones contribuyentes: [OIA/observadores/otros]</w:t>
            </w:r>
          </w:p>
        </w:tc>
        <w:tc>
          <w:tcPr>
            <w:tcW w:w="3744" w:type="pct"/>
          </w:tcPr>
          <w:p w14:paraId="7FB438BC" w14:textId="724323C8" w:rsidR="005C68E2" w:rsidRPr="00A9234B" w:rsidRDefault="005C68E2" w:rsidP="00517D16">
            <w:pPr>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 xml:space="preserve">BirdLife International (Zoltan Waliczky), </w:t>
            </w:r>
            <w:r w:rsidR="00517D16" w:rsidRPr="00A9234B">
              <w:rPr>
                <w:rFonts w:asciiTheme="majorHAnsi" w:eastAsia="Calibri" w:hAnsiTheme="majorHAnsi" w:cs="Arial"/>
                <w:b w:val="0"/>
                <w:sz w:val="20"/>
                <w:szCs w:val="20"/>
                <w:lang w:val="es-ES_tradnl"/>
              </w:rPr>
              <w:t>UICN</w:t>
            </w:r>
            <w:r w:rsidRPr="00A9234B">
              <w:rPr>
                <w:rFonts w:asciiTheme="majorHAnsi" w:eastAsia="Calibri" w:hAnsiTheme="majorHAnsi" w:cs="Arial"/>
                <w:b w:val="0"/>
                <w:sz w:val="20"/>
                <w:szCs w:val="20"/>
                <w:lang w:val="es-ES_tradnl"/>
              </w:rPr>
              <w:t xml:space="preserve"> (Stefano Barchiesi), IWMI (Sanjiv da Silva), WWF International (Denis Landenbergue, Lifeng Li)/ SWS (Nick Davidson), UNESCO-IHE (Anne van Dam)/</w:t>
            </w:r>
            <w:r w:rsidR="00517D16" w:rsidRPr="00A9234B">
              <w:rPr>
                <w:rFonts w:asciiTheme="majorHAnsi" w:eastAsia="Calibri" w:hAnsiTheme="majorHAnsi" w:cs="Arial"/>
                <w:b w:val="0"/>
                <w:sz w:val="20"/>
                <w:szCs w:val="20"/>
                <w:lang w:val="es-ES_tradnl"/>
              </w:rPr>
              <w:t>Coordinador Nacional del GECT para Malasia</w:t>
            </w:r>
            <w:r w:rsidRPr="00A9234B">
              <w:rPr>
                <w:rFonts w:asciiTheme="majorHAnsi" w:eastAsia="Calibri" w:hAnsiTheme="majorHAnsi" w:cs="Arial"/>
                <w:b w:val="0"/>
                <w:sz w:val="20"/>
                <w:szCs w:val="20"/>
                <w:lang w:val="es-ES_tradnl"/>
              </w:rPr>
              <w:t xml:space="preserve"> (</w:t>
            </w:r>
            <w:r w:rsidRPr="00A9234B">
              <w:rPr>
                <w:rFonts w:asciiTheme="majorHAnsi" w:hAnsiTheme="majorHAnsi" w:cs="Arial"/>
                <w:b w:val="0"/>
                <w:sz w:val="20"/>
                <w:szCs w:val="20"/>
                <w:lang w:val="es-ES_tradnl"/>
              </w:rPr>
              <w:t>Abd Rahman Kassim)</w:t>
            </w:r>
          </w:p>
        </w:tc>
      </w:tr>
    </w:tbl>
    <w:p w14:paraId="2F1EB821" w14:textId="16CCB1DD" w:rsidR="007D6E58" w:rsidRPr="00A9234B" w:rsidRDefault="007D6E58" w:rsidP="005C68E2">
      <w:pPr>
        <w:rPr>
          <w:rFonts w:asciiTheme="majorHAnsi" w:hAnsiTheme="majorHAnsi" w:cs="Arial"/>
          <w:sz w:val="20"/>
          <w:szCs w:val="20"/>
          <w:lang w:val="es-ES_tradnl"/>
        </w:rPr>
      </w:pPr>
    </w:p>
    <w:tbl>
      <w:tblPr>
        <w:tblStyle w:val="TableGrid3"/>
        <w:tblW w:w="5060" w:type="pct"/>
        <w:tblInd w:w="-85" w:type="dxa"/>
        <w:tblLayout w:type="fixed"/>
        <w:tblCellMar>
          <w:top w:w="57" w:type="dxa"/>
          <w:left w:w="57" w:type="dxa"/>
          <w:bottom w:w="57" w:type="dxa"/>
          <w:right w:w="57" w:type="dxa"/>
        </w:tblCellMar>
        <w:tblLook w:val="04A0" w:firstRow="1" w:lastRow="0" w:firstColumn="1" w:lastColumn="0" w:noHBand="0" w:noVBand="1"/>
      </w:tblPr>
      <w:tblGrid>
        <w:gridCol w:w="1538"/>
        <w:gridCol w:w="1014"/>
        <w:gridCol w:w="795"/>
        <w:gridCol w:w="1159"/>
        <w:gridCol w:w="8337"/>
        <w:gridCol w:w="1398"/>
      </w:tblGrid>
      <w:tr w:rsidR="00360FBC" w:rsidRPr="00A9234B" w14:paraId="43D2F6B6" w14:textId="77777777" w:rsidTr="00360FBC">
        <w:trPr>
          <w:tblHeader/>
        </w:trPr>
        <w:tc>
          <w:tcPr>
            <w:tcW w:w="540" w:type="pct"/>
            <w:shd w:val="clear" w:color="auto" w:fill="D9D9D9" w:themeFill="background1" w:themeFillShade="D9"/>
          </w:tcPr>
          <w:p w14:paraId="063DD5E9" w14:textId="542128E2" w:rsidR="00360FBC" w:rsidRPr="00A9234B" w:rsidRDefault="005265E4"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Nº</w:t>
            </w:r>
            <w:r w:rsidR="00360FBC" w:rsidRPr="00A9234B">
              <w:rPr>
                <w:rFonts w:asciiTheme="majorHAnsi" w:hAnsiTheme="majorHAnsi" w:cs="Arial"/>
                <w:sz w:val="20"/>
                <w:szCs w:val="20"/>
                <w:lang w:val="es-ES_tradnl"/>
              </w:rPr>
              <w:t xml:space="preserve"> y título de la tarea</w:t>
            </w:r>
          </w:p>
        </w:tc>
        <w:tc>
          <w:tcPr>
            <w:tcW w:w="356" w:type="pct"/>
            <w:shd w:val="clear" w:color="auto" w:fill="D9D9D9" w:themeFill="background1" w:themeFillShade="D9"/>
          </w:tcPr>
          <w:p w14:paraId="0D440E56" w14:textId="1B706401" w:rsidR="00360FBC" w:rsidRPr="00A9234B" w:rsidRDefault="00360FBC"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Prioridad</w:t>
            </w:r>
          </w:p>
        </w:tc>
        <w:tc>
          <w:tcPr>
            <w:tcW w:w="279" w:type="pct"/>
            <w:shd w:val="clear" w:color="auto" w:fill="D9D9D9" w:themeFill="background1" w:themeFillShade="D9"/>
          </w:tcPr>
          <w:p w14:paraId="06E69FAF" w14:textId="7C679180" w:rsidR="00360FBC" w:rsidRPr="00A9234B" w:rsidRDefault="00360FBC"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Res.</w:t>
            </w:r>
          </w:p>
        </w:tc>
        <w:tc>
          <w:tcPr>
            <w:tcW w:w="407" w:type="pct"/>
            <w:shd w:val="clear" w:color="auto" w:fill="D9D9D9" w:themeFill="background1" w:themeFillShade="D9"/>
          </w:tcPr>
          <w:p w14:paraId="5888B704" w14:textId="0F637635" w:rsidR="00360FBC" w:rsidRPr="00A9234B" w:rsidRDefault="00360FBC" w:rsidP="005C68E2">
            <w:pPr>
              <w:jc w:val="center"/>
              <w:rPr>
                <w:rFonts w:asciiTheme="majorHAnsi" w:hAnsiTheme="majorHAnsi" w:cs="Arial"/>
                <w:sz w:val="20"/>
                <w:szCs w:val="20"/>
                <w:lang w:val="es-ES_tradnl"/>
              </w:rPr>
            </w:pPr>
            <w:r w:rsidRPr="00A9234B">
              <w:rPr>
                <w:rFonts w:asciiTheme="majorHAnsi" w:eastAsia="Calibri" w:hAnsiTheme="majorHAnsi" w:cs="Arial"/>
                <w:sz w:val="20"/>
                <w:szCs w:val="20"/>
                <w:lang w:val="es-ES_tradnl"/>
              </w:rPr>
              <w:t>Objetivo y meta del Plan Estratégico</w:t>
            </w:r>
          </w:p>
        </w:tc>
        <w:tc>
          <w:tcPr>
            <w:tcW w:w="2927" w:type="pct"/>
            <w:shd w:val="clear" w:color="auto" w:fill="D9D9D9" w:themeFill="background1" w:themeFillShade="D9"/>
          </w:tcPr>
          <w:p w14:paraId="0FE2085F" w14:textId="0124D6D2" w:rsidR="00360FBC" w:rsidRPr="00A9234B" w:rsidRDefault="00360FBC" w:rsidP="00CC3A9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 xml:space="preserve">Descripción de la tarea, </w:t>
            </w:r>
            <w:r w:rsidR="00CC3A91" w:rsidRPr="00A9234B">
              <w:rPr>
                <w:rFonts w:asciiTheme="majorHAnsi" w:hAnsiTheme="majorHAnsi" w:cs="Arial"/>
                <w:sz w:val="20"/>
                <w:szCs w:val="20"/>
                <w:lang w:val="es-ES_tradnl"/>
              </w:rPr>
              <w:t xml:space="preserve">productos esperados y grupos destinatarios </w:t>
            </w:r>
          </w:p>
        </w:tc>
        <w:tc>
          <w:tcPr>
            <w:tcW w:w="491" w:type="pct"/>
            <w:shd w:val="clear" w:color="auto" w:fill="D9D9D9" w:themeFill="background1" w:themeFillShade="D9"/>
          </w:tcPr>
          <w:p w14:paraId="015F335C" w14:textId="77777777" w:rsidR="00360FBC" w:rsidRPr="00A9234B" w:rsidRDefault="00360FBC" w:rsidP="00360FBC">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Costo</w:t>
            </w:r>
          </w:p>
          <w:p w14:paraId="6D67D7E9" w14:textId="3C41F151" w:rsidR="00360FBC" w:rsidRPr="00A9234B" w:rsidRDefault="00360FBC" w:rsidP="005C68E2">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francos suizos</w:t>
            </w:r>
          </w:p>
        </w:tc>
      </w:tr>
      <w:tr w:rsidR="00360FBC" w:rsidRPr="00504EB0" w14:paraId="721E84FE" w14:textId="77777777" w:rsidTr="00360FBC">
        <w:tc>
          <w:tcPr>
            <w:tcW w:w="540" w:type="pct"/>
          </w:tcPr>
          <w:p w14:paraId="0F4F81B5"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4.1 Necesidades hídricas de los humedales </w:t>
            </w:r>
          </w:p>
        </w:tc>
        <w:tc>
          <w:tcPr>
            <w:tcW w:w="356" w:type="pct"/>
          </w:tcPr>
          <w:p w14:paraId="782FAB35" w14:textId="2F28C7A2" w:rsidR="00360FBC" w:rsidRPr="00A9234B" w:rsidRDefault="00AA62BB"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Alta</w:t>
            </w:r>
          </w:p>
        </w:tc>
        <w:tc>
          <w:tcPr>
            <w:tcW w:w="279" w:type="pct"/>
          </w:tcPr>
          <w:p w14:paraId="57C801C5"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XII.12, ¶ 24</w:t>
            </w:r>
          </w:p>
        </w:tc>
        <w:tc>
          <w:tcPr>
            <w:tcW w:w="407" w:type="pct"/>
          </w:tcPr>
          <w:p w14:paraId="2EF8C39A"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1.1, 1.2, 1.3; 2.5; 3.8, 3.9, 3.11, 3.12, 3.13; 4.14</w:t>
            </w:r>
          </w:p>
        </w:tc>
        <w:tc>
          <w:tcPr>
            <w:tcW w:w="2927" w:type="pct"/>
          </w:tcPr>
          <w:p w14:paraId="1874A70A" w14:textId="1BADC290" w:rsidR="00360FBC" w:rsidRPr="00A9234B" w:rsidRDefault="00360FBC" w:rsidP="005C68E2">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Preparación</w:t>
            </w:r>
            <w:r w:rsidR="006E601A" w:rsidRPr="00A9234B">
              <w:rPr>
                <w:rFonts w:asciiTheme="majorHAnsi" w:hAnsiTheme="majorHAnsi" w:cs="Arial"/>
                <w:b w:val="0"/>
                <w:sz w:val="20"/>
                <w:szCs w:val="20"/>
                <w:lang w:val="es-ES_tradnl"/>
              </w:rPr>
              <w:t xml:space="preserve">, con WWF, </w:t>
            </w:r>
            <w:r w:rsidRPr="00A9234B">
              <w:rPr>
                <w:rFonts w:asciiTheme="majorHAnsi" w:hAnsiTheme="majorHAnsi" w:cs="Arial"/>
                <w:b w:val="0"/>
                <w:sz w:val="20"/>
                <w:szCs w:val="20"/>
                <w:lang w:val="es-ES_tradnl"/>
              </w:rPr>
              <w:t xml:space="preserve">de un Informe Técnico </w:t>
            </w:r>
            <w:r w:rsidR="006E601A" w:rsidRPr="00A9234B">
              <w:rPr>
                <w:rFonts w:asciiTheme="majorHAnsi" w:hAnsiTheme="majorHAnsi" w:cs="Arial"/>
                <w:b w:val="0"/>
                <w:sz w:val="20"/>
                <w:szCs w:val="20"/>
                <w:lang w:val="es-ES_tradnl"/>
              </w:rPr>
              <w:t>conjunto</w:t>
            </w:r>
            <w:r w:rsidRPr="00A9234B">
              <w:rPr>
                <w:rFonts w:asciiTheme="majorHAnsi" w:hAnsiTheme="majorHAnsi" w:cs="Arial"/>
                <w:b w:val="0"/>
                <w:sz w:val="20"/>
                <w:szCs w:val="20"/>
                <w:lang w:val="es-ES_tradnl"/>
              </w:rPr>
              <w:t xml:space="preserve"> sobre los métodos para evaluar las necesidades hídricas de los humedales y la forma de definir y aplicar estrategias y herramientas para determinar dichas necesidades y asignar agua a los humedales</w:t>
            </w:r>
            <w:r w:rsidR="00A34F5D" w:rsidRPr="00A9234B">
              <w:rPr>
                <w:rFonts w:asciiTheme="majorHAnsi" w:hAnsiTheme="majorHAnsi" w:cs="Arial"/>
                <w:b w:val="0"/>
                <w:sz w:val="20"/>
                <w:szCs w:val="20"/>
                <w:lang w:val="es-ES_tradnl"/>
              </w:rPr>
              <w:t>, tales como equilibrar las necesidades de los humedales con las de las industrias extractivas y de otro tipo</w:t>
            </w:r>
            <w:r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lastRenderedPageBreak/>
              <w:t xml:space="preserve">Incluirá, además, enfoques para desarrollar un programa de seguimiento de las necesidades hídricas de los humedales. El Informe Técnico tendrá en cuenta las experiencias de China, Australia, Sudáfrica, Kenya y los países miembros de la Unión Europea en la elaboración de planes hidrográficos, y asimismo, la experiencia de Estados Unidos en el manejo de presas. Una Nota sobre políticas que proporcione opciones </w:t>
            </w:r>
            <w:r w:rsidR="00AA62BB" w:rsidRPr="00A9234B">
              <w:rPr>
                <w:rFonts w:asciiTheme="majorHAnsi" w:hAnsiTheme="majorHAnsi" w:cs="Arial"/>
                <w:b w:val="0"/>
                <w:sz w:val="20"/>
                <w:szCs w:val="20"/>
                <w:lang w:val="es-ES_tradnl"/>
              </w:rPr>
              <w:t xml:space="preserve">respecto de </w:t>
            </w:r>
            <w:r w:rsidRPr="00A9234B">
              <w:rPr>
                <w:rFonts w:asciiTheme="majorHAnsi" w:hAnsiTheme="majorHAnsi" w:cs="Arial"/>
                <w:b w:val="0"/>
                <w:sz w:val="20"/>
                <w:szCs w:val="20"/>
                <w:lang w:val="es-ES_tradnl"/>
              </w:rPr>
              <w:t xml:space="preserve">los enfoques para incorporar las necesidades hídricas de los humedales en las políticas/planes sectoriales nacionales </w:t>
            </w:r>
            <w:r w:rsidR="00AA62BB" w:rsidRPr="00A9234B">
              <w:rPr>
                <w:rFonts w:asciiTheme="majorHAnsi" w:hAnsiTheme="majorHAnsi" w:cs="Arial"/>
                <w:b w:val="0"/>
                <w:sz w:val="20"/>
                <w:szCs w:val="20"/>
                <w:lang w:val="es-ES_tradnl"/>
              </w:rPr>
              <w:t xml:space="preserve">y planes hidrográficos </w:t>
            </w:r>
            <w:r w:rsidRPr="00A9234B">
              <w:rPr>
                <w:rFonts w:asciiTheme="majorHAnsi" w:hAnsiTheme="majorHAnsi" w:cs="Arial"/>
                <w:b w:val="0"/>
                <w:sz w:val="20"/>
                <w:szCs w:val="20"/>
                <w:lang w:val="es-ES_tradnl"/>
              </w:rPr>
              <w:t xml:space="preserve">(teniendo en cuenta que dichos enfoques serían específicos al contexto nacional). </w:t>
            </w:r>
          </w:p>
          <w:p w14:paraId="4E38F808" w14:textId="77777777" w:rsidR="00360FBC" w:rsidRPr="00A9234B" w:rsidRDefault="00360FBC" w:rsidP="005C68E2">
            <w:pPr>
              <w:rPr>
                <w:rFonts w:asciiTheme="majorHAnsi" w:hAnsiTheme="majorHAnsi" w:cs="Arial"/>
                <w:b w:val="0"/>
                <w:sz w:val="20"/>
                <w:szCs w:val="20"/>
                <w:lang w:val="es-ES_tradnl"/>
              </w:rPr>
            </w:pPr>
          </w:p>
          <w:p w14:paraId="7A903D18"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w:t>
            </w:r>
          </w:p>
          <w:p w14:paraId="0A84BB08" w14:textId="7FFE5DAB"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1) Informe Técnico para profesionales</w:t>
            </w:r>
            <w:r w:rsidR="00AA62BB" w:rsidRPr="00A9234B">
              <w:rPr>
                <w:rFonts w:asciiTheme="majorHAnsi" w:hAnsiTheme="majorHAnsi" w:cs="Arial"/>
                <w:b w:val="0"/>
                <w:sz w:val="20"/>
                <w:szCs w:val="20"/>
                <w:lang w:val="es-ES_tradnl"/>
              </w:rPr>
              <w:t xml:space="preserve"> sobre la evaluación y aplicación</w:t>
            </w:r>
            <w:r w:rsidRPr="00A9234B">
              <w:rPr>
                <w:rFonts w:asciiTheme="majorHAnsi" w:hAnsiTheme="majorHAnsi" w:cs="Arial"/>
                <w:b w:val="0"/>
                <w:sz w:val="20"/>
                <w:szCs w:val="20"/>
                <w:lang w:val="es-ES_tradnl"/>
              </w:rPr>
              <w:t xml:space="preserve"> de las necesidades hídricas de los humedales, y </w:t>
            </w:r>
          </w:p>
          <w:p w14:paraId="2107D862" w14:textId="77777777" w:rsidR="00360FBC" w:rsidRPr="00A9234B" w:rsidRDefault="00360FBC" w:rsidP="005C68E2">
            <w:pPr>
              <w:rPr>
                <w:rFonts w:asciiTheme="majorHAnsi" w:hAnsiTheme="majorHAnsi" w:cs="Arial"/>
                <w:b w:val="0"/>
                <w:sz w:val="20"/>
                <w:szCs w:val="20"/>
                <w:lang w:val="es-ES_tradnl"/>
              </w:rPr>
            </w:pPr>
          </w:p>
          <w:p w14:paraId="4504DD1A" w14:textId="70FF7FE2"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2) Nota sobre políticas referente a la incorporación de las necesidades hídricas de los humedales en las políticas/planes </w:t>
            </w:r>
            <w:r w:rsidR="00AA62BB" w:rsidRPr="00A9234B">
              <w:rPr>
                <w:rFonts w:asciiTheme="majorHAnsi" w:hAnsiTheme="majorHAnsi" w:cs="Arial"/>
                <w:b w:val="0"/>
                <w:sz w:val="20"/>
                <w:szCs w:val="20"/>
                <w:lang w:val="es-ES_tradnl"/>
              </w:rPr>
              <w:t>nacionales y planes hidrográficos</w:t>
            </w:r>
            <w:r w:rsidRPr="00A9234B">
              <w:rPr>
                <w:rFonts w:asciiTheme="majorHAnsi" w:hAnsiTheme="majorHAnsi" w:cs="Arial"/>
                <w:b w:val="0"/>
                <w:sz w:val="20"/>
                <w:szCs w:val="20"/>
                <w:lang w:val="es-ES_tradnl"/>
              </w:rPr>
              <w:t xml:space="preserve">. </w:t>
            </w:r>
          </w:p>
          <w:p w14:paraId="66A2FC72" w14:textId="77777777" w:rsidR="00360FBC" w:rsidRPr="00A9234B" w:rsidRDefault="00360FBC" w:rsidP="005C68E2">
            <w:pPr>
              <w:rPr>
                <w:rFonts w:asciiTheme="majorHAnsi" w:hAnsiTheme="majorHAnsi" w:cs="Arial"/>
                <w:b w:val="0"/>
                <w:sz w:val="20"/>
                <w:szCs w:val="20"/>
                <w:lang w:val="es-ES_tradnl"/>
              </w:rPr>
            </w:pPr>
          </w:p>
          <w:p w14:paraId="15BB7EA1" w14:textId="17C0AE54"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xml:space="preserve">: Responsables de políticas y profesionales (administradores de humedales) en el ámbito nacional, de cuenca y local. </w:t>
            </w:r>
          </w:p>
        </w:tc>
        <w:tc>
          <w:tcPr>
            <w:tcW w:w="491" w:type="pct"/>
          </w:tcPr>
          <w:p w14:paraId="77BD6608" w14:textId="7D051920" w:rsidR="00A270B3" w:rsidRPr="00A9234B" w:rsidRDefault="00A34F5D" w:rsidP="00A270B3">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Hasta </w:t>
            </w:r>
            <w:r w:rsidR="00A270B3" w:rsidRPr="00A9234B">
              <w:rPr>
                <w:rFonts w:asciiTheme="majorHAnsi" w:hAnsiTheme="majorHAnsi" w:cs="Arial"/>
                <w:b w:val="0"/>
                <w:sz w:val="20"/>
                <w:szCs w:val="20"/>
                <w:lang w:val="es-ES_tradnl"/>
              </w:rPr>
              <w:t>9</w:t>
            </w:r>
            <w:r w:rsidRPr="00A9234B">
              <w:rPr>
                <w:rFonts w:asciiTheme="majorHAnsi" w:hAnsiTheme="majorHAnsi" w:cs="Arial"/>
                <w:b w:val="0"/>
                <w:sz w:val="20"/>
                <w:szCs w:val="20"/>
                <w:lang w:val="es-ES_tradnl"/>
              </w:rPr>
              <w:t>.</w:t>
            </w:r>
            <w:r w:rsidR="00A270B3" w:rsidRPr="00A9234B">
              <w:rPr>
                <w:rFonts w:asciiTheme="majorHAnsi" w:hAnsiTheme="majorHAnsi" w:cs="Arial"/>
                <w:b w:val="0"/>
                <w:sz w:val="20"/>
                <w:szCs w:val="20"/>
                <w:lang w:val="es-ES_tradnl"/>
              </w:rPr>
              <w:t>000 (</w:t>
            </w:r>
            <w:r w:rsidR="0011394D" w:rsidRPr="00A9234B">
              <w:rPr>
                <w:rFonts w:asciiTheme="majorHAnsi" w:hAnsiTheme="majorHAnsi" w:cs="Arial"/>
                <w:b w:val="0"/>
                <w:sz w:val="20"/>
                <w:szCs w:val="20"/>
                <w:lang w:val="es-ES_tradnl"/>
              </w:rPr>
              <w:t>para la N</w:t>
            </w:r>
            <w:r w:rsidRPr="00A9234B">
              <w:rPr>
                <w:rFonts w:asciiTheme="majorHAnsi" w:hAnsiTheme="majorHAnsi" w:cs="Arial"/>
                <w:b w:val="0"/>
                <w:sz w:val="20"/>
                <w:szCs w:val="20"/>
                <w:lang w:val="es-ES_tradnl"/>
              </w:rPr>
              <w:t>ota sobre políticas</w:t>
            </w:r>
            <w:r w:rsidR="00A270B3" w:rsidRPr="00A9234B">
              <w:rPr>
                <w:rFonts w:asciiTheme="majorHAnsi" w:hAnsiTheme="majorHAnsi" w:cs="Arial"/>
                <w:b w:val="0"/>
                <w:sz w:val="20"/>
                <w:szCs w:val="20"/>
                <w:lang w:val="es-ES_tradnl"/>
              </w:rPr>
              <w:t>)</w:t>
            </w:r>
          </w:p>
          <w:p w14:paraId="5AE33D84" w14:textId="77777777" w:rsidR="00A34F5D" w:rsidRPr="00A9234B" w:rsidRDefault="00A34F5D" w:rsidP="00A270B3">
            <w:pPr>
              <w:rPr>
                <w:rFonts w:asciiTheme="majorHAnsi" w:hAnsiTheme="majorHAnsi" w:cs="Arial"/>
                <w:b w:val="0"/>
                <w:sz w:val="20"/>
                <w:szCs w:val="20"/>
                <w:lang w:val="es-ES_tradnl"/>
              </w:rPr>
            </w:pPr>
          </w:p>
          <w:p w14:paraId="38004AED" w14:textId="77777777" w:rsidR="00A270B3" w:rsidRPr="00A9234B" w:rsidRDefault="00A270B3" w:rsidP="005C68E2">
            <w:pPr>
              <w:rPr>
                <w:rFonts w:asciiTheme="majorHAnsi" w:hAnsiTheme="majorHAnsi" w:cs="Arial"/>
                <w:b w:val="0"/>
                <w:sz w:val="20"/>
                <w:szCs w:val="20"/>
                <w:lang w:val="es-ES_tradnl"/>
              </w:rPr>
            </w:pPr>
          </w:p>
          <w:p w14:paraId="6CE6ECFD" w14:textId="035D4ADE" w:rsidR="00360FBC" w:rsidRPr="00A9234B" w:rsidRDefault="00360FBC" w:rsidP="00AA62BB">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w:t>
            </w:r>
            <w:r w:rsidR="00AA62BB" w:rsidRPr="00A9234B">
              <w:rPr>
                <w:rFonts w:asciiTheme="majorHAnsi" w:hAnsiTheme="majorHAnsi" w:cs="Arial"/>
                <w:b w:val="0"/>
                <w:sz w:val="20"/>
                <w:szCs w:val="20"/>
                <w:lang w:val="es-ES_tradnl"/>
              </w:rPr>
              <w:t>WWF aportaría 100.000</w:t>
            </w:r>
            <w:r w:rsidR="00A34F5D" w:rsidRPr="00A9234B">
              <w:rPr>
                <w:rFonts w:asciiTheme="majorHAnsi" w:hAnsiTheme="majorHAnsi" w:cs="Arial"/>
                <w:b w:val="0"/>
                <w:sz w:val="20"/>
                <w:szCs w:val="20"/>
                <w:lang w:val="es-ES_tradnl"/>
              </w:rPr>
              <w:t xml:space="preserve"> para sufragar el informe técnico conjunto</w:t>
            </w:r>
            <w:r w:rsidRPr="00A9234B">
              <w:rPr>
                <w:rFonts w:asciiTheme="majorHAnsi" w:hAnsiTheme="majorHAnsi" w:cs="Arial"/>
                <w:b w:val="0"/>
                <w:sz w:val="20"/>
                <w:szCs w:val="20"/>
                <w:lang w:val="es-ES_tradnl"/>
              </w:rPr>
              <w:t>]</w:t>
            </w:r>
          </w:p>
        </w:tc>
      </w:tr>
      <w:tr w:rsidR="00360FBC" w:rsidRPr="00504EB0" w14:paraId="76E55380" w14:textId="77777777" w:rsidTr="00360FBC">
        <w:tc>
          <w:tcPr>
            <w:tcW w:w="540" w:type="pct"/>
          </w:tcPr>
          <w:p w14:paraId="17E0F172" w14:textId="3A724BB1"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4.2 Examen y análisis de los Informes de las Misiones Ramsar de Asesoramiento (MRA)</w:t>
            </w:r>
          </w:p>
        </w:tc>
        <w:tc>
          <w:tcPr>
            <w:tcW w:w="356" w:type="pct"/>
          </w:tcPr>
          <w:p w14:paraId="2B9B6EEB" w14:textId="0AE6B9B5" w:rsidR="00360FBC" w:rsidRPr="00A9234B" w:rsidRDefault="00AA62BB"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Alta</w:t>
            </w:r>
          </w:p>
        </w:tc>
        <w:tc>
          <w:tcPr>
            <w:tcW w:w="279" w:type="pct"/>
          </w:tcPr>
          <w:p w14:paraId="04FAF24F" w14:textId="0D892962" w:rsidR="00360FBC" w:rsidRPr="00A9234B" w:rsidRDefault="00360FBC" w:rsidP="00AA62BB">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XII.5, An</w:t>
            </w:r>
            <w:r w:rsidR="00AA62BB" w:rsidRPr="00A9234B">
              <w:rPr>
                <w:rFonts w:asciiTheme="majorHAnsi" w:hAnsiTheme="majorHAnsi" w:cs="Arial"/>
                <w:b w:val="0"/>
                <w:sz w:val="20"/>
                <w:szCs w:val="20"/>
                <w:lang w:val="es-ES_tradnl"/>
              </w:rPr>
              <w:t>exo</w:t>
            </w:r>
            <w:r w:rsidRPr="00A9234B">
              <w:rPr>
                <w:rFonts w:asciiTheme="majorHAnsi" w:hAnsiTheme="majorHAnsi" w:cs="Arial"/>
                <w:b w:val="0"/>
                <w:sz w:val="20"/>
                <w:szCs w:val="20"/>
                <w:lang w:val="es-ES_tradnl"/>
              </w:rPr>
              <w:t xml:space="preserve"> 1, ¶¶ 1-2; 12</w:t>
            </w:r>
          </w:p>
        </w:tc>
        <w:tc>
          <w:tcPr>
            <w:tcW w:w="407" w:type="pct"/>
          </w:tcPr>
          <w:p w14:paraId="2A2E785F"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1.1, 1.2, 1.3, 1.4; 2.5, 2.7; 3.8, 3.9, 3.10, 3.11, 3.12, 3.13; 4.14 </w:t>
            </w:r>
          </w:p>
        </w:tc>
        <w:tc>
          <w:tcPr>
            <w:tcW w:w="2927" w:type="pct"/>
          </w:tcPr>
          <w:p w14:paraId="205A6E5A" w14:textId="4E8CC739" w:rsidR="00A270B3"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Examen y análisis de todos los informes de las Misiones Ramsar de Asesoramiento</w:t>
            </w:r>
            <w:r w:rsidR="00AA62BB" w:rsidRPr="00A9234B">
              <w:rPr>
                <w:rFonts w:asciiTheme="majorHAnsi" w:hAnsiTheme="majorHAnsi" w:cs="Arial"/>
                <w:b w:val="0"/>
                <w:sz w:val="20"/>
                <w:szCs w:val="20"/>
                <w:lang w:val="es-ES_tradnl"/>
              </w:rPr>
              <w:t xml:space="preserve"> (MRA)</w:t>
            </w:r>
            <w:r w:rsidRPr="00A9234B">
              <w:rPr>
                <w:rFonts w:asciiTheme="majorHAnsi" w:hAnsiTheme="majorHAnsi" w:cs="Arial"/>
                <w:b w:val="0"/>
                <w:sz w:val="20"/>
                <w:szCs w:val="20"/>
                <w:lang w:val="es-ES_tradnl"/>
              </w:rPr>
              <w:t xml:space="preserve"> </w:t>
            </w:r>
            <w:r w:rsidR="000D06BD" w:rsidRPr="00A9234B">
              <w:rPr>
                <w:rFonts w:asciiTheme="majorHAnsi" w:hAnsiTheme="majorHAnsi" w:cs="Arial"/>
                <w:b w:val="0"/>
                <w:sz w:val="20"/>
                <w:szCs w:val="20"/>
                <w:lang w:val="es-ES_tradnl"/>
              </w:rPr>
              <w:t>para examinar las lecciones extraídas de las iniciativas destinadas a equilibrar la conservación de los humedales con el desarrollo de infraestructuras, la urbanización y la industria a fin de mejorar los mecanismos de manejo y seguimiento y hacer frente a las amenazas para los sitios Ramsar</w:t>
            </w:r>
            <w:r w:rsidRPr="00A9234B">
              <w:rPr>
                <w:rFonts w:asciiTheme="majorHAnsi" w:hAnsiTheme="majorHAnsi" w:cs="Arial"/>
                <w:b w:val="0"/>
                <w:sz w:val="20"/>
                <w:szCs w:val="20"/>
                <w:lang w:val="es-ES_tradnl"/>
              </w:rPr>
              <w:t xml:space="preserve">. </w:t>
            </w:r>
          </w:p>
          <w:p w14:paraId="12F8B724" w14:textId="77777777" w:rsidR="00A270B3" w:rsidRPr="00A9234B" w:rsidRDefault="00A270B3" w:rsidP="005C68E2">
            <w:pPr>
              <w:rPr>
                <w:rFonts w:asciiTheme="majorHAnsi" w:hAnsiTheme="majorHAnsi" w:cs="Arial"/>
                <w:b w:val="0"/>
                <w:sz w:val="20"/>
                <w:szCs w:val="20"/>
                <w:lang w:val="es-ES_tradnl"/>
              </w:rPr>
            </w:pPr>
          </w:p>
          <w:p w14:paraId="53CCACC7" w14:textId="409A8A19"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Se han realizado más de </w:t>
            </w:r>
            <w:r w:rsidR="00A270B3" w:rsidRPr="00A9234B">
              <w:rPr>
                <w:rFonts w:asciiTheme="majorHAnsi" w:hAnsiTheme="majorHAnsi" w:cs="Arial"/>
                <w:b w:val="0"/>
                <w:sz w:val="20"/>
                <w:szCs w:val="20"/>
                <w:lang w:val="es-ES_tradnl"/>
              </w:rPr>
              <w:t>79</w:t>
            </w:r>
            <w:r w:rsidRPr="00A9234B">
              <w:rPr>
                <w:rFonts w:asciiTheme="majorHAnsi" w:hAnsiTheme="majorHAnsi" w:cs="Arial"/>
                <w:b w:val="0"/>
                <w:sz w:val="20"/>
                <w:szCs w:val="20"/>
                <w:lang w:val="es-ES_tradnl"/>
              </w:rPr>
              <w:t xml:space="preserve"> Misiones Ramsar de Asesoramiento hasta la fecha, muchas de ellas relacionadas con infraestructuras, urbanización, silvicultura, extracción, industrias y cuestiones relacionadas con la agricultura</w:t>
            </w:r>
            <w:r w:rsidR="00577449" w:rsidRPr="00A9234B">
              <w:rPr>
                <w:rFonts w:asciiTheme="majorHAnsi" w:hAnsiTheme="majorHAnsi" w:cs="Arial"/>
                <w:b w:val="0"/>
                <w:sz w:val="20"/>
                <w:szCs w:val="20"/>
                <w:lang w:val="es-ES_tradnl"/>
              </w:rPr>
              <w:t>, así como los sistemas de conocimientos indígenas y l</w:t>
            </w:r>
            <w:r w:rsidR="00AA62BB" w:rsidRPr="00A9234B">
              <w:rPr>
                <w:rFonts w:asciiTheme="majorHAnsi" w:hAnsiTheme="majorHAnsi" w:cs="Arial"/>
                <w:b w:val="0"/>
                <w:sz w:val="20"/>
                <w:szCs w:val="20"/>
                <w:lang w:val="es-ES_tradnl"/>
              </w:rPr>
              <w:t>ocales</w:t>
            </w:r>
            <w:r w:rsidRPr="00A9234B">
              <w:rPr>
                <w:rFonts w:asciiTheme="majorHAnsi" w:hAnsiTheme="majorHAnsi" w:cs="Arial"/>
                <w:b w:val="0"/>
                <w:sz w:val="20"/>
                <w:szCs w:val="20"/>
                <w:lang w:val="es-ES_tradnl"/>
              </w:rPr>
              <w:t xml:space="preserve">; los informes correspondientes aportan un recurso enriquecedor de posibles casos de estudio relativos a la aplicación de la Convención, y a </w:t>
            </w:r>
            <w:r w:rsidR="00577449" w:rsidRPr="00A9234B">
              <w:rPr>
                <w:rFonts w:asciiTheme="majorHAnsi" w:hAnsiTheme="majorHAnsi" w:cs="Arial"/>
                <w:b w:val="0"/>
                <w:sz w:val="20"/>
                <w:szCs w:val="20"/>
                <w:lang w:val="es-ES_tradnl"/>
              </w:rPr>
              <w:t>los retos y aciertos logrados para</w:t>
            </w:r>
            <w:r w:rsidRPr="00A9234B">
              <w:rPr>
                <w:rFonts w:asciiTheme="majorHAnsi" w:hAnsiTheme="majorHAnsi" w:cs="Arial"/>
                <w:b w:val="0"/>
                <w:sz w:val="20"/>
                <w:szCs w:val="20"/>
                <w:lang w:val="es-ES_tradnl"/>
              </w:rPr>
              <w:t xml:space="preserve"> alcanzar un equilibrio entre la conservación de los humedales y el desarrollo. Se pedirá a los </w:t>
            </w:r>
            <w:r w:rsidR="00577449" w:rsidRPr="00A9234B">
              <w:rPr>
                <w:rFonts w:asciiTheme="majorHAnsi" w:hAnsiTheme="majorHAnsi" w:cs="Arial"/>
                <w:b w:val="0"/>
                <w:sz w:val="20"/>
                <w:szCs w:val="20"/>
                <w:lang w:val="es-ES_tradnl"/>
              </w:rPr>
              <w:t>Coordinadores Nacionales del GEC</w:t>
            </w:r>
            <w:r w:rsidRPr="00A9234B">
              <w:rPr>
                <w:rFonts w:asciiTheme="majorHAnsi" w:hAnsiTheme="majorHAnsi" w:cs="Arial"/>
                <w:b w:val="0"/>
                <w:sz w:val="20"/>
                <w:szCs w:val="20"/>
                <w:lang w:val="es-ES_tradnl"/>
              </w:rPr>
              <w:t xml:space="preserve">T que aporten retroalimentación y asistencia en este proceso de examen. </w:t>
            </w:r>
          </w:p>
          <w:p w14:paraId="6E0D2715" w14:textId="77777777" w:rsidR="00360FBC" w:rsidRPr="00A9234B" w:rsidRDefault="00360FBC" w:rsidP="005C68E2">
            <w:pPr>
              <w:rPr>
                <w:rFonts w:asciiTheme="majorHAnsi" w:hAnsiTheme="majorHAnsi" w:cs="Arial"/>
                <w:b w:val="0"/>
                <w:sz w:val="20"/>
                <w:szCs w:val="20"/>
                <w:lang w:val="es-ES_tradnl"/>
              </w:rPr>
            </w:pPr>
          </w:p>
          <w:p w14:paraId="09A133D6"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w:t>
            </w:r>
          </w:p>
          <w:p w14:paraId="084E5F1B" w14:textId="7C1B481E"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1) Un </w:t>
            </w:r>
            <w:r w:rsidR="00CC3A91" w:rsidRPr="00A9234B">
              <w:rPr>
                <w:rFonts w:asciiTheme="majorHAnsi" w:hAnsiTheme="majorHAnsi" w:cs="Arial"/>
                <w:b w:val="0"/>
                <w:sz w:val="20"/>
                <w:szCs w:val="20"/>
                <w:lang w:val="es-ES_tradnl"/>
              </w:rPr>
              <w:t>análisis</w:t>
            </w:r>
            <w:r w:rsidRPr="00A9234B">
              <w:rPr>
                <w:rFonts w:asciiTheme="majorHAnsi" w:hAnsiTheme="majorHAnsi" w:cs="Arial"/>
                <w:b w:val="0"/>
                <w:sz w:val="20"/>
                <w:szCs w:val="20"/>
                <w:lang w:val="es-ES_tradnl"/>
              </w:rPr>
              <w:t xml:space="preserve"> exhaustivo que se publicaría en la página correspondiente de las MRA del sitio web de Ramsar </w:t>
            </w:r>
          </w:p>
          <w:p w14:paraId="41A3316D" w14:textId="77777777" w:rsidR="00360FBC" w:rsidRPr="00A9234B" w:rsidRDefault="00360FBC" w:rsidP="005C68E2">
            <w:pPr>
              <w:rPr>
                <w:rFonts w:asciiTheme="majorHAnsi" w:hAnsiTheme="majorHAnsi" w:cs="Arial"/>
                <w:b w:val="0"/>
                <w:sz w:val="20"/>
                <w:szCs w:val="20"/>
                <w:lang w:val="es-ES_tradnl"/>
              </w:rPr>
            </w:pPr>
          </w:p>
          <w:p w14:paraId="2CABF94B" w14:textId="06470091"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2) El con</w:t>
            </w:r>
            <w:r w:rsidR="00577449" w:rsidRPr="00A9234B">
              <w:rPr>
                <w:rFonts w:asciiTheme="majorHAnsi" w:hAnsiTheme="majorHAnsi" w:cs="Arial"/>
                <w:b w:val="0"/>
                <w:sz w:val="20"/>
                <w:szCs w:val="20"/>
                <w:lang w:val="es-ES_tradnl"/>
              </w:rPr>
              <w:t>tenido del análisis se resumirá</w:t>
            </w:r>
            <w:r w:rsidRPr="00A9234B">
              <w:rPr>
                <w:rFonts w:asciiTheme="majorHAnsi" w:hAnsiTheme="majorHAnsi" w:cs="Arial"/>
                <w:b w:val="0"/>
                <w:sz w:val="20"/>
                <w:szCs w:val="20"/>
                <w:lang w:val="es-ES_tradnl"/>
              </w:rPr>
              <w:t xml:space="preserve"> en una Nota sobre políticas (que facilite la comprensión y la</w:t>
            </w:r>
            <w:r w:rsidR="00577449" w:rsidRPr="00A9234B">
              <w:rPr>
                <w:rFonts w:asciiTheme="majorHAnsi" w:hAnsiTheme="majorHAnsi" w:cs="Arial"/>
                <w:b w:val="0"/>
                <w:sz w:val="20"/>
                <w:szCs w:val="20"/>
                <w:lang w:val="es-ES_tradnl"/>
              </w:rPr>
              <w:t xml:space="preserve"> utilización del concepto de MRA y destaque el valor de las MRA</w:t>
            </w:r>
            <w:r w:rsidRPr="00A9234B">
              <w:rPr>
                <w:rFonts w:asciiTheme="majorHAnsi" w:hAnsiTheme="majorHAnsi" w:cs="Arial"/>
                <w:b w:val="0"/>
                <w:sz w:val="20"/>
                <w:szCs w:val="20"/>
                <w:lang w:val="es-ES_tradnl"/>
              </w:rPr>
              <w:t xml:space="preserve"> para los responsables de políticas, así como la experiencia que aportan) </w:t>
            </w:r>
          </w:p>
          <w:p w14:paraId="5C876BCA" w14:textId="77777777" w:rsidR="00360FBC" w:rsidRPr="00A9234B" w:rsidRDefault="00360FBC" w:rsidP="005C68E2">
            <w:pPr>
              <w:rPr>
                <w:rFonts w:asciiTheme="majorHAnsi" w:hAnsiTheme="majorHAnsi" w:cs="Arial"/>
                <w:b w:val="0"/>
                <w:sz w:val="20"/>
                <w:szCs w:val="20"/>
                <w:lang w:val="es-ES_tradnl"/>
              </w:rPr>
            </w:pPr>
          </w:p>
          <w:p w14:paraId="523F1167" w14:textId="6CED7CD6"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3) Una Nota informativa (que facilite la comprensión y utilización del proceso de la</w:t>
            </w:r>
            <w:r w:rsidR="00577449" w:rsidRPr="00A9234B">
              <w:rPr>
                <w:rFonts w:asciiTheme="majorHAnsi" w:hAnsiTheme="majorHAnsi" w:cs="Arial"/>
                <w:b w:val="0"/>
                <w:sz w:val="20"/>
                <w:szCs w:val="20"/>
                <w:lang w:val="es-ES_tradnl"/>
              </w:rPr>
              <w:t>s</w:t>
            </w:r>
            <w:r w:rsidRPr="00A9234B">
              <w:rPr>
                <w:rFonts w:asciiTheme="majorHAnsi" w:hAnsiTheme="majorHAnsi" w:cs="Arial"/>
                <w:b w:val="0"/>
                <w:sz w:val="20"/>
                <w:szCs w:val="20"/>
                <w:lang w:val="es-ES_tradnl"/>
              </w:rPr>
              <w:t xml:space="preserve"> MRA para los administradores de sitios Ramsar) que destaque casos de estudio seleccionados, y </w:t>
            </w:r>
          </w:p>
          <w:p w14:paraId="588B8145" w14:textId="77777777" w:rsidR="00360FBC" w:rsidRPr="00A9234B" w:rsidRDefault="00360FBC" w:rsidP="005C68E2">
            <w:pPr>
              <w:rPr>
                <w:rFonts w:asciiTheme="majorHAnsi" w:hAnsiTheme="majorHAnsi" w:cs="Arial"/>
                <w:b w:val="0"/>
                <w:sz w:val="20"/>
                <w:szCs w:val="20"/>
                <w:lang w:val="es-ES_tradnl"/>
              </w:rPr>
            </w:pPr>
          </w:p>
          <w:p w14:paraId="7AEB20A2"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4) También se pueden organizar seminarios web para llegar a un público más amplio </w:t>
            </w:r>
          </w:p>
          <w:p w14:paraId="294FEEA0" w14:textId="77777777" w:rsidR="00360FBC" w:rsidRPr="00A9234B" w:rsidRDefault="00360FBC" w:rsidP="005C68E2">
            <w:pPr>
              <w:rPr>
                <w:rFonts w:asciiTheme="majorHAnsi" w:hAnsiTheme="majorHAnsi" w:cs="Arial"/>
                <w:b w:val="0"/>
                <w:sz w:val="20"/>
                <w:szCs w:val="20"/>
                <w:lang w:val="es-ES_tradnl"/>
              </w:rPr>
            </w:pPr>
          </w:p>
          <w:p w14:paraId="7A8228B1" w14:textId="73ED38F3" w:rsidR="00360FBC" w:rsidRPr="00A9234B" w:rsidRDefault="00360FBC" w:rsidP="00577449">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xml:space="preserve">: Responsables de políticas </w:t>
            </w:r>
            <w:r w:rsidR="00577449" w:rsidRPr="00A9234B">
              <w:rPr>
                <w:rFonts w:asciiTheme="majorHAnsi" w:hAnsiTheme="majorHAnsi" w:cs="Arial"/>
                <w:b w:val="0"/>
                <w:sz w:val="20"/>
                <w:szCs w:val="20"/>
                <w:lang w:val="es-ES_tradnl"/>
              </w:rPr>
              <w:t xml:space="preserve">y </w:t>
            </w:r>
            <w:r w:rsidRPr="00A9234B">
              <w:rPr>
                <w:rFonts w:asciiTheme="majorHAnsi" w:hAnsiTheme="majorHAnsi" w:cs="Arial"/>
                <w:b w:val="0"/>
                <w:sz w:val="20"/>
                <w:szCs w:val="20"/>
                <w:lang w:val="es-ES_tradnl"/>
              </w:rPr>
              <w:t>profesionales (</w:t>
            </w:r>
            <w:r w:rsidR="00577449" w:rsidRPr="00A9234B">
              <w:rPr>
                <w:rFonts w:asciiTheme="majorHAnsi" w:hAnsiTheme="majorHAnsi" w:cs="Arial"/>
                <w:b w:val="0"/>
                <w:sz w:val="20"/>
                <w:szCs w:val="20"/>
                <w:lang w:val="es-ES_tradnl"/>
              </w:rPr>
              <w:t>administradores de humedales</w:t>
            </w:r>
            <w:r w:rsidRPr="00A9234B">
              <w:rPr>
                <w:rFonts w:asciiTheme="majorHAnsi" w:hAnsiTheme="majorHAnsi" w:cs="Arial"/>
                <w:b w:val="0"/>
                <w:sz w:val="20"/>
                <w:szCs w:val="20"/>
                <w:lang w:val="es-ES_tradnl"/>
              </w:rPr>
              <w:t xml:space="preserve">). Se debe tener en cuenta que los productos pueden servir para movilizar recursos para MRA adicionales </w:t>
            </w:r>
          </w:p>
        </w:tc>
        <w:tc>
          <w:tcPr>
            <w:tcW w:w="491" w:type="pct"/>
          </w:tcPr>
          <w:p w14:paraId="6E6013D2" w14:textId="3437F3C3" w:rsidR="00360FBC" w:rsidRPr="00A9234B" w:rsidRDefault="00360FBC" w:rsidP="00577449">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Hasta 44.000</w:t>
            </w:r>
            <w:r w:rsidRPr="00A9234B" w:rsidDel="00362718">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w:t>
            </w:r>
            <w:r w:rsidR="00577449" w:rsidRPr="00A9234B">
              <w:rPr>
                <w:rFonts w:asciiTheme="majorHAnsi" w:hAnsiTheme="majorHAnsi" w:cs="Arial"/>
                <w:b w:val="0"/>
                <w:sz w:val="20"/>
                <w:szCs w:val="20"/>
                <w:lang w:val="es-ES_tradnl"/>
              </w:rPr>
              <w:t>De los cuales</w:t>
            </w:r>
            <w:r w:rsidRPr="00A9234B">
              <w:rPr>
                <w:rFonts w:asciiTheme="majorHAnsi" w:hAnsiTheme="majorHAnsi" w:cs="Arial"/>
                <w:b w:val="0"/>
                <w:sz w:val="20"/>
                <w:szCs w:val="20"/>
                <w:lang w:val="es-ES_tradnl"/>
              </w:rPr>
              <w:t xml:space="preserve"> WWF </w:t>
            </w:r>
            <w:r w:rsidR="00577449" w:rsidRPr="00A9234B">
              <w:rPr>
                <w:rFonts w:asciiTheme="majorHAnsi" w:hAnsiTheme="majorHAnsi" w:cs="Arial"/>
                <w:b w:val="0"/>
                <w:sz w:val="20"/>
                <w:szCs w:val="20"/>
                <w:lang w:val="es-ES_tradnl"/>
              </w:rPr>
              <w:t xml:space="preserve">aportaría </w:t>
            </w:r>
            <w:r w:rsidRPr="00A9234B">
              <w:rPr>
                <w:rFonts w:asciiTheme="majorHAnsi" w:hAnsiTheme="majorHAnsi" w:cs="Arial"/>
                <w:b w:val="0"/>
                <w:sz w:val="20"/>
                <w:szCs w:val="20"/>
                <w:lang w:val="es-ES_tradnl"/>
              </w:rPr>
              <w:t xml:space="preserve">22.000 </w:t>
            </w:r>
            <w:r w:rsidR="00577449" w:rsidRPr="00A9234B">
              <w:rPr>
                <w:rFonts w:asciiTheme="majorHAnsi" w:hAnsiTheme="majorHAnsi" w:cs="Arial"/>
                <w:b w:val="0"/>
                <w:sz w:val="20"/>
                <w:szCs w:val="20"/>
                <w:lang w:val="es-ES_tradnl"/>
              </w:rPr>
              <w:t xml:space="preserve">para </w:t>
            </w:r>
            <w:r w:rsidR="00CC3A91" w:rsidRPr="00A9234B">
              <w:rPr>
                <w:rFonts w:asciiTheme="majorHAnsi" w:hAnsiTheme="majorHAnsi" w:cs="Arial"/>
                <w:b w:val="0"/>
                <w:sz w:val="20"/>
                <w:szCs w:val="20"/>
                <w:lang w:val="es-ES_tradnl"/>
              </w:rPr>
              <w:t>cubrir</w:t>
            </w:r>
            <w:r w:rsidR="000D06BD" w:rsidRPr="00A9234B">
              <w:rPr>
                <w:rFonts w:asciiTheme="majorHAnsi" w:hAnsiTheme="majorHAnsi" w:cs="Arial"/>
                <w:b w:val="0"/>
                <w:sz w:val="20"/>
                <w:szCs w:val="20"/>
                <w:lang w:val="es-ES_tradnl"/>
              </w:rPr>
              <w:t xml:space="preserve"> los costos de consulto</w:t>
            </w:r>
            <w:r w:rsidR="00577449" w:rsidRPr="00A9234B">
              <w:rPr>
                <w:rFonts w:asciiTheme="majorHAnsi" w:hAnsiTheme="majorHAnsi" w:cs="Arial"/>
                <w:b w:val="0"/>
                <w:sz w:val="20"/>
                <w:szCs w:val="20"/>
                <w:lang w:val="es-ES_tradnl"/>
              </w:rPr>
              <w:t>ría para realizar el análisis exhaustivo</w:t>
            </w:r>
            <w:r w:rsidRPr="00A9234B">
              <w:rPr>
                <w:rFonts w:asciiTheme="majorHAnsi" w:hAnsiTheme="majorHAnsi" w:cs="Arial"/>
                <w:b w:val="0"/>
                <w:sz w:val="20"/>
                <w:szCs w:val="20"/>
                <w:lang w:val="es-ES_tradnl"/>
              </w:rPr>
              <w:t xml:space="preserve">; 9.000 </w:t>
            </w:r>
            <w:r w:rsidR="00577449" w:rsidRPr="00A9234B">
              <w:rPr>
                <w:rFonts w:asciiTheme="majorHAnsi" w:hAnsiTheme="majorHAnsi" w:cs="Arial"/>
                <w:b w:val="0"/>
                <w:sz w:val="20"/>
                <w:szCs w:val="20"/>
                <w:lang w:val="es-ES_tradnl"/>
              </w:rPr>
              <w:t xml:space="preserve">de los fondos del GECT para una Nota sobre políticas, y </w:t>
            </w:r>
            <w:r w:rsidR="00577449" w:rsidRPr="00A9234B">
              <w:rPr>
                <w:rFonts w:asciiTheme="majorHAnsi" w:hAnsiTheme="majorHAnsi" w:cs="Arial"/>
                <w:b w:val="0"/>
                <w:sz w:val="20"/>
                <w:szCs w:val="20"/>
                <w:lang w:val="es-ES_tradnl"/>
              </w:rPr>
              <w:lastRenderedPageBreak/>
              <w:t>1</w:t>
            </w:r>
            <w:r w:rsidRPr="00A9234B">
              <w:rPr>
                <w:rFonts w:asciiTheme="majorHAnsi" w:hAnsiTheme="majorHAnsi" w:cs="Arial"/>
                <w:b w:val="0"/>
                <w:sz w:val="20"/>
                <w:szCs w:val="20"/>
                <w:lang w:val="es-ES_tradnl"/>
              </w:rPr>
              <w:t xml:space="preserve">3.000 </w:t>
            </w:r>
            <w:r w:rsidR="00577449" w:rsidRPr="00A9234B">
              <w:rPr>
                <w:rFonts w:asciiTheme="majorHAnsi" w:hAnsiTheme="majorHAnsi" w:cs="Arial"/>
                <w:b w:val="0"/>
                <w:sz w:val="20"/>
                <w:szCs w:val="20"/>
                <w:lang w:val="es-ES_tradnl"/>
              </w:rPr>
              <w:t>para una Nota Informativa</w:t>
            </w:r>
            <w:r w:rsidRPr="00A9234B">
              <w:rPr>
                <w:rFonts w:asciiTheme="majorHAnsi" w:hAnsiTheme="majorHAnsi" w:cs="Arial"/>
                <w:b w:val="0"/>
                <w:sz w:val="20"/>
                <w:szCs w:val="20"/>
                <w:lang w:val="es-ES_tradnl"/>
              </w:rPr>
              <w:t xml:space="preserve">. </w:t>
            </w:r>
            <w:r w:rsidR="00577449" w:rsidRPr="00A9234B">
              <w:rPr>
                <w:rFonts w:asciiTheme="majorHAnsi" w:hAnsiTheme="majorHAnsi" w:cs="Arial"/>
                <w:b w:val="0"/>
                <w:sz w:val="20"/>
                <w:szCs w:val="20"/>
                <w:lang w:val="es-ES_tradnl"/>
              </w:rPr>
              <w:t>Se señala que la producción de los seminarios web no supone costo alguno para el GECT, ya que la Secretaría dispone del software necesario</w:t>
            </w:r>
            <w:r w:rsidRPr="00A9234B">
              <w:rPr>
                <w:rFonts w:asciiTheme="majorHAnsi" w:hAnsiTheme="majorHAnsi" w:cs="Arial"/>
                <w:b w:val="0"/>
                <w:sz w:val="20"/>
                <w:szCs w:val="20"/>
                <w:lang w:val="es-ES_tradnl"/>
              </w:rPr>
              <w:t>]</w:t>
            </w:r>
          </w:p>
        </w:tc>
      </w:tr>
      <w:tr w:rsidR="00360FBC" w:rsidRPr="00504EB0" w14:paraId="38F06D48" w14:textId="77777777" w:rsidTr="00360FBC">
        <w:trPr>
          <w:cantSplit/>
        </w:trPr>
        <w:tc>
          <w:tcPr>
            <w:tcW w:w="540" w:type="pct"/>
          </w:tcPr>
          <w:p w14:paraId="56C14B36"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 xml:space="preserve">4.3 Desarrollo de la acuicultura y uso racional de los humedales </w:t>
            </w:r>
          </w:p>
        </w:tc>
        <w:tc>
          <w:tcPr>
            <w:tcW w:w="356" w:type="pct"/>
          </w:tcPr>
          <w:p w14:paraId="506F3E3E" w14:textId="77777777" w:rsidR="00360FBC" w:rsidRPr="00A9234B" w:rsidRDefault="00360FBC" w:rsidP="005C68E2">
            <w:pPr>
              <w:rPr>
                <w:rFonts w:asciiTheme="majorHAnsi" w:hAnsiTheme="majorHAnsi" w:cs="Arial"/>
                <w:b w:val="0"/>
                <w:sz w:val="20"/>
                <w:szCs w:val="20"/>
                <w:lang w:val="es-ES_tradnl"/>
              </w:rPr>
            </w:pPr>
          </w:p>
        </w:tc>
        <w:tc>
          <w:tcPr>
            <w:tcW w:w="279" w:type="pct"/>
          </w:tcPr>
          <w:p w14:paraId="56B3B261" w14:textId="3F263F2D" w:rsidR="00360FBC" w:rsidRPr="00A9234B" w:rsidRDefault="00360FBC" w:rsidP="00577449">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XII.5, An</w:t>
            </w:r>
            <w:r w:rsidR="00577449" w:rsidRPr="00A9234B">
              <w:rPr>
                <w:rFonts w:asciiTheme="majorHAnsi" w:hAnsiTheme="majorHAnsi" w:cs="Arial"/>
                <w:b w:val="0"/>
                <w:sz w:val="20"/>
                <w:szCs w:val="20"/>
                <w:lang w:val="es-ES_tradnl"/>
              </w:rPr>
              <w:t>exo</w:t>
            </w:r>
            <w:r w:rsidRPr="00A9234B">
              <w:rPr>
                <w:rFonts w:asciiTheme="majorHAnsi" w:hAnsiTheme="majorHAnsi" w:cs="Arial"/>
                <w:b w:val="0"/>
                <w:sz w:val="20"/>
                <w:szCs w:val="20"/>
                <w:lang w:val="es-ES_tradnl"/>
              </w:rPr>
              <w:t xml:space="preserve"> 1, ¶¶ 1-2</w:t>
            </w:r>
          </w:p>
        </w:tc>
        <w:tc>
          <w:tcPr>
            <w:tcW w:w="407" w:type="pct"/>
          </w:tcPr>
          <w:p w14:paraId="46CF159E" w14:textId="77777777"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1.1, 1.2, 1.3, 1.4; 2.5, 2.7; 3.8, 3.9, 3.11, 3.12, 3.13; 4.14 </w:t>
            </w:r>
          </w:p>
        </w:tc>
        <w:tc>
          <w:tcPr>
            <w:tcW w:w="2927" w:type="pct"/>
          </w:tcPr>
          <w:p w14:paraId="117D3B33" w14:textId="08D0B63C"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w:t>
            </w:r>
            <w:r w:rsidRPr="00A9234B">
              <w:rPr>
                <w:rFonts w:asciiTheme="majorHAnsi" w:hAnsiTheme="majorHAnsi" w:cs="Arial"/>
                <w:b w:val="0"/>
                <w:sz w:val="20"/>
                <w:szCs w:val="20"/>
                <w:u w:val="single"/>
                <w:lang w:val="es-ES_tradnl"/>
              </w:rPr>
              <w:t xml:space="preserve"> </w:t>
            </w:r>
            <w:r w:rsidR="00424B22" w:rsidRPr="00A9234B">
              <w:rPr>
                <w:rFonts w:asciiTheme="majorHAnsi" w:hAnsiTheme="majorHAnsi" w:cs="Arial"/>
                <w:b w:val="0"/>
                <w:sz w:val="20"/>
                <w:szCs w:val="20"/>
                <w:lang w:val="es-ES_tradnl"/>
              </w:rPr>
              <w:t>Vincular</w:t>
            </w:r>
            <w:r w:rsidRPr="00A9234B">
              <w:rPr>
                <w:rFonts w:asciiTheme="majorHAnsi" w:hAnsiTheme="majorHAnsi" w:cs="Arial"/>
                <w:b w:val="0"/>
                <w:sz w:val="20"/>
                <w:szCs w:val="20"/>
                <w:lang w:val="es-ES_tradnl"/>
              </w:rPr>
              <w:t xml:space="preserve"> los ti</w:t>
            </w:r>
            <w:r w:rsidR="004438E7" w:rsidRPr="00A9234B">
              <w:rPr>
                <w:rFonts w:asciiTheme="majorHAnsi" w:hAnsiTheme="majorHAnsi" w:cs="Arial"/>
                <w:b w:val="0"/>
                <w:sz w:val="20"/>
                <w:szCs w:val="20"/>
                <w:lang w:val="es-ES_tradnl"/>
              </w:rPr>
              <w:t>p</w:t>
            </w:r>
            <w:r w:rsidRPr="00A9234B">
              <w:rPr>
                <w:rFonts w:asciiTheme="majorHAnsi" w:hAnsiTheme="majorHAnsi" w:cs="Arial"/>
                <w:b w:val="0"/>
                <w:sz w:val="20"/>
                <w:szCs w:val="20"/>
                <w:lang w:val="es-ES_tradnl"/>
              </w:rPr>
              <w:t>os principales de sistemas de producción acuícola mundiales al sistema de clasificación de humedales de Ramsar</w:t>
            </w:r>
            <w:r w:rsidR="004438E7"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 en el contexto del marco de gobernanza interactiva.</w:t>
            </w:r>
            <w:r w:rsidR="004438E7" w:rsidRPr="00A9234B">
              <w:rPr>
                <w:rFonts w:asciiTheme="majorHAnsi" w:hAnsiTheme="majorHAnsi" w:cs="Arial"/>
                <w:b w:val="0"/>
                <w:sz w:val="20"/>
                <w:szCs w:val="20"/>
                <w:lang w:val="es-ES_tradnl"/>
              </w:rPr>
              <w:t xml:space="preserve"> </w:t>
            </w:r>
            <w:r w:rsidRPr="00A9234B">
              <w:rPr>
                <w:rFonts w:asciiTheme="majorHAnsi" w:hAnsiTheme="majorHAnsi" w:cs="Arial"/>
                <w:b w:val="0"/>
                <w:sz w:val="20"/>
                <w:szCs w:val="20"/>
                <w:lang w:val="es-ES_tradnl"/>
              </w:rPr>
              <w:t>Este</w:t>
            </w:r>
            <w:r w:rsidR="004438E7" w:rsidRPr="00A9234B">
              <w:rPr>
                <w:rFonts w:asciiTheme="majorHAnsi" w:hAnsiTheme="majorHAnsi" w:cs="Arial"/>
                <w:b w:val="0"/>
                <w:sz w:val="20"/>
                <w:szCs w:val="20"/>
                <w:lang w:val="es-ES_tradnl"/>
              </w:rPr>
              <w:t xml:space="preserve"> producto servirá para</w:t>
            </w:r>
            <w:r w:rsidRPr="00A9234B">
              <w:rPr>
                <w:rFonts w:asciiTheme="majorHAnsi" w:hAnsiTheme="majorHAnsi" w:cs="Arial"/>
                <w:b w:val="0"/>
                <w:sz w:val="20"/>
                <w:szCs w:val="20"/>
                <w:lang w:val="es-ES_tradnl"/>
              </w:rPr>
              <w:t xml:space="preserve"> informar a los responsables de políticas en los sectores de conservación, acuicultura y financiero sobre los impactos medioambientales y sociales de la acuicultura. La Nota sobre políticas informará de los riesgos de la acuicultura y su potencial para contribuir a la seguridad alimentaria, uso racional de los humedales y el desarrollo sostenible y equitativo. </w:t>
            </w:r>
          </w:p>
          <w:p w14:paraId="0C54BD1E" w14:textId="77777777" w:rsidR="00360FBC" w:rsidRPr="00A9234B" w:rsidRDefault="00360FBC" w:rsidP="005C68E2">
            <w:pPr>
              <w:rPr>
                <w:rFonts w:asciiTheme="majorHAnsi" w:hAnsiTheme="majorHAnsi" w:cs="Arial"/>
                <w:b w:val="0"/>
                <w:sz w:val="20"/>
                <w:szCs w:val="20"/>
                <w:lang w:val="es-ES_tradnl"/>
              </w:rPr>
            </w:pPr>
          </w:p>
          <w:p w14:paraId="29E7D41C" w14:textId="5ACB9E9E"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Nota sobre políticas relativa a</w:t>
            </w:r>
            <w:r w:rsidR="004438E7" w:rsidRPr="00A9234B">
              <w:rPr>
                <w:rFonts w:asciiTheme="majorHAnsi" w:hAnsiTheme="majorHAnsi" w:cs="Arial"/>
                <w:b w:val="0"/>
                <w:sz w:val="20"/>
                <w:szCs w:val="20"/>
                <w:lang w:val="es-ES_tradnl"/>
              </w:rPr>
              <w:t xml:space="preserve">l desarrollo de la acuicultura </w:t>
            </w:r>
            <w:r w:rsidRPr="00A9234B">
              <w:rPr>
                <w:rFonts w:asciiTheme="majorHAnsi" w:hAnsiTheme="majorHAnsi" w:cs="Arial"/>
                <w:b w:val="0"/>
                <w:sz w:val="20"/>
                <w:szCs w:val="20"/>
                <w:lang w:val="es-ES_tradnl"/>
              </w:rPr>
              <w:t xml:space="preserve">y </w:t>
            </w:r>
            <w:r w:rsidR="004438E7" w:rsidRPr="00A9234B">
              <w:rPr>
                <w:rFonts w:asciiTheme="majorHAnsi" w:hAnsiTheme="majorHAnsi" w:cs="Arial"/>
                <w:b w:val="0"/>
                <w:sz w:val="20"/>
                <w:szCs w:val="20"/>
                <w:lang w:val="es-ES_tradnl"/>
              </w:rPr>
              <w:t xml:space="preserve">el </w:t>
            </w:r>
            <w:r w:rsidRPr="00A9234B">
              <w:rPr>
                <w:rFonts w:asciiTheme="majorHAnsi" w:hAnsiTheme="majorHAnsi" w:cs="Arial"/>
                <w:b w:val="0"/>
                <w:sz w:val="20"/>
                <w:szCs w:val="20"/>
                <w:lang w:val="es-ES_tradnl"/>
              </w:rPr>
              <w:t xml:space="preserve">uso racional de los humedales </w:t>
            </w:r>
          </w:p>
          <w:p w14:paraId="3DC0F018" w14:textId="77777777" w:rsidR="00360FBC" w:rsidRPr="00A9234B" w:rsidRDefault="00360FBC" w:rsidP="005C68E2">
            <w:pPr>
              <w:rPr>
                <w:rFonts w:asciiTheme="majorHAnsi" w:hAnsiTheme="majorHAnsi" w:cs="Arial"/>
                <w:b w:val="0"/>
                <w:sz w:val="20"/>
                <w:szCs w:val="20"/>
                <w:lang w:val="es-ES_tradnl"/>
              </w:rPr>
            </w:pPr>
          </w:p>
          <w:p w14:paraId="2DC78BDB" w14:textId="1D502939" w:rsidR="00360FBC" w:rsidRPr="00A9234B" w:rsidRDefault="00360FBC" w:rsidP="005C68E2">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xml:space="preserve">: Responsables de políticas en las comunidades de la conservación y de la acuicultura </w:t>
            </w:r>
          </w:p>
        </w:tc>
        <w:tc>
          <w:tcPr>
            <w:tcW w:w="491" w:type="pct"/>
          </w:tcPr>
          <w:p w14:paraId="5B4D20CE" w14:textId="2A06319B" w:rsidR="00360FBC" w:rsidRPr="00A9234B" w:rsidRDefault="00360FBC" w:rsidP="00EB7788">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9.000 [posibilidad de celebrar un </w:t>
            </w:r>
            <w:r w:rsidR="004438E7" w:rsidRPr="00A9234B">
              <w:rPr>
                <w:rFonts w:asciiTheme="majorHAnsi" w:hAnsiTheme="majorHAnsi" w:cs="Arial"/>
                <w:b w:val="0"/>
                <w:sz w:val="20"/>
                <w:szCs w:val="20"/>
                <w:lang w:val="es-ES_tradnl"/>
              </w:rPr>
              <w:t xml:space="preserve">pequeño taller de </w:t>
            </w:r>
            <w:r w:rsidR="00EB7788" w:rsidRPr="00A9234B">
              <w:rPr>
                <w:rFonts w:asciiTheme="majorHAnsi" w:hAnsiTheme="majorHAnsi" w:cs="Arial"/>
                <w:b w:val="0"/>
                <w:sz w:val="20"/>
                <w:szCs w:val="20"/>
                <w:lang w:val="es-ES_tradnl"/>
              </w:rPr>
              <w:t>redacción, vinculado al EHMS o a otras reuniones</w:t>
            </w:r>
            <w:r w:rsidRPr="00A9234B">
              <w:rPr>
                <w:rFonts w:asciiTheme="majorHAnsi" w:hAnsiTheme="majorHAnsi" w:cs="Arial"/>
                <w:b w:val="0"/>
                <w:sz w:val="20"/>
                <w:szCs w:val="20"/>
                <w:lang w:val="es-ES_tradnl"/>
              </w:rPr>
              <w:t>]</w:t>
            </w:r>
          </w:p>
        </w:tc>
      </w:tr>
    </w:tbl>
    <w:p w14:paraId="697614D1" w14:textId="77777777" w:rsidR="00EF4061" w:rsidRPr="00A9234B" w:rsidRDefault="00EF4061" w:rsidP="00EF4061">
      <w:pPr>
        <w:rPr>
          <w:rFonts w:asciiTheme="majorHAnsi" w:hAnsiTheme="majorHAnsi" w:cs="Arial"/>
          <w:sz w:val="20"/>
          <w:szCs w:val="20"/>
          <w:lang w:val="es-ES_tradnl"/>
        </w:rPr>
      </w:pPr>
    </w:p>
    <w:tbl>
      <w:tblPr>
        <w:tblStyle w:val="TableGrid"/>
        <w:tblpPr w:leftFromText="180" w:rightFromText="180" w:vertAnchor="text" w:horzAnchor="margin" w:tblpY="-37"/>
        <w:tblW w:w="5000" w:type="pct"/>
        <w:tblLook w:val="04A0" w:firstRow="1" w:lastRow="0" w:firstColumn="1" w:lastColumn="0" w:noHBand="0" w:noVBand="1"/>
      </w:tblPr>
      <w:tblGrid>
        <w:gridCol w:w="14174"/>
      </w:tblGrid>
      <w:tr w:rsidR="00EF4061" w:rsidRPr="00504EB0" w14:paraId="706D5439" w14:textId="77777777" w:rsidTr="00EF4061">
        <w:trPr>
          <w:cantSplit/>
        </w:trPr>
        <w:tc>
          <w:tcPr>
            <w:tcW w:w="5000" w:type="pct"/>
            <w:shd w:val="clear" w:color="auto" w:fill="000000" w:themeFill="text1"/>
          </w:tcPr>
          <w:p w14:paraId="720978D4" w14:textId="59D8EAE0" w:rsidR="00EF4061" w:rsidRPr="00504EB0" w:rsidRDefault="00E96BD0" w:rsidP="00504EB0">
            <w:pPr>
              <w:pStyle w:val="Heading1"/>
              <w:spacing w:before="0"/>
              <w:outlineLvl w:val="0"/>
              <w:rPr>
                <w:rFonts w:asciiTheme="majorHAnsi" w:hAnsiTheme="majorHAnsi"/>
                <w:b/>
                <w:color w:val="FFFFFF" w:themeColor="background1"/>
                <w:sz w:val="20"/>
                <w:szCs w:val="20"/>
              </w:rPr>
            </w:pPr>
            <w:bookmarkStart w:id="6" w:name="_Toc455997520"/>
            <w:r w:rsidRPr="00504EB0">
              <w:rPr>
                <w:rFonts w:asciiTheme="majorHAnsi" w:hAnsiTheme="majorHAnsi"/>
                <w:b/>
                <w:color w:val="FFFFFF" w:themeColor="background1"/>
                <w:sz w:val="20"/>
                <w:szCs w:val="20"/>
              </w:rPr>
              <w:t>Área Temática de Trabajo Nº 5</w:t>
            </w:r>
            <w:r w:rsidR="00EF4061" w:rsidRPr="00504EB0">
              <w:rPr>
                <w:rFonts w:asciiTheme="majorHAnsi" w:hAnsiTheme="majorHAnsi"/>
                <w:b/>
                <w:color w:val="FFFFFF" w:themeColor="background1"/>
                <w:sz w:val="20"/>
                <w:szCs w:val="20"/>
              </w:rPr>
              <w:t xml:space="preserve">: </w:t>
            </w:r>
            <w:r w:rsidR="00DE6F79" w:rsidRPr="00504EB0">
              <w:rPr>
                <w:rFonts w:asciiTheme="majorHAnsi" w:hAnsiTheme="majorHAnsi"/>
                <w:b/>
                <w:color w:val="FFFFFF" w:themeColor="background1"/>
                <w:sz w:val="20"/>
                <w:szCs w:val="20"/>
              </w:rPr>
              <w:t>C</w:t>
            </w:r>
            <w:r w:rsidR="00760CBD" w:rsidRPr="00504EB0">
              <w:rPr>
                <w:rFonts w:asciiTheme="majorHAnsi" w:hAnsiTheme="majorHAnsi"/>
                <w:b/>
                <w:color w:val="FFFFFF" w:themeColor="background1"/>
                <w:sz w:val="20"/>
                <w:szCs w:val="20"/>
              </w:rPr>
              <w:t xml:space="preserve">ambio climático y </w:t>
            </w:r>
            <w:r w:rsidR="004438E7" w:rsidRPr="00504EB0">
              <w:rPr>
                <w:rFonts w:asciiTheme="majorHAnsi" w:hAnsiTheme="majorHAnsi"/>
                <w:b/>
                <w:color w:val="FFFFFF" w:themeColor="background1"/>
                <w:sz w:val="20"/>
                <w:szCs w:val="20"/>
              </w:rPr>
              <w:t>humedales</w:t>
            </w:r>
            <w:r w:rsidR="00EF4061" w:rsidRPr="00504EB0">
              <w:rPr>
                <w:rFonts w:asciiTheme="majorHAnsi" w:hAnsiTheme="majorHAnsi"/>
                <w:b/>
                <w:color w:val="FFFFFF" w:themeColor="background1"/>
                <w:sz w:val="20"/>
                <w:szCs w:val="20"/>
              </w:rPr>
              <w:t xml:space="preserve">: </w:t>
            </w:r>
            <w:r w:rsidR="00760CBD" w:rsidRPr="00504EB0">
              <w:rPr>
                <w:rFonts w:asciiTheme="majorHAnsi" w:hAnsiTheme="majorHAnsi"/>
                <w:b/>
                <w:color w:val="FFFFFF" w:themeColor="background1"/>
                <w:sz w:val="20"/>
                <w:szCs w:val="20"/>
              </w:rPr>
              <w:t xml:space="preserve">metodologías innovadoras para la restauración de </w:t>
            </w:r>
            <w:r w:rsidR="00DE6F79" w:rsidRPr="00504EB0">
              <w:rPr>
                <w:rFonts w:asciiTheme="majorHAnsi" w:hAnsiTheme="majorHAnsi"/>
                <w:b/>
                <w:color w:val="FFFFFF" w:themeColor="background1"/>
                <w:sz w:val="20"/>
                <w:szCs w:val="20"/>
              </w:rPr>
              <w:t xml:space="preserve">los </w:t>
            </w:r>
            <w:r w:rsidR="00760CBD" w:rsidRPr="00504EB0">
              <w:rPr>
                <w:rFonts w:asciiTheme="majorHAnsi" w:hAnsiTheme="majorHAnsi"/>
                <w:b/>
                <w:color w:val="FFFFFF" w:themeColor="background1"/>
                <w:sz w:val="20"/>
                <w:szCs w:val="20"/>
              </w:rPr>
              <w:t>humedales</w:t>
            </w:r>
            <w:bookmarkEnd w:id="6"/>
          </w:p>
        </w:tc>
      </w:tr>
    </w:tbl>
    <w:tbl>
      <w:tblPr>
        <w:tblStyle w:val="TableGrid2"/>
        <w:tblW w:w="5000" w:type="pct"/>
        <w:tblLook w:val="04A0" w:firstRow="1" w:lastRow="0" w:firstColumn="1" w:lastColumn="0" w:noHBand="0" w:noVBand="1"/>
      </w:tblPr>
      <w:tblGrid>
        <w:gridCol w:w="3561"/>
        <w:gridCol w:w="10613"/>
      </w:tblGrid>
      <w:tr w:rsidR="00EF4061" w:rsidRPr="00504EB0" w14:paraId="434CB73B" w14:textId="77777777" w:rsidTr="00FB3790">
        <w:tc>
          <w:tcPr>
            <w:tcW w:w="1256" w:type="pct"/>
          </w:tcPr>
          <w:p w14:paraId="4D4E52E8" w14:textId="2E34146F" w:rsidR="00EF4061" w:rsidRPr="00A9234B" w:rsidRDefault="000A7839" w:rsidP="00FB3790">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 xml:space="preserve">Responsable(s) del grupo de trabajo y </w:t>
            </w:r>
            <w:r w:rsidRPr="00A9234B">
              <w:rPr>
                <w:rFonts w:asciiTheme="majorHAnsi" w:eastAsia="Calibri" w:hAnsiTheme="majorHAnsi" w:cs="Arial"/>
                <w:sz w:val="20"/>
                <w:szCs w:val="20"/>
                <w:lang w:val="es-ES_tradnl"/>
              </w:rPr>
              <w:lastRenderedPageBreak/>
              <w:t xml:space="preserve">participantes: </w:t>
            </w:r>
          </w:p>
        </w:tc>
        <w:tc>
          <w:tcPr>
            <w:tcW w:w="3744" w:type="pct"/>
          </w:tcPr>
          <w:p w14:paraId="50CF7F1F" w14:textId="3035246B" w:rsidR="00EF4061" w:rsidRPr="00A9234B" w:rsidRDefault="00EF4061" w:rsidP="0037459B">
            <w:pPr>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lastRenderedPageBreak/>
              <w:t>Susana Aguilar, Peter Davies, Lars Dinesen,</w:t>
            </w:r>
            <w:r w:rsidR="0088725B" w:rsidRPr="00A9234B">
              <w:rPr>
                <w:rFonts w:asciiTheme="majorHAnsi" w:eastAsia="Calibri" w:hAnsiTheme="majorHAnsi" w:cs="Arial"/>
                <w:b w:val="0"/>
                <w:sz w:val="20"/>
                <w:szCs w:val="20"/>
                <w:lang w:val="es-ES_tradnl"/>
              </w:rPr>
              <w:t xml:space="preserve"> </w:t>
            </w:r>
            <w:r w:rsidRPr="00A9234B">
              <w:rPr>
                <w:rFonts w:asciiTheme="majorHAnsi" w:eastAsia="Calibri" w:hAnsiTheme="majorHAnsi" w:cs="Arial"/>
                <w:b w:val="0"/>
                <w:sz w:val="20"/>
                <w:szCs w:val="20"/>
                <w:lang w:val="es-ES_tradnl"/>
              </w:rPr>
              <w:t>Siobhan Fennessy (co</w:t>
            </w:r>
            <w:r w:rsidR="0037459B" w:rsidRPr="00A9234B">
              <w:rPr>
                <w:rFonts w:asciiTheme="majorHAnsi" w:eastAsia="Calibri" w:hAnsiTheme="majorHAnsi" w:cs="Arial"/>
                <w:b w:val="0"/>
                <w:sz w:val="20"/>
                <w:szCs w:val="20"/>
                <w:lang w:val="es-ES_tradnl"/>
              </w:rPr>
              <w:t>rresponsable</w:t>
            </w:r>
            <w:r w:rsidRPr="00A9234B">
              <w:rPr>
                <w:rFonts w:asciiTheme="majorHAnsi" w:eastAsia="Calibri" w:hAnsiTheme="majorHAnsi" w:cs="Arial"/>
                <w:b w:val="0"/>
                <w:sz w:val="20"/>
                <w:szCs w:val="20"/>
                <w:lang w:val="es-ES_tradnl"/>
              </w:rPr>
              <w:t>),</w:t>
            </w:r>
            <w:r w:rsidR="0088725B" w:rsidRPr="00A9234B">
              <w:rPr>
                <w:rFonts w:asciiTheme="majorHAnsi" w:eastAsia="Calibri" w:hAnsiTheme="majorHAnsi" w:cs="Arial"/>
                <w:b w:val="0"/>
                <w:sz w:val="20"/>
                <w:szCs w:val="20"/>
                <w:lang w:val="es-ES_tradnl"/>
              </w:rPr>
              <w:t xml:space="preserve"> </w:t>
            </w:r>
            <w:r w:rsidRPr="00A9234B">
              <w:rPr>
                <w:rFonts w:asciiTheme="majorHAnsi" w:eastAsia="Calibri" w:hAnsiTheme="majorHAnsi" w:cs="Arial"/>
                <w:b w:val="0"/>
                <w:sz w:val="20"/>
                <w:szCs w:val="20"/>
                <w:lang w:val="es-ES_tradnl"/>
              </w:rPr>
              <w:t xml:space="preserve">Max Finlayson, Vincent V. Hilomen, Jari </w:t>
            </w:r>
            <w:r w:rsidRPr="00A9234B">
              <w:rPr>
                <w:rFonts w:asciiTheme="majorHAnsi" w:eastAsia="Calibri" w:hAnsiTheme="majorHAnsi" w:cs="Arial"/>
                <w:b w:val="0"/>
                <w:sz w:val="20"/>
                <w:szCs w:val="20"/>
                <w:lang w:val="es-ES_tradnl"/>
              </w:rPr>
              <w:lastRenderedPageBreak/>
              <w:t>Ilmonen,</w:t>
            </w:r>
            <w:r w:rsidR="0088725B" w:rsidRPr="00A9234B">
              <w:rPr>
                <w:rFonts w:asciiTheme="majorHAnsi" w:eastAsia="Calibri" w:hAnsiTheme="majorHAnsi" w:cs="Arial"/>
                <w:b w:val="0"/>
                <w:sz w:val="20"/>
                <w:szCs w:val="20"/>
                <w:lang w:val="es-ES_tradnl"/>
              </w:rPr>
              <w:t xml:space="preserve"> </w:t>
            </w:r>
            <w:r w:rsidRPr="00A9234B">
              <w:rPr>
                <w:rFonts w:asciiTheme="majorHAnsi" w:eastAsia="Calibri" w:hAnsiTheme="majorHAnsi" w:cs="Arial"/>
                <w:b w:val="0"/>
                <w:sz w:val="20"/>
                <w:szCs w:val="20"/>
                <w:lang w:val="es-ES_tradnl"/>
              </w:rPr>
              <w:t>Dulce Infante Mata, Kassim Kulindwa, Ritesh Kumar,</w:t>
            </w:r>
            <w:r w:rsidR="0088725B" w:rsidRPr="00A9234B">
              <w:rPr>
                <w:rFonts w:asciiTheme="majorHAnsi" w:eastAsia="Calibri" w:hAnsiTheme="majorHAnsi" w:cs="Arial"/>
                <w:b w:val="0"/>
                <w:sz w:val="20"/>
                <w:szCs w:val="20"/>
                <w:lang w:val="es-ES_tradnl"/>
              </w:rPr>
              <w:t xml:space="preserve"> </w:t>
            </w:r>
            <w:r w:rsidRPr="00A9234B">
              <w:rPr>
                <w:rFonts w:asciiTheme="majorHAnsi" w:eastAsia="Calibri" w:hAnsiTheme="majorHAnsi" w:cs="Arial"/>
                <w:b w:val="0"/>
                <w:sz w:val="20"/>
                <w:szCs w:val="20"/>
                <w:lang w:val="es-ES_tradnl"/>
              </w:rPr>
              <w:t>Guangchun Lei (co</w:t>
            </w:r>
            <w:r w:rsidR="0037459B" w:rsidRPr="00A9234B">
              <w:rPr>
                <w:rFonts w:asciiTheme="majorHAnsi" w:eastAsia="Calibri" w:hAnsiTheme="majorHAnsi" w:cs="Arial"/>
                <w:b w:val="0"/>
                <w:sz w:val="20"/>
                <w:szCs w:val="20"/>
                <w:lang w:val="es-ES_tradnl"/>
              </w:rPr>
              <w:t>rresponsable</w:t>
            </w:r>
            <w:r w:rsidRPr="00A9234B">
              <w:rPr>
                <w:rFonts w:asciiTheme="majorHAnsi" w:eastAsia="Calibri" w:hAnsiTheme="majorHAnsi" w:cs="Arial"/>
                <w:b w:val="0"/>
                <w:sz w:val="20"/>
                <w:szCs w:val="20"/>
                <w:lang w:val="es-ES_tradnl"/>
              </w:rPr>
              <w:t>)</w:t>
            </w:r>
          </w:p>
        </w:tc>
      </w:tr>
      <w:tr w:rsidR="00EF4061" w:rsidRPr="00A9234B" w14:paraId="7ACF0F5C" w14:textId="77777777" w:rsidTr="00FB3790">
        <w:tc>
          <w:tcPr>
            <w:tcW w:w="1256" w:type="pct"/>
          </w:tcPr>
          <w:p w14:paraId="711E2CA5" w14:textId="137ADB9F" w:rsidR="00EF4061" w:rsidRPr="00A9234B" w:rsidRDefault="00760CBD" w:rsidP="00760CBD">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lastRenderedPageBreak/>
              <w:t xml:space="preserve">Persona de contacto en la </w:t>
            </w:r>
            <w:r w:rsidR="00EF4061" w:rsidRPr="00A9234B">
              <w:rPr>
                <w:rFonts w:asciiTheme="majorHAnsi" w:eastAsia="Calibri" w:hAnsiTheme="majorHAnsi" w:cs="Arial"/>
                <w:sz w:val="20"/>
                <w:szCs w:val="20"/>
                <w:lang w:val="es-ES_tradnl"/>
              </w:rPr>
              <w:t>Secretar</w:t>
            </w:r>
            <w:r w:rsidRPr="00A9234B">
              <w:rPr>
                <w:rFonts w:asciiTheme="majorHAnsi" w:eastAsia="Calibri" w:hAnsiTheme="majorHAnsi" w:cs="Arial"/>
                <w:sz w:val="20"/>
                <w:szCs w:val="20"/>
                <w:lang w:val="es-ES_tradnl"/>
              </w:rPr>
              <w:t>ía</w:t>
            </w:r>
            <w:r w:rsidR="00EF4061" w:rsidRPr="00A9234B">
              <w:rPr>
                <w:rFonts w:asciiTheme="majorHAnsi" w:eastAsia="Calibri" w:hAnsiTheme="majorHAnsi" w:cs="Arial"/>
                <w:sz w:val="20"/>
                <w:szCs w:val="20"/>
                <w:lang w:val="es-ES_tradnl"/>
              </w:rPr>
              <w:t>:</w:t>
            </w:r>
          </w:p>
        </w:tc>
        <w:tc>
          <w:tcPr>
            <w:tcW w:w="3744" w:type="pct"/>
          </w:tcPr>
          <w:p w14:paraId="2DA3AA75" w14:textId="77777777" w:rsidR="00EF4061" w:rsidRPr="00A9234B" w:rsidRDefault="00EF4061" w:rsidP="00FB3790">
            <w:pPr>
              <w:rPr>
                <w:rFonts w:asciiTheme="majorHAnsi" w:eastAsia="Calibri" w:hAnsiTheme="majorHAnsi" w:cs="Arial"/>
                <w:b w:val="0"/>
                <w:sz w:val="20"/>
                <w:szCs w:val="20"/>
                <w:lang w:val="es-ES_tradnl"/>
              </w:rPr>
            </w:pPr>
            <w:r w:rsidRPr="00A9234B">
              <w:rPr>
                <w:rFonts w:asciiTheme="majorHAnsi" w:eastAsia="Calibri" w:hAnsiTheme="majorHAnsi" w:cs="Arial"/>
                <w:b w:val="0"/>
                <w:sz w:val="20"/>
                <w:szCs w:val="20"/>
                <w:lang w:val="es-ES_tradnl"/>
              </w:rPr>
              <w:t>Tobias Salathé</w:t>
            </w:r>
          </w:p>
        </w:tc>
      </w:tr>
      <w:tr w:rsidR="00EF4061" w:rsidRPr="00504EB0" w14:paraId="09B3B85D" w14:textId="77777777" w:rsidTr="00FB3790">
        <w:tc>
          <w:tcPr>
            <w:tcW w:w="1256" w:type="pct"/>
          </w:tcPr>
          <w:p w14:paraId="748D39D9" w14:textId="1F00B60D" w:rsidR="00EF4061" w:rsidRPr="00A9234B" w:rsidRDefault="000A7839" w:rsidP="00FB3790">
            <w:pPr>
              <w:rPr>
                <w:rFonts w:asciiTheme="majorHAnsi" w:eastAsia="Calibri" w:hAnsiTheme="majorHAnsi" w:cs="Arial"/>
                <w:sz w:val="20"/>
                <w:szCs w:val="20"/>
                <w:lang w:val="es-ES_tradnl"/>
              </w:rPr>
            </w:pPr>
            <w:r w:rsidRPr="00A9234B">
              <w:rPr>
                <w:rFonts w:asciiTheme="majorHAnsi" w:eastAsia="Calibri" w:hAnsiTheme="majorHAnsi" w:cs="Arial"/>
                <w:sz w:val="20"/>
                <w:szCs w:val="20"/>
                <w:lang w:val="es-ES_tradnl"/>
              </w:rPr>
              <w:t>Organizaciones contribuyentes: [OIA/observadores/otros]</w:t>
            </w:r>
          </w:p>
        </w:tc>
        <w:tc>
          <w:tcPr>
            <w:tcW w:w="3744" w:type="pct"/>
          </w:tcPr>
          <w:p w14:paraId="68F13CBB" w14:textId="329B41C0" w:rsidR="00EF4061" w:rsidRPr="00A9234B" w:rsidRDefault="00EF4061" w:rsidP="00CC3A91">
            <w:pPr>
              <w:rPr>
                <w:rFonts w:asciiTheme="majorHAnsi" w:eastAsia="Calibri" w:hAnsiTheme="majorHAnsi" w:cs="Arial"/>
                <w:b w:val="0"/>
                <w:sz w:val="20"/>
                <w:szCs w:val="20"/>
                <w:highlight w:val="yellow"/>
                <w:lang w:val="es-ES_tradnl"/>
              </w:rPr>
            </w:pPr>
            <w:r w:rsidRPr="00A9234B">
              <w:rPr>
                <w:rFonts w:asciiTheme="majorHAnsi" w:eastAsia="Calibri" w:hAnsiTheme="majorHAnsi" w:cs="Arial"/>
                <w:b w:val="0"/>
                <w:sz w:val="20"/>
                <w:szCs w:val="20"/>
                <w:lang w:val="es-ES_tradnl"/>
              </w:rPr>
              <w:t xml:space="preserve">BirdLife International (Zoltan Waliczky), WI (Marcel Silvius)/ UNESCO-MAB (Marie Prchalova), </w:t>
            </w:r>
            <w:r w:rsidR="00CC3A91" w:rsidRPr="00A9234B">
              <w:rPr>
                <w:rFonts w:asciiTheme="majorHAnsi" w:eastAsia="Calibri" w:hAnsiTheme="majorHAnsi" w:cs="Arial"/>
                <w:b w:val="0"/>
                <w:sz w:val="20"/>
                <w:szCs w:val="20"/>
                <w:lang w:val="es-ES_tradnl"/>
              </w:rPr>
              <w:t xml:space="preserve">SWS (Nick Davidson), </w:t>
            </w:r>
            <w:r w:rsidRPr="00A9234B">
              <w:rPr>
                <w:rFonts w:asciiTheme="majorHAnsi" w:eastAsia="Calibri" w:hAnsiTheme="majorHAnsi" w:cs="Arial"/>
                <w:b w:val="0"/>
                <w:sz w:val="20"/>
                <w:szCs w:val="20"/>
                <w:lang w:val="es-ES_tradnl"/>
              </w:rPr>
              <w:t>Tour du Valat (Christian Perennou)</w:t>
            </w:r>
            <w:r w:rsidR="00CC3A91" w:rsidRPr="00A9234B">
              <w:rPr>
                <w:rFonts w:asciiTheme="majorHAnsi" w:eastAsia="Calibri" w:hAnsiTheme="majorHAnsi" w:cs="Arial"/>
                <w:b w:val="0"/>
                <w:sz w:val="20"/>
                <w:szCs w:val="20"/>
                <w:lang w:val="es-ES_tradnl"/>
              </w:rPr>
              <w:t>, ONU-Habitat (Rob McInnes)</w:t>
            </w:r>
            <w:r w:rsidRPr="00A9234B">
              <w:rPr>
                <w:rFonts w:asciiTheme="majorHAnsi" w:eastAsia="Calibri" w:hAnsiTheme="majorHAnsi" w:cs="Arial"/>
                <w:b w:val="0"/>
                <w:sz w:val="20"/>
                <w:szCs w:val="20"/>
                <w:lang w:val="es-ES_tradnl"/>
              </w:rPr>
              <w:t xml:space="preserve">/ </w:t>
            </w:r>
            <w:r w:rsidR="00517D16" w:rsidRPr="00A9234B">
              <w:rPr>
                <w:rFonts w:asciiTheme="majorHAnsi" w:eastAsia="Calibri" w:hAnsiTheme="majorHAnsi" w:cs="Arial"/>
                <w:b w:val="0"/>
                <w:sz w:val="20"/>
                <w:szCs w:val="20"/>
                <w:lang w:val="es-ES_tradnl"/>
              </w:rPr>
              <w:t>Coordinador Nacional del GECT para Canadá</w:t>
            </w:r>
            <w:r w:rsidRPr="00A9234B">
              <w:rPr>
                <w:rFonts w:asciiTheme="majorHAnsi" w:eastAsia="Calibri" w:hAnsiTheme="majorHAnsi" w:cs="Arial"/>
                <w:b w:val="0"/>
                <w:sz w:val="20"/>
                <w:szCs w:val="20"/>
                <w:lang w:val="es-ES_tradnl"/>
              </w:rPr>
              <w:t xml:space="preserve"> (Barry Warner), </w:t>
            </w:r>
            <w:r w:rsidR="00517D16" w:rsidRPr="00A9234B">
              <w:rPr>
                <w:rFonts w:asciiTheme="majorHAnsi" w:eastAsia="Calibri" w:hAnsiTheme="majorHAnsi" w:cs="Arial"/>
                <w:b w:val="0"/>
                <w:sz w:val="20"/>
                <w:szCs w:val="20"/>
                <w:lang w:val="es-ES_tradnl"/>
              </w:rPr>
              <w:t xml:space="preserve">Coordinador Nacional del GECT para Malasia </w:t>
            </w:r>
            <w:r w:rsidRPr="00A9234B">
              <w:rPr>
                <w:rFonts w:asciiTheme="majorHAnsi" w:eastAsia="Calibri" w:hAnsiTheme="majorHAnsi" w:cs="Arial"/>
                <w:b w:val="0"/>
                <w:sz w:val="20"/>
                <w:szCs w:val="20"/>
                <w:lang w:val="es-ES_tradnl"/>
              </w:rPr>
              <w:t xml:space="preserve">(Abd Rahman Kassim), </w:t>
            </w:r>
            <w:r w:rsidR="00517D16" w:rsidRPr="00A9234B">
              <w:rPr>
                <w:rFonts w:asciiTheme="majorHAnsi" w:eastAsia="Calibri" w:hAnsiTheme="majorHAnsi" w:cs="Arial"/>
                <w:b w:val="0"/>
                <w:sz w:val="20"/>
                <w:szCs w:val="20"/>
                <w:lang w:val="es-ES_tradnl"/>
              </w:rPr>
              <w:t xml:space="preserve">Coordinador Nacional del GECT para </w:t>
            </w:r>
            <w:r w:rsidR="007D6E58" w:rsidRPr="00A9234B">
              <w:rPr>
                <w:rFonts w:asciiTheme="majorHAnsi" w:eastAsia="Calibri" w:hAnsiTheme="majorHAnsi" w:cs="Arial"/>
                <w:b w:val="0"/>
                <w:sz w:val="20"/>
                <w:szCs w:val="20"/>
                <w:lang w:val="es-ES_tradnl"/>
              </w:rPr>
              <w:t xml:space="preserve">Portugal (Ana Mendes), </w:t>
            </w:r>
            <w:r w:rsidRPr="00A9234B">
              <w:rPr>
                <w:rFonts w:asciiTheme="majorHAnsi" w:eastAsia="Calibri" w:hAnsiTheme="majorHAnsi" w:cs="Arial"/>
                <w:b w:val="0"/>
                <w:sz w:val="20"/>
                <w:szCs w:val="20"/>
                <w:lang w:val="es-ES_tradnl"/>
              </w:rPr>
              <w:t>IPS (Jack Rieley)</w:t>
            </w:r>
          </w:p>
        </w:tc>
      </w:tr>
    </w:tbl>
    <w:p w14:paraId="4EB486E0" w14:textId="0F168902" w:rsidR="00EF4061" w:rsidRPr="00A9234B" w:rsidRDefault="00EF4061" w:rsidP="00EF4061">
      <w:pPr>
        <w:rPr>
          <w:rFonts w:asciiTheme="majorHAnsi" w:hAnsiTheme="majorHAnsi" w:cs="Arial"/>
          <w:sz w:val="20"/>
          <w:szCs w:val="20"/>
          <w:lang w:val="es-ES_tradnl"/>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79"/>
        <w:gridCol w:w="882"/>
        <w:gridCol w:w="977"/>
        <w:gridCol w:w="1109"/>
        <w:gridCol w:w="8337"/>
        <w:gridCol w:w="1372"/>
      </w:tblGrid>
      <w:tr w:rsidR="00360FBC" w:rsidRPr="00A9234B" w14:paraId="6D0A5CFC" w14:textId="77777777" w:rsidTr="00360FBC">
        <w:tc>
          <w:tcPr>
            <w:tcW w:w="522" w:type="pct"/>
            <w:shd w:val="clear" w:color="auto" w:fill="D9D9D9" w:themeFill="background1" w:themeFillShade="D9"/>
          </w:tcPr>
          <w:p w14:paraId="1B6D8B57" w14:textId="4BC9C7E0" w:rsidR="00360FBC" w:rsidRPr="00A9234B" w:rsidRDefault="005265E4"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Nº</w:t>
            </w:r>
            <w:r w:rsidR="00360FBC" w:rsidRPr="00A9234B">
              <w:rPr>
                <w:rFonts w:asciiTheme="majorHAnsi" w:hAnsiTheme="majorHAnsi" w:cs="Arial"/>
                <w:sz w:val="20"/>
                <w:szCs w:val="20"/>
                <w:lang w:val="es-ES_tradnl"/>
              </w:rPr>
              <w:t xml:space="preserve"> y título de la tarea</w:t>
            </w:r>
          </w:p>
        </w:tc>
        <w:tc>
          <w:tcPr>
            <w:tcW w:w="282" w:type="pct"/>
            <w:shd w:val="clear" w:color="auto" w:fill="D9D9D9" w:themeFill="background1" w:themeFillShade="D9"/>
          </w:tcPr>
          <w:p w14:paraId="54874BAA" w14:textId="37D87037" w:rsidR="00360FBC" w:rsidRPr="00A9234B" w:rsidRDefault="00360FB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Prioridad</w:t>
            </w:r>
          </w:p>
        </w:tc>
        <w:tc>
          <w:tcPr>
            <w:tcW w:w="353" w:type="pct"/>
            <w:shd w:val="clear" w:color="auto" w:fill="D9D9D9" w:themeFill="background1" w:themeFillShade="D9"/>
          </w:tcPr>
          <w:p w14:paraId="656EA866" w14:textId="4747104E" w:rsidR="00360FBC" w:rsidRPr="00A9234B" w:rsidRDefault="00360FB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Res.</w:t>
            </w:r>
          </w:p>
        </w:tc>
        <w:tc>
          <w:tcPr>
            <w:tcW w:w="399" w:type="pct"/>
            <w:shd w:val="clear" w:color="auto" w:fill="D9D9D9" w:themeFill="background1" w:themeFillShade="D9"/>
          </w:tcPr>
          <w:p w14:paraId="613F439E" w14:textId="75C77A00" w:rsidR="00360FBC" w:rsidRPr="00A9234B" w:rsidRDefault="00360FBC" w:rsidP="00EF4061">
            <w:pPr>
              <w:jc w:val="center"/>
              <w:rPr>
                <w:rFonts w:asciiTheme="majorHAnsi" w:hAnsiTheme="majorHAnsi" w:cs="Arial"/>
                <w:sz w:val="20"/>
                <w:szCs w:val="20"/>
                <w:lang w:val="es-ES_tradnl"/>
              </w:rPr>
            </w:pPr>
            <w:r w:rsidRPr="00A9234B">
              <w:rPr>
                <w:rFonts w:asciiTheme="majorHAnsi" w:eastAsia="Calibri" w:hAnsiTheme="majorHAnsi" w:cs="Arial"/>
                <w:sz w:val="20"/>
                <w:szCs w:val="20"/>
                <w:lang w:val="es-ES_tradnl"/>
              </w:rPr>
              <w:t>Objetivo y meta del Plan Estratégico</w:t>
            </w:r>
          </w:p>
        </w:tc>
        <w:tc>
          <w:tcPr>
            <w:tcW w:w="2952" w:type="pct"/>
            <w:shd w:val="clear" w:color="auto" w:fill="D9D9D9" w:themeFill="background1" w:themeFillShade="D9"/>
          </w:tcPr>
          <w:p w14:paraId="5311FA2F" w14:textId="09361F72" w:rsidR="00360FBC" w:rsidRPr="00A9234B" w:rsidRDefault="00360FBC" w:rsidP="00CC3A91">
            <w:pPr>
              <w:rPr>
                <w:rFonts w:asciiTheme="majorHAnsi" w:hAnsiTheme="majorHAnsi" w:cs="Arial"/>
                <w:sz w:val="20"/>
                <w:szCs w:val="20"/>
                <w:lang w:val="es-ES_tradnl"/>
              </w:rPr>
            </w:pPr>
            <w:r w:rsidRPr="00A9234B">
              <w:rPr>
                <w:rFonts w:asciiTheme="majorHAnsi" w:hAnsiTheme="majorHAnsi" w:cs="Arial"/>
                <w:sz w:val="20"/>
                <w:szCs w:val="20"/>
                <w:lang w:val="es-ES_tradnl"/>
              </w:rPr>
              <w:t xml:space="preserve">Descripción de la tarea, </w:t>
            </w:r>
            <w:r w:rsidR="00CC3A91" w:rsidRPr="00A9234B">
              <w:rPr>
                <w:rFonts w:asciiTheme="majorHAnsi" w:hAnsiTheme="majorHAnsi" w:cs="Arial"/>
                <w:sz w:val="20"/>
                <w:szCs w:val="20"/>
                <w:lang w:val="es-ES_tradnl"/>
              </w:rPr>
              <w:t xml:space="preserve">productos esperados y grupos destinatarios </w:t>
            </w:r>
          </w:p>
        </w:tc>
        <w:tc>
          <w:tcPr>
            <w:tcW w:w="492" w:type="pct"/>
            <w:shd w:val="clear" w:color="auto" w:fill="D9D9D9" w:themeFill="background1" w:themeFillShade="D9"/>
          </w:tcPr>
          <w:p w14:paraId="4A1E2642" w14:textId="77777777" w:rsidR="00360FBC" w:rsidRPr="00A9234B" w:rsidRDefault="00360FBC" w:rsidP="00360FBC">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Costo</w:t>
            </w:r>
          </w:p>
          <w:p w14:paraId="73B7CB97" w14:textId="01AE7C9C" w:rsidR="00360FBC" w:rsidRPr="00A9234B" w:rsidRDefault="00360FBC" w:rsidP="00EF4061">
            <w:pPr>
              <w:jc w:val="center"/>
              <w:rPr>
                <w:rFonts w:asciiTheme="majorHAnsi" w:hAnsiTheme="majorHAnsi" w:cs="Arial"/>
                <w:sz w:val="20"/>
                <w:szCs w:val="20"/>
                <w:lang w:val="es-ES_tradnl"/>
              </w:rPr>
            </w:pPr>
            <w:r w:rsidRPr="00A9234B">
              <w:rPr>
                <w:rFonts w:asciiTheme="majorHAnsi" w:hAnsiTheme="majorHAnsi" w:cs="Arial"/>
                <w:sz w:val="20"/>
                <w:szCs w:val="20"/>
                <w:lang w:val="es-ES_tradnl"/>
              </w:rPr>
              <w:t>francos suizos</w:t>
            </w:r>
          </w:p>
        </w:tc>
      </w:tr>
      <w:tr w:rsidR="00360FBC" w:rsidRPr="00504EB0" w14:paraId="4FFA1998" w14:textId="77777777" w:rsidTr="00360FBC">
        <w:tc>
          <w:tcPr>
            <w:tcW w:w="522" w:type="pct"/>
          </w:tcPr>
          <w:p w14:paraId="419E1693" w14:textId="457E989C" w:rsidR="00360FBC" w:rsidRPr="00A9234B" w:rsidRDefault="00360FBC" w:rsidP="00BD1DA9">
            <w:pPr>
              <w:rPr>
                <w:rFonts w:asciiTheme="majorHAnsi" w:hAnsiTheme="majorHAnsi" w:cs="Arial"/>
                <w:b w:val="0"/>
                <w:sz w:val="20"/>
                <w:szCs w:val="20"/>
                <w:lang w:val="es-ES_tradnl" w:eastAsia="zh-CN"/>
              </w:rPr>
            </w:pPr>
            <w:r w:rsidRPr="00A9234B">
              <w:rPr>
                <w:rFonts w:asciiTheme="majorHAnsi" w:hAnsiTheme="majorHAnsi" w:cs="Arial"/>
                <w:b w:val="0"/>
                <w:sz w:val="20"/>
                <w:szCs w:val="20"/>
                <w:lang w:val="es-ES_tradnl" w:eastAsia="zh-CN"/>
              </w:rPr>
              <w:t xml:space="preserve">5.1 Promover las buenas prácticas de restauración de los humedales </w:t>
            </w:r>
          </w:p>
        </w:tc>
        <w:tc>
          <w:tcPr>
            <w:tcW w:w="282" w:type="pct"/>
          </w:tcPr>
          <w:p w14:paraId="68D4D5F3" w14:textId="47DA7036" w:rsidR="00360FBC" w:rsidRPr="00A9234B" w:rsidRDefault="00760CBD"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Alta</w:t>
            </w:r>
          </w:p>
        </w:tc>
        <w:tc>
          <w:tcPr>
            <w:tcW w:w="353" w:type="pct"/>
          </w:tcPr>
          <w:p w14:paraId="4820AF3B" w14:textId="77777777"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XII.2; XII.11, ¶ 28</w:t>
            </w:r>
          </w:p>
        </w:tc>
        <w:tc>
          <w:tcPr>
            <w:tcW w:w="399" w:type="pct"/>
          </w:tcPr>
          <w:p w14:paraId="28EF501D" w14:textId="5524D9F5" w:rsidR="00360FBC" w:rsidRPr="00A9234B" w:rsidRDefault="00360FBC" w:rsidP="00EF4061">
            <w:pPr>
              <w:rPr>
                <w:rFonts w:asciiTheme="majorHAnsi" w:eastAsia="Calibri" w:hAnsiTheme="majorHAnsi" w:cs="Arial"/>
                <w:b w:val="0"/>
                <w:bCs/>
                <w:sz w:val="20"/>
                <w:szCs w:val="20"/>
                <w:lang w:val="es-ES_tradnl"/>
              </w:rPr>
            </w:pPr>
            <w:r w:rsidRPr="00A9234B">
              <w:rPr>
                <w:rFonts w:asciiTheme="majorHAnsi" w:hAnsiTheme="majorHAnsi" w:cs="Arial"/>
                <w:b w:val="0"/>
                <w:sz w:val="20"/>
                <w:szCs w:val="20"/>
                <w:lang w:val="es-ES_tradnl" w:eastAsia="zh-CN"/>
              </w:rPr>
              <w:t xml:space="preserve">1.3, 1.4; 2.5, 2.7; 3.8,3.9, 3.11, 3.12; 4.14, </w:t>
            </w:r>
          </w:p>
        </w:tc>
        <w:tc>
          <w:tcPr>
            <w:tcW w:w="2952" w:type="pct"/>
          </w:tcPr>
          <w:p w14:paraId="7CC8308E" w14:textId="0FBA4313" w:rsidR="00360FBC" w:rsidRPr="00A9234B" w:rsidRDefault="00360FBC" w:rsidP="00EF4061">
            <w:pPr>
              <w:tabs>
                <w:tab w:val="left" w:pos="0"/>
              </w:tabs>
              <w:rPr>
                <w:rFonts w:asciiTheme="majorHAnsi" w:hAnsiTheme="majorHAnsi" w:cs="Arial"/>
                <w:sz w:val="20"/>
                <w:szCs w:val="20"/>
                <w:u w:val="single"/>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Recopilar las buenas prácticas de restauración de humedales para mitigar y adaptarse al cambio climático, inc</w:t>
            </w:r>
            <w:r w:rsidR="00642BAA" w:rsidRPr="00A9234B">
              <w:rPr>
                <w:rFonts w:asciiTheme="majorHAnsi" w:hAnsiTheme="majorHAnsi" w:cs="Arial"/>
                <w:b w:val="0"/>
                <w:sz w:val="20"/>
                <w:szCs w:val="20"/>
                <w:lang w:val="es-ES_tradnl"/>
              </w:rPr>
              <w:t>luyendo políticas, instrumentos</w:t>
            </w:r>
            <w:r w:rsidRPr="00A9234B">
              <w:rPr>
                <w:rFonts w:asciiTheme="majorHAnsi" w:hAnsiTheme="majorHAnsi" w:cs="Arial"/>
                <w:b w:val="0"/>
                <w:sz w:val="20"/>
                <w:szCs w:val="20"/>
                <w:lang w:val="es-ES_tradnl"/>
              </w:rPr>
              <w:t xml:space="preserve"> e incentivos e innovaciones técnicas de diversas regiones. </w:t>
            </w:r>
          </w:p>
          <w:p w14:paraId="77ABDB6F" w14:textId="77777777" w:rsidR="00642BAA" w:rsidRPr="00A9234B" w:rsidRDefault="00642BAA" w:rsidP="00EF4061">
            <w:pPr>
              <w:tabs>
                <w:tab w:val="left" w:pos="0"/>
              </w:tabs>
              <w:rPr>
                <w:rFonts w:asciiTheme="majorHAnsi" w:hAnsiTheme="majorHAnsi" w:cs="Arial"/>
                <w:b w:val="0"/>
                <w:sz w:val="20"/>
                <w:szCs w:val="20"/>
                <w:u w:val="single"/>
                <w:lang w:val="es-ES_tradnl"/>
              </w:rPr>
            </w:pPr>
          </w:p>
          <w:p w14:paraId="26FBC115" w14:textId="2C1065F2" w:rsidR="00360FBC" w:rsidRPr="00A9234B" w:rsidRDefault="00360FBC" w:rsidP="00EF4061">
            <w:pPr>
              <w:tabs>
                <w:tab w:val="left" w:pos="0"/>
              </w:tabs>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xml:space="preserve">: </w:t>
            </w:r>
          </w:p>
          <w:p w14:paraId="232B0218" w14:textId="027B2F40" w:rsidR="00360FBC" w:rsidRPr="00A9234B" w:rsidRDefault="00360FBC" w:rsidP="00EF4061">
            <w:pPr>
              <w:tabs>
                <w:tab w:val="left" w:pos="0"/>
              </w:tabs>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1) En una nueva nota informativa, basada en la Nota Informativa de Ramsar [5], se destacará tanto el potencial como las razones para restaurar los humedales en el contexto del cambio climático. </w:t>
            </w:r>
          </w:p>
          <w:p w14:paraId="43FC26CA" w14:textId="77777777" w:rsidR="00360FBC" w:rsidRPr="00A9234B" w:rsidRDefault="00360FBC" w:rsidP="00EF4061">
            <w:pPr>
              <w:tabs>
                <w:tab w:val="left" w:pos="0"/>
              </w:tabs>
              <w:rPr>
                <w:rFonts w:asciiTheme="majorHAnsi" w:hAnsiTheme="majorHAnsi" w:cs="Arial"/>
                <w:b w:val="0"/>
                <w:sz w:val="20"/>
                <w:szCs w:val="20"/>
                <w:lang w:val="es-ES_tradnl"/>
              </w:rPr>
            </w:pPr>
          </w:p>
          <w:p w14:paraId="3B68E594" w14:textId="29740300" w:rsidR="00360FBC" w:rsidRPr="00A9234B" w:rsidRDefault="00360FBC" w:rsidP="00EF4061">
            <w:pPr>
              <w:tabs>
                <w:tab w:val="left" w:pos="0"/>
              </w:tabs>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2) En una Nota sobre políticas se hablará de las buenas prácticas y posibles políticas asociadas con los incentivos e instrumentos para la restauración de humedales (por ejemplo, fondo de carbono/sector privado/Estándar Verificado de Carbono, VCS/la Alianza sobre Clima, Comunidad y Biodiversidad, CCBA) a fin de explicar los enfoques disponibles para invertir en estas iniciativas</w:t>
            </w:r>
          </w:p>
          <w:p w14:paraId="423C4292" w14:textId="77777777" w:rsidR="00360FBC" w:rsidRPr="00A9234B" w:rsidRDefault="00360FBC" w:rsidP="00EF4061">
            <w:pPr>
              <w:tabs>
                <w:tab w:val="left" w:pos="0"/>
              </w:tabs>
              <w:rPr>
                <w:rFonts w:asciiTheme="majorHAnsi" w:hAnsiTheme="majorHAnsi" w:cs="Arial"/>
                <w:sz w:val="20"/>
                <w:szCs w:val="20"/>
                <w:u w:val="single"/>
                <w:lang w:val="es-ES_tradnl"/>
              </w:rPr>
            </w:pPr>
          </w:p>
          <w:p w14:paraId="1CD2B2C8" w14:textId="64EF1451" w:rsidR="00360FBC" w:rsidRPr="00A9234B" w:rsidRDefault="00360FBC" w:rsidP="008B26B4">
            <w:pPr>
              <w:tabs>
                <w:tab w:val="left" w:pos="0"/>
              </w:tabs>
              <w:rPr>
                <w:rFonts w:asciiTheme="majorHAnsi" w:hAnsiTheme="majorHAnsi" w:cs="Arial"/>
                <w:sz w:val="20"/>
                <w:szCs w:val="20"/>
                <w:u w:val="single"/>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Responsables de políticas y profesionales</w:t>
            </w:r>
            <w:r w:rsidRPr="00A9234B">
              <w:rPr>
                <w:rFonts w:asciiTheme="majorHAnsi" w:hAnsiTheme="majorHAnsi" w:cs="Arial"/>
                <w:sz w:val="20"/>
                <w:szCs w:val="20"/>
                <w:lang w:val="es-ES_tradnl"/>
              </w:rPr>
              <w:t xml:space="preserve"> </w:t>
            </w:r>
            <w:r w:rsidRPr="00A9234B">
              <w:rPr>
                <w:rFonts w:asciiTheme="majorHAnsi" w:hAnsiTheme="majorHAnsi" w:cs="Arial"/>
                <w:b w:val="0"/>
                <w:sz w:val="20"/>
                <w:szCs w:val="20"/>
                <w:lang w:val="es-ES_tradnl"/>
              </w:rPr>
              <w:t>(administradores de humedales)</w:t>
            </w:r>
            <w:r w:rsidRPr="00A9234B">
              <w:rPr>
                <w:rFonts w:asciiTheme="majorHAnsi" w:hAnsiTheme="majorHAnsi" w:cs="Arial"/>
                <w:sz w:val="20"/>
                <w:szCs w:val="20"/>
                <w:u w:val="single"/>
                <w:lang w:val="es-ES_tradnl"/>
              </w:rPr>
              <w:t xml:space="preserve"> </w:t>
            </w:r>
          </w:p>
        </w:tc>
        <w:tc>
          <w:tcPr>
            <w:tcW w:w="492" w:type="pct"/>
          </w:tcPr>
          <w:p w14:paraId="645931DE" w14:textId="18D76A0F"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Hasta 22.000 [13.000 para una Nota Informativa y 9.000 para una Nota sobre políticas;</w:t>
            </w:r>
          </w:p>
          <w:p w14:paraId="5A217108" w14:textId="5B845B30" w:rsidR="00360FBC" w:rsidRPr="00A9234B" w:rsidRDefault="00360FBC" w:rsidP="00EB7788">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pos</w:t>
            </w:r>
            <w:r w:rsidR="00642BAA" w:rsidRPr="00A9234B">
              <w:rPr>
                <w:rFonts w:asciiTheme="majorHAnsi" w:hAnsiTheme="majorHAnsi" w:cs="Arial"/>
                <w:b w:val="0"/>
                <w:sz w:val="20"/>
                <w:szCs w:val="20"/>
                <w:lang w:val="es-ES_tradnl"/>
              </w:rPr>
              <w:t>ibilidad de celebrar un</w:t>
            </w:r>
            <w:r w:rsidR="00EB7788" w:rsidRPr="00A9234B">
              <w:rPr>
                <w:rFonts w:asciiTheme="majorHAnsi" w:hAnsiTheme="majorHAnsi" w:cs="Arial"/>
                <w:b w:val="0"/>
                <w:sz w:val="20"/>
                <w:szCs w:val="20"/>
                <w:lang w:val="es-ES_tradnl"/>
              </w:rPr>
              <w:t xml:space="preserve"> pequeño</w:t>
            </w:r>
            <w:r w:rsidR="00642BAA" w:rsidRPr="00A9234B">
              <w:rPr>
                <w:rFonts w:asciiTheme="majorHAnsi" w:hAnsiTheme="majorHAnsi" w:cs="Arial"/>
                <w:b w:val="0"/>
                <w:sz w:val="20"/>
                <w:szCs w:val="20"/>
                <w:lang w:val="es-ES_tradnl"/>
              </w:rPr>
              <w:t xml:space="preserve"> taller de </w:t>
            </w:r>
            <w:r w:rsidR="00EB7788" w:rsidRPr="00A9234B">
              <w:rPr>
                <w:rFonts w:asciiTheme="majorHAnsi" w:hAnsiTheme="majorHAnsi" w:cs="Arial"/>
                <w:b w:val="0"/>
                <w:sz w:val="20"/>
                <w:szCs w:val="20"/>
                <w:lang w:val="es-ES_tradnl"/>
              </w:rPr>
              <w:t>redacción, de redacción, vinculado al EHMS o a otras reuniones]</w:t>
            </w:r>
          </w:p>
        </w:tc>
      </w:tr>
      <w:tr w:rsidR="00360FBC" w:rsidRPr="00A9234B" w14:paraId="244462A5" w14:textId="77777777" w:rsidTr="00360FBC">
        <w:tc>
          <w:tcPr>
            <w:tcW w:w="522" w:type="pct"/>
          </w:tcPr>
          <w:p w14:paraId="48B4C651" w14:textId="44487F32"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5.2 Las implicaciones de la REDD+ para el uso racional de los humedales.</w:t>
            </w:r>
          </w:p>
          <w:p w14:paraId="5A28F30E" w14:textId="77777777" w:rsidR="00360FBC" w:rsidRPr="00A9234B" w:rsidRDefault="00360FBC" w:rsidP="00EF4061">
            <w:pPr>
              <w:rPr>
                <w:rFonts w:asciiTheme="majorHAnsi" w:hAnsiTheme="majorHAnsi" w:cs="Arial"/>
                <w:b w:val="0"/>
                <w:sz w:val="20"/>
                <w:szCs w:val="20"/>
                <w:lang w:val="es-ES_tradnl"/>
              </w:rPr>
            </w:pPr>
          </w:p>
        </w:tc>
        <w:tc>
          <w:tcPr>
            <w:tcW w:w="282" w:type="pct"/>
          </w:tcPr>
          <w:p w14:paraId="700153EC" w14:textId="77777777" w:rsidR="00360FBC" w:rsidRPr="00A9234B" w:rsidRDefault="00360FBC" w:rsidP="00EF4061">
            <w:pPr>
              <w:rPr>
                <w:rFonts w:asciiTheme="majorHAnsi" w:hAnsiTheme="majorHAnsi" w:cs="Arial"/>
                <w:b w:val="0"/>
                <w:sz w:val="20"/>
                <w:szCs w:val="20"/>
                <w:lang w:val="es-ES_tradnl"/>
              </w:rPr>
            </w:pPr>
          </w:p>
        </w:tc>
        <w:tc>
          <w:tcPr>
            <w:tcW w:w="353" w:type="pct"/>
          </w:tcPr>
          <w:p w14:paraId="7DFD7DE4" w14:textId="4E330FCF"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XII.2; XII.5, Anexo 1, ¶¶ 1-2</w:t>
            </w:r>
          </w:p>
        </w:tc>
        <w:tc>
          <w:tcPr>
            <w:tcW w:w="399" w:type="pct"/>
          </w:tcPr>
          <w:p w14:paraId="00D38918" w14:textId="49AC0AFE"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eastAsia="zh-CN"/>
              </w:rPr>
              <w:t xml:space="preserve">3.8,3.9, 3.11, 3.12; 4.14, </w:t>
            </w:r>
          </w:p>
        </w:tc>
        <w:tc>
          <w:tcPr>
            <w:tcW w:w="2952" w:type="pct"/>
          </w:tcPr>
          <w:p w14:paraId="4E3F1B89" w14:textId="282DE84E"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Descripción de la tarea</w:t>
            </w:r>
            <w:r w:rsidRPr="00A9234B">
              <w:rPr>
                <w:rFonts w:asciiTheme="majorHAnsi" w:hAnsiTheme="majorHAnsi" w:cs="Arial"/>
                <w:b w:val="0"/>
                <w:sz w:val="20"/>
                <w:szCs w:val="20"/>
                <w:lang w:val="es-ES_tradnl"/>
              </w:rPr>
              <w:t>: Examen de las decisiones adoptadas por acuerdos medioambientales multilaterales relativas a la REDD+</w:t>
            </w:r>
            <w:r w:rsidR="00642BAA"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 y sus implicaciones tanto para la restauración (mejora) como para el uso racional de los humedales. </w:t>
            </w:r>
          </w:p>
          <w:p w14:paraId="66102AFD" w14:textId="77777777" w:rsidR="00360FBC" w:rsidRPr="00A9234B" w:rsidRDefault="00360FBC" w:rsidP="00EF4061">
            <w:pPr>
              <w:rPr>
                <w:rFonts w:asciiTheme="majorHAnsi" w:hAnsiTheme="majorHAnsi" w:cs="Arial"/>
                <w:b w:val="0"/>
                <w:sz w:val="20"/>
                <w:szCs w:val="20"/>
                <w:u w:val="single"/>
                <w:lang w:val="es-ES_tradnl"/>
              </w:rPr>
            </w:pPr>
          </w:p>
          <w:p w14:paraId="154E1783" w14:textId="49807CB6"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 Nota sobre políticas</w:t>
            </w:r>
          </w:p>
          <w:p w14:paraId="6FE8A9C5" w14:textId="77777777" w:rsidR="00360FBC" w:rsidRPr="00A9234B" w:rsidRDefault="00360FBC" w:rsidP="00EF4061">
            <w:pPr>
              <w:rPr>
                <w:rFonts w:asciiTheme="majorHAnsi" w:hAnsiTheme="majorHAnsi" w:cs="Arial"/>
                <w:b w:val="0"/>
                <w:sz w:val="20"/>
                <w:szCs w:val="20"/>
                <w:lang w:val="es-ES_tradnl"/>
              </w:rPr>
            </w:pPr>
          </w:p>
          <w:p w14:paraId="4BC5D8B6" w14:textId="5B49C4CA" w:rsidR="00360FBC" w:rsidRPr="00A9234B" w:rsidRDefault="00360FBC" w:rsidP="00EF4061">
            <w:pPr>
              <w:rPr>
                <w:rFonts w:asciiTheme="majorHAnsi" w:hAnsiTheme="majorHAnsi" w:cs="Arial"/>
                <w:b w:val="0"/>
                <w:sz w:val="20"/>
                <w:szCs w:val="20"/>
                <w:u w:val="single"/>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 Responsables de políticas</w:t>
            </w:r>
          </w:p>
        </w:tc>
        <w:tc>
          <w:tcPr>
            <w:tcW w:w="492" w:type="pct"/>
          </w:tcPr>
          <w:p w14:paraId="0017988F" w14:textId="4972884F"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Hasta 9.000</w:t>
            </w:r>
          </w:p>
        </w:tc>
      </w:tr>
      <w:tr w:rsidR="00360FBC" w:rsidRPr="00A9234B" w14:paraId="1E3E95DD" w14:textId="77777777" w:rsidTr="00360FBC">
        <w:tc>
          <w:tcPr>
            <w:tcW w:w="522" w:type="pct"/>
          </w:tcPr>
          <w:p w14:paraId="6E890C5C" w14:textId="77777777"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5.3</w:t>
            </w:r>
          </w:p>
          <w:p w14:paraId="1AAC2AA6" w14:textId="689216CB" w:rsidR="00360FBC" w:rsidRPr="00A9234B" w:rsidRDefault="00360FBC" w:rsidP="000A7839">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Asesoramiento </w:t>
            </w:r>
            <w:r w:rsidRPr="00A9234B">
              <w:rPr>
                <w:rFonts w:asciiTheme="majorHAnsi" w:hAnsiTheme="majorHAnsi" w:cs="Arial"/>
                <w:b w:val="0"/>
                <w:sz w:val="20"/>
                <w:szCs w:val="20"/>
                <w:lang w:val="es-ES_tradnl"/>
              </w:rPr>
              <w:lastRenderedPageBreak/>
              <w:t xml:space="preserve">para la 13ª reunión de la Conferencia de las Partes sobre métodos prácticos para la rehumidificación y restauración de las turberas </w:t>
            </w:r>
          </w:p>
        </w:tc>
        <w:tc>
          <w:tcPr>
            <w:tcW w:w="282" w:type="pct"/>
          </w:tcPr>
          <w:p w14:paraId="59ECD448" w14:textId="77777777" w:rsidR="00360FBC" w:rsidRPr="00A9234B" w:rsidRDefault="00360FBC" w:rsidP="00EF4061">
            <w:pPr>
              <w:rPr>
                <w:rFonts w:asciiTheme="majorHAnsi" w:hAnsiTheme="majorHAnsi" w:cs="Arial"/>
                <w:b w:val="0"/>
                <w:sz w:val="20"/>
                <w:szCs w:val="20"/>
                <w:lang w:val="es-ES_tradnl"/>
              </w:rPr>
            </w:pPr>
          </w:p>
        </w:tc>
        <w:tc>
          <w:tcPr>
            <w:tcW w:w="353" w:type="pct"/>
          </w:tcPr>
          <w:p w14:paraId="6D98ADEA" w14:textId="5D4EDFDE" w:rsidR="00360FBC" w:rsidRPr="00A9234B" w:rsidRDefault="00360FBC"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XII.11, ¶24(d) </w:t>
            </w:r>
            <w:r w:rsidRPr="00A9234B">
              <w:rPr>
                <w:rFonts w:asciiTheme="majorHAnsi" w:hAnsiTheme="majorHAnsi" w:cs="Arial"/>
                <w:b w:val="0"/>
                <w:sz w:val="20"/>
                <w:szCs w:val="20"/>
                <w:lang w:val="es-ES_tradnl"/>
              </w:rPr>
              <w:lastRenderedPageBreak/>
              <w:t>¶28</w:t>
            </w:r>
          </w:p>
        </w:tc>
        <w:tc>
          <w:tcPr>
            <w:tcW w:w="399" w:type="pct"/>
          </w:tcPr>
          <w:p w14:paraId="1554C918" w14:textId="54A98BC9"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eastAsia="zh-CN"/>
              </w:rPr>
              <w:lastRenderedPageBreak/>
              <w:t>1.1, 1.3; 2.5, 2.6;</w:t>
            </w:r>
            <w:r w:rsidR="000D06BD" w:rsidRPr="00A9234B">
              <w:rPr>
                <w:rFonts w:asciiTheme="majorHAnsi" w:hAnsiTheme="majorHAnsi" w:cs="Arial"/>
                <w:b w:val="0"/>
                <w:sz w:val="20"/>
                <w:szCs w:val="20"/>
                <w:lang w:val="es-ES_tradnl" w:eastAsia="zh-CN"/>
              </w:rPr>
              <w:t xml:space="preserve"> </w:t>
            </w:r>
            <w:r w:rsidR="000D06BD" w:rsidRPr="00A9234B">
              <w:rPr>
                <w:rFonts w:asciiTheme="majorHAnsi" w:hAnsiTheme="majorHAnsi" w:cs="Arial"/>
                <w:b w:val="0"/>
                <w:sz w:val="20"/>
                <w:szCs w:val="20"/>
                <w:lang w:val="es-ES_tradnl" w:eastAsia="zh-CN"/>
              </w:rPr>
              <w:lastRenderedPageBreak/>
              <w:t>2.7; 3.8,3.9, 3.11, 3.12; 4.14</w:t>
            </w:r>
            <w:r w:rsidRPr="00A9234B">
              <w:rPr>
                <w:rFonts w:asciiTheme="majorHAnsi" w:hAnsiTheme="majorHAnsi" w:cs="Arial"/>
                <w:b w:val="0"/>
                <w:sz w:val="20"/>
                <w:szCs w:val="20"/>
                <w:lang w:val="es-ES_tradnl" w:eastAsia="zh-CN"/>
              </w:rPr>
              <w:t xml:space="preserve"> </w:t>
            </w:r>
          </w:p>
        </w:tc>
        <w:tc>
          <w:tcPr>
            <w:tcW w:w="2952" w:type="pct"/>
          </w:tcPr>
          <w:p w14:paraId="2D245B79" w14:textId="20E6F262"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u w:val="single"/>
                <w:lang w:val="es-ES_tradnl"/>
              </w:rPr>
              <w:lastRenderedPageBreak/>
              <w:t>Descripción de la tarea</w:t>
            </w:r>
            <w:r w:rsidRPr="00A9234B">
              <w:rPr>
                <w:rFonts w:asciiTheme="majorHAnsi" w:hAnsiTheme="majorHAnsi" w:cs="Arial"/>
                <w:b w:val="0"/>
                <w:sz w:val="20"/>
                <w:szCs w:val="20"/>
                <w:lang w:val="es-ES_tradnl"/>
              </w:rPr>
              <w:t>: Un Infor</w:t>
            </w:r>
            <w:r w:rsidR="00642BAA" w:rsidRPr="00A9234B">
              <w:rPr>
                <w:rFonts w:asciiTheme="majorHAnsi" w:hAnsiTheme="majorHAnsi" w:cs="Arial"/>
                <w:b w:val="0"/>
                <w:sz w:val="20"/>
                <w:szCs w:val="20"/>
                <w:lang w:val="es-ES_tradnl"/>
              </w:rPr>
              <w:t>me Técnico de Ramsar que examina</w:t>
            </w:r>
            <w:r w:rsidRPr="00A9234B">
              <w:rPr>
                <w:rFonts w:asciiTheme="majorHAnsi" w:hAnsiTheme="majorHAnsi" w:cs="Arial"/>
                <w:b w:val="0"/>
                <w:sz w:val="20"/>
                <w:szCs w:val="20"/>
                <w:lang w:val="es-ES_tradnl"/>
              </w:rPr>
              <w:t xml:space="preserve"> la asociación entre la restauración práctica y los métodos de rehumidificación de las turberas para evitar la transferencia </w:t>
            </w:r>
            <w:r w:rsidRPr="00A9234B">
              <w:rPr>
                <w:rFonts w:asciiTheme="majorHAnsi" w:hAnsiTheme="majorHAnsi" w:cs="Arial"/>
                <w:b w:val="0"/>
                <w:sz w:val="20"/>
                <w:szCs w:val="20"/>
                <w:lang w:val="es-ES_tradnl"/>
              </w:rPr>
              <w:lastRenderedPageBreak/>
              <w:t xml:space="preserve">del carbono de los suelos y la vegetación a la atmósfera. </w:t>
            </w:r>
          </w:p>
          <w:p w14:paraId="56ED6042" w14:textId="77777777" w:rsidR="00AF13A3" w:rsidRPr="00A9234B" w:rsidRDefault="00AF13A3" w:rsidP="00EF4061">
            <w:pPr>
              <w:rPr>
                <w:rFonts w:asciiTheme="majorHAnsi" w:hAnsiTheme="majorHAnsi" w:cs="Arial"/>
                <w:b w:val="0"/>
                <w:sz w:val="20"/>
                <w:szCs w:val="20"/>
                <w:u w:val="single"/>
                <w:lang w:val="es-ES_tradnl"/>
              </w:rPr>
            </w:pPr>
          </w:p>
          <w:p w14:paraId="66D5EEEC" w14:textId="2BC8B75F" w:rsidR="00360FBC" w:rsidRPr="00A9234B" w:rsidRDefault="00360FBC" w:rsidP="00EF4061">
            <w:pPr>
              <w:rPr>
                <w:rFonts w:asciiTheme="majorHAnsi" w:hAnsiTheme="majorHAnsi" w:cs="Arial"/>
                <w:sz w:val="20"/>
                <w:szCs w:val="20"/>
                <w:lang w:val="es-ES_tradnl"/>
              </w:rPr>
            </w:pPr>
            <w:r w:rsidRPr="00A9234B">
              <w:rPr>
                <w:rFonts w:asciiTheme="majorHAnsi" w:hAnsiTheme="majorHAnsi" w:cs="Arial"/>
                <w:b w:val="0"/>
                <w:sz w:val="20"/>
                <w:szCs w:val="20"/>
                <w:u w:val="single"/>
                <w:lang w:val="es-ES_tradnl"/>
              </w:rPr>
              <w:t>Producto(s) esperado(s)</w:t>
            </w:r>
            <w:r w:rsidRPr="00A9234B">
              <w:rPr>
                <w:rFonts w:asciiTheme="majorHAnsi" w:hAnsiTheme="majorHAnsi" w:cs="Arial"/>
                <w:b w:val="0"/>
                <w:sz w:val="20"/>
                <w:szCs w:val="20"/>
                <w:lang w:val="es-ES_tradnl"/>
              </w:rPr>
              <w:t>:</w:t>
            </w:r>
            <w:r w:rsidRPr="00A9234B">
              <w:rPr>
                <w:rFonts w:asciiTheme="majorHAnsi" w:hAnsiTheme="majorHAnsi" w:cs="Arial"/>
                <w:sz w:val="20"/>
                <w:szCs w:val="20"/>
                <w:lang w:val="es-ES_tradnl"/>
              </w:rPr>
              <w:t xml:space="preserve"> </w:t>
            </w:r>
          </w:p>
          <w:p w14:paraId="383BB5E4" w14:textId="77777777" w:rsidR="00360FBC" w:rsidRPr="00A9234B" w:rsidRDefault="00360FBC" w:rsidP="00EF4061">
            <w:pPr>
              <w:rPr>
                <w:rFonts w:asciiTheme="majorHAnsi" w:hAnsiTheme="majorHAnsi" w:cs="Arial"/>
                <w:sz w:val="20"/>
                <w:szCs w:val="20"/>
                <w:lang w:val="es-ES_tradnl"/>
              </w:rPr>
            </w:pPr>
          </w:p>
          <w:p w14:paraId="65BDC3B8" w14:textId="1F6E1D27"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1)</w:t>
            </w:r>
            <w:r w:rsidRPr="00A9234B">
              <w:rPr>
                <w:rFonts w:asciiTheme="majorHAnsi" w:hAnsiTheme="majorHAnsi" w:cs="Arial"/>
                <w:sz w:val="20"/>
                <w:szCs w:val="20"/>
                <w:lang w:val="es-ES_tradnl"/>
              </w:rPr>
              <w:t xml:space="preserve"> </w:t>
            </w:r>
            <w:r w:rsidRPr="00A9234B">
              <w:rPr>
                <w:rFonts w:asciiTheme="majorHAnsi" w:hAnsiTheme="majorHAnsi" w:cs="Arial"/>
                <w:b w:val="0"/>
                <w:sz w:val="20"/>
                <w:szCs w:val="20"/>
                <w:lang w:val="es-ES_tradnl"/>
              </w:rPr>
              <w:t>Informe Técnico de Ramsar</w:t>
            </w:r>
            <w:r w:rsidR="00642BAA" w:rsidRPr="00A9234B">
              <w:rPr>
                <w:rFonts w:asciiTheme="majorHAnsi" w:hAnsiTheme="majorHAnsi" w:cs="Arial"/>
                <w:b w:val="0"/>
                <w:sz w:val="20"/>
                <w:szCs w:val="20"/>
                <w:lang w:val="es-ES_tradnl"/>
              </w:rPr>
              <w:t>,</w:t>
            </w:r>
            <w:r w:rsidRPr="00A9234B">
              <w:rPr>
                <w:rFonts w:asciiTheme="majorHAnsi" w:hAnsiTheme="majorHAnsi" w:cs="Arial"/>
                <w:b w:val="0"/>
                <w:sz w:val="20"/>
                <w:szCs w:val="20"/>
                <w:lang w:val="es-ES_tradnl"/>
              </w:rPr>
              <w:t xml:space="preserve"> como visión de conjunto y con referencias a una compilación de experiencias relaci</w:t>
            </w:r>
            <w:r w:rsidR="00642BAA" w:rsidRPr="00A9234B">
              <w:rPr>
                <w:rFonts w:asciiTheme="majorHAnsi" w:hAnsiTheme="majorHAnsi" w:cs="Arial"/>
                <w:b w:val="0"/>
                <w:sz w:val="20"/>
                <w:szCs w:val="20"/>
                <w:lang w:val="es-ES_tradnl"/>
              </w:rPr>
              <w:t>o</w:t>
            </w:r>
            <w:r w:rsidRPr="00A9234B">
              <w:rPr>
                <w:rFonts w:asciiTheme="majorHAnsi" w:hAnsiTheme="majorHAnsi" w:cs="Arial"/>
                <w:b w:val="0"/>
                <w:sz w:val="20"/>
                <w:szCs w:val="20"/>
                <w:lang w:val="es-ES_tradnl"/>
              </w:rPr>
              <w:t xml:space="preserve">nadas con los métodos de rehumidificación, basada en la literatura existente, y </w:t>
            </w:r>
          </w:p>
          <w:p w14:paraId="3C0A4628" w14:textId="77777777" w:rsidR="00360FBC" w:rsidRPr="00A9234B" w:rsidRDefault="00360FBC" w:rsidP="00EF4061">
            <w:pPr>
              <w:rPr>
                <w:rFonts w:asciiTheme="majorHAnsi" w:hAnsiTheme="majorHAnsi" w:cs="Arial"/>
                <w:b w:val="0"/>
                <w:sz w:val="20"/>
                <w:szCs w:val="20"/>
                <w:lang w:val="es-ES_tradnl"/>
              </w:rPr>
            </w:pPr>
          </w:p>
          <w:p w14:paraId="71323DFA" w14:textId="51612193" w:rsidR="00360FBC" w:rsidRPr="00A9234B" w:rsidRDefault="00360FBC" w:rsidP="00EF4061">
            <w:pPr>
              <w:rPr>
                <w:rFonts w:asciiTheme="majorHAnsi" w:hAnsiTheme="majorHAnsi" w:cs="Arial"/>
                <w:sz w:val="20"/>
                <w:szCs w:val="20"/>
                <w:lang w:val="es-ES_tradnl"/>
              </w:rPr>
            </w:pPr>
            <w:r w:rsidRPr="00A9234B">
              <w:rPr>
                <w:rFonts w:asciiTheme="majorHAnsi" w:hAnsiTheme="majorHAnsi" w:cs="Arial"/>
                <w:b w:val="0"/>
                <w:sz w:val="20"/>
                <w:szCs w:val="20"/>
                <w:lang w:val="es-ES_tradnl"/>
              </w:rPr>
              <w:t xml:space="preserve">2) Orientaciones en forma de </w:t>
            </w:r>
            <w:r w:rsidR="00642BAA" w:rsidRPr="00A9234B">
              <w:rPr>
                <w:rFonts w:asciiTheme="majorHAnsi" w:hAnsiTheme="majorHAnsi" w:cs="Arial"/>
                <w:b w:val="0"/>
                <w:sz w:val="20"/>
                <w:szCs w:val="20"/>
                <w:lang w:val="es-ES_tradnl"/>
              </w:rPr>
              <w:t>A</w:t>
            </w:r>
            <w:r w:rsidRPr="00A9234B">
              <w:rPr>
                <w:rFonts w:asciiTheme="majorHAnsi" w:hAnsiTheme="majorHAnsi" w:cs="Arial"/>
                <w:b w:val="0"/>
                <w:sz w:val="20"/>
                <w:szCs w:val="20"/>
                <w:lang w:val="es-ES_tradnl"/>
              </w:rPr>
              <w:t xml:space="preserve">nexo a un proyecto de Resolución, si las Partes Contratantes lo consideran conveniente, o como Documento informativo para la 13ª reunión de la Conferencia de las Partes. </w:t>
            </w:r>
          </w:p>
          <w:p w14:paraId="2F808AAB" w14:textId="2268B6AE"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t xml:space="preserve"> </w:t>
            </w:r>
          </w:p>
          <w:p w14:paraId="71549CDB" w14:textId="5B93A583" w:rsidR="00360FBC" w:rsidRPr="00A9234B" w:rsidRDefault="00360FBC" w:rsidP="008B26B4">
            <w:pPr>
              <w:rPr>
                <w:rFonts w:asciiTheme="majorHAnsi" w:hAnsiTheme="majorHAnsi" w:cs="Arial"/>
                <w:sz w:val="20"/>
                <w:szCs w:val="20"/>
                <w:lang w:val="es-ES_tradnl"/>
              </w:rPr>
            </w:pPr>
            <w:r w:rsidRPr="00A9234B">
              <w:rPr>
                <w:rFonts w:asciiTheme="majorHAnsi" w:hAnsiTheme="majorHAnsi" w:cs="Arial"/>
                <w:b w:val="0"/>
                <w:sz w:val="20"/>
                <w:szCs w:val="20"/>
                <w:u w:val="single"/>
                <w:lang w:val="es-ES_tradnl"/>
              </w:rPr>
              <w:t>Grupo(s) destinatario(s)</w:t>
            </w:r>
            <w:r w:rsidRPr="00A9234B">
              <w:rPr>
                <w:rFonts w:asciiTheme="majorHAnsi" w:hAnsiTheme="majorHAnsi" w:cs="Arial"/>
                <w:b w:val="0"/>
                <w:sz w:val="20"/>
                <w:szCs w:val="20"/>
                <w:lang w:val="es-ES_tradnl"/>
              </w:rPr>
              <w:t>:</w:t>
            </w:r>
            <w:r w:rsidRPr="00A9234B">
              <w:rPr>
                <w:rFonts w:asciiTheme="majorHAnsi" w:hAnsiTheme="majorHAnsi" w:cs="Arial"/>
                <w:sz w:val="20"/>
                <w:szCs w:val="20"/>
                <w:lang w:val="es-ES_tradnl"/>
              </w:rPr>
              <w:t xml:space="preserve"> </w:t>
            </w:r>
            <w:r w:rsidRPr="00A9234B">
              <w:rPr>
                <w:rFonts w:asciiTheme="majorHAnsi" w:hAnsiTheme="majorHAnsi" w:cs="Arial"/>
                <w:b w:val="0"/>
                <w:sz w:val="20"/>
                <w:szCs w:val="20"/>
                <w:lang w:val="es-ES_tradnl"/>
              </w:rPr>
              <w:t>Profesionales (administradores de sitios Ramsar)</w:t>
            </w:r>
            <w:r w:rsidRPr="00A9234B" w:rsidDel="00BE3416">
              <w:rPr>
                <w:rFonts w:asciiTheme="majorHAnsi" w:hAnsiTheme="majorHAnsi" w:cs="Arial"/>
                <w:b w:val="0"/>
                <w:sz w:val="20"/>
                <w:szCs w:val="20"/>
                <w:lang w:val="es-ES_tradnl"/>
              </w:rPr>
              <w:t xml:space="preserve"> </w:t>
            </w:r>
          </w:p>
        </w:tc>
        <w:tc>
          <w:tcPr>
            <w:tcW w:w="492" w:type="pct"/>
          </w:tcPr>
          <w:p w14:paraId="56127C7C" w14:textId="5159F79A" w:rsidR="00360FBC" w:rsidRPr="00A9234B" w:rsidRDefault="00360FBC" w:rsidP="00EF4061">
            <w:pPr>
              <w:rPr>
                <w:rFonts w:asciiTheme="majorHAnsi" w:hAnsiTheme="majorHAnsi" w:cs="Arial"/>
                <w:b w:val="0"/>
                <w:sz w:val="20"/>
                <w:szCs w:val="20"/>
                <w:lang w:val="es-ES_tradnl"/>
              </w:rPr>
            </w:pPr>
            <w:r w:rsidRPr="00A9234B">
              <w:rPr>
                <w:rFonts w:asciiTheme="majorHAnsi" w:hAnsiTheme="majorHAnsi" w:cs="Arial"/>
                <w:b w:val="0"/>
                <w:sz w:val="20"/>
                <w:szCs w:val="20"/>
                <w:lang w:val="es-ES_tradnl"/>
              </w:rPr>
              <w:lastRenderedPageBreak/>
              <w:t>Hasta 35.500</w:t>
            </w:r>
          </w:p>
        </w:tc>
      </w:tr>
    </w:tbl>
    <w:p w14:paraId="6D12FB40" w14:textId="4AEF038B" w:rsidR="008D03FD" w:rsidRPr="00A9234B" w:rsidRDefault="008D03FD" w:rsidP="00AF13A3">
      <w:pPr>
        <w:rPr>
          <w:rFonts w:asciiTheme="majorHAnsi" w:eastAsia="MS Mincho" w:hAnsiTheme="majorHAnsi"/>
          <w:sz w:val="22"/>
          <w:szCs w:val="22"/>
          <w:lang w:val="es-ES_tradnl" w:eastAsia="ja-JP"/>
        </w:rPr>
      </w:pPr>
    </w:p>
    <w:p w14:paraId="2FCB1874" w14:textId="77777777" w:rsidR="008D03FD" w:rsidRPr="00A9234B" w:rsidRDefault="008D03FD" w:rsidP="008D03FD">
      <w:pPr>
        <w:rPr>
          <w:rFonts w:asciiTheme="majorHAnsi" w:eastAsia="MS Mincho" w:hAnsiTheme="majorHAnsi"/>
          <w:sz w:val="22"/>
          <w:szCs w:val="22"/>
          <w:lang w:val="es-ES_tradnl" w:eastAsia="ja-JP"/>
        </w:rPr>
      </w:pPr>
    </w:p>
    <w:p w14:paraId="4C946A1A" w14:textId="77777777" w:rsidR="008D03FD" w:rsidRPr="00A9234B" w:rsidRDefault="008D03FD" w:rsidP="008D03FD">
      <w:pPr>
        <w:rPr>
          <w:rFonts w:asciiTheme="majorHAnsi" w:eastAsia="MS Mincho" w:hAnsiTheme="majorHAnsi"/>
          <w:sz w:val="22"/>
          <w:szCs w:val="22"/>
          <w:lang w:val="es-ES_tradnl" w:eastAsia="ja-JP"/>
        </w:rPr>
      </w:pPr>
    </w:p>
    <w:p w14:paraId="37898596" w14:textId="77777777" w:rsidR="008D03FD" w:rsidRPr="00A9234B" w:rsidRDefault="008D03FD" w:rsidP="008D03FD">
      <w:pPr>
        <w:rPr>
          <w:rFonts w:asciiTheme="majorHAnsi" w:eastAsia="MS Mincho" w:hAnsiTheme="majorHAnsi"/>
          <w:sz w:val="22"/>
          <w:szCs w:val="22"/>
          <w:lang w:val="es-ES_tradnl" w:eastAsia="ja-JP"/>
        </w:rPr>
      </w:pPr>
    </w:p>
    <w:p w14:paraId="10F3922D" w14:textId="77777777" w:rsidR="008D03FD" w:rsidRPr="00A9234B" w:rsidRDefault="008D03FD" w:rsidP="008D03FD">
      <w:pPr>
        <w:rPr>
          <w:rFonts w:asciiTheme="majorHAnsi" w:eastAsia="MS Mincho" w:hAnsiTheme="majorHAnsi"/>
          <w:sz w:val="22"/>
          <w:szCs w:val="22"/>
          <w:lang w:val="es-ES_tradnl" w:eastAsia="ja-JP"/>
        </w:rPr>
      </w:pPr>
    </w:p>
    <w:p w14:paraId="66AAC10F" w14:textId="77777777" w:rsidR="008D03FD" w:rsidRPr="00A9234B" w:rsidRDefault="008D03FD" w:rsidP="008D03FD">
      <w:pPr>
        <w:rPr>
          <w:rFonts w:asciiTheme="majorHAnsi" w:eastAsia="MS Mincho" w:hAnsiTheme="majorHAnsi"/>
          <w:sz w:val="22"/>
          <w:szCs w:val="22"/>
          <w:lang w:val="es-ES_tradnl" w:eastAsia="ja-JP"/>
        </w:rPr>
      </w:pPr>
    </w:p>
    <w:p w14:paraId="5DBDCE2B" w14:textId="77777777" w:rsidR="008D03FD" w:rsidRPr="00A9234B" w:rsidRDefault="008D03FD" w:rsidP="008D03FD">
      <w:pPr>
        <w:rPr>
          <w:rFonts w:asciiTheme="majorHAnsi" w:eastAsia="MS Mincho" w:hAnsiTheme="majorHAnsi"/>
          <w:sz w:val="22"/>
          <w:szCs w:val="22"/>
          <w:lang w:val="es-ES_tradnl" w:eastAsia="ja-JP"/>
        </w:rPr>
      </w:pPr>
    </w:p>
    <w:p w14:paraId="3C3FB374" w14:textId="77777777" w:rsidR="008D03FD" w:rsidRPr="00A9234B" w:rsidRDefault="008D03FD" w:rsidP="008D03FD">
      <w:pPr>
        <w:rPr>
          <w:rFonts w:asciiTheme="majorHAnsi" w:eastAsia="MS Mincho" w:hAnsiTheme="majorHAnsi"/>
          <w:sz w:val="22"/>
          <w:szCs w:val="22"/>
          <w:lang w:val="es-ES_tradnl" w:eastAsia="ja-JP"/>
        </w:rPr>
      </w:pPr>
    </w:p>
    <w:p w14:paraId="51DB82B8" w14:textId="77777777" w:rsidR="008D03FD" w:rsidRPr="00A9234B" w:rsidRDefault="008D03FD" w:rsidP="008D03FD">
      <w:pPr>
        <w:rPr>
          <w:rFonts w:asciiTheme="majorHAnsi" w:eastAsia="MS Mincho" w:hAnsiTheme="majorHAnsi"/>
          <w:sz w:val="22"/>
          <w:szCs w:val="22"/>
          <w:lang w:val="es-ES_tradnl" w:eastAsia="ja-JP"/>
        </w:rPr>
      </w:pPr>
    </w:p>
    <w:p w14:paraId="4DEEB9B1" w14:textId="77777777" w:rsidR="008D03FD" w:rsidRPr="00A9234B" w:rsidRDefault="008D03FD" w:rsidP="008D03FD">
      <w:pPr>
        <w:rPr>
          <w:rFonts w:asciiTheme="majorHAnsi" w:eastAsia="MS Mincho" w:hAnsiTheme="majorHAnsi"/>
          <w:sz w:val="22"/>
          <w:szCs w:val="22"/>
          <w:lang w:val="es-ES_tradnl" w:eastAsia="ja-JP"/>
        </w:rPr>
      </w:pPr>
    </w:p>
    <w:p w14:paraId="4562663C" w14:textId="77777777" w:rsidR="008D03FD" w:rsidRPr="00A9234B" w:rsidRDefault="008D03FD" w:rsidP="008D03FD">
      <w:pPr>
        <w:rPr>
          <w:rFonts w:asciiTheme="majorHAnsi" w:eastAsia="MS Mincho" w:hAnsiTheme="majorHAnsi"/>
          <w:sz w:val="22"/>
          <w:szCs w:val="22"/>
          <w:lang w:val="es-ES_tradnl" w:eastAsia="ja-JP"/>
        </w:rPr>
      </w:pPr>
    </w:p>
    <w:p w14:paraId="69AB2E97" w14:textId="77777777" w:rsidR="008D03FD" w:rsidRPr="00A9234B" w:rsidRDefault="008D03FD" w:rsidP="008D03FD">
      <w:pPr>
        <w:rPr>
          <w:rFonts w:asciiTheme="majorHAnsi" w:eastAsia="MS Mincho" w:hAnsiTheme="majorHAnsi"/>
          <w:sz w:val="22"/>
          <w:szCs w:val="22"/>
          <w:lang w:val="es-ES_tradnl" w:eastAsia="ja-JP"/>
        </w:rPr>
      </w:pPr>
    </w:p>
    <w:p w14:paraId="6AC531CF" w14:textId="77777777" w:rsidR="008D03FD" w:rsidRPr="00A9234B" w:rsidRDefault="008D03FD" w:rsidP="008D03FD">
      <w:pPr>
        <w:rPr>
          <w:rFonts w:asciiTheme="majorHAnsi" w:eastAsia="MS Mincho" w:hAnsiTheme="majorHAnsi"/>
          <w:sz w:val="22"/>
          <w:szCs w:val="22"/>
          <w:lang w:val="es-ES_tradnl" w:eastAsia="ja-JP"/>
        </w:rPr>
      </w:pPr>
    </w:p>
    <w:p w14:paraId="7A34DE0B" w14:textId="77777777" w:rsidR="008D03FD" w:rsidRPr="00A9234B" w:rsidRDefault="008D03FD" w:rsidP="008D03FD">
      <w:pPr>
        <w:rPr>
          <w:rFonts w:asciiTheme="majorHAnsi" w:eastAsia="MS Mincho" w:hAnsiTheme="majorHAnsi"/>
          <w:sz w:val="22"/>
          <w:szCs w:val="22"/>
          <w:lang w:val="es-ES_tradnl" w:eastAsia="ja-JP"/>
        </w:rPr>
      </w:pPr>
    </w:p>
    <w:p w14:paraId="389B7BE6" w14:textId="77777777" w:rsidR="008D03FD" w:rsidRPr="00A9234B" w:rsidRDefault="008D03FD" w:rsidP="008D03FD">
      <w:pPr>
        <w:rPr>
          <w:rFonts w:asciiTheme="majorHAnsi" w:eastAsia="MS Mincho" w:hAnsiTheme="majorHAnsi"/>
          <w:sz w:val="22"/>
          <w:szCs w:val="22"/>
          <w:lang w:val="es-ES_tradnl" w:eastAsia="ja-JP"/>
        </w:rPr>
      </w:pPr>
    </w:p>
    <w:p w14:paraId="02771165" w14:textId="77777777" w:rsidR="008D03FD" w:rsidRPr="00A9234B" w:rsidRDefault="008D03FD" w:rsidP="008D03FD">
      <w:pPr>
        <w:rPr>
          <w:rFonts w:asciiTheme="majorHAnsi" w:eastAsia="MS Mincho" w:hAnsiTheme="majorHAnsi"/>
          <w:sz w:val="22"/>
          <w:szCs w:val="22"/>
          <w:lang w:val="es-ES_tradnl" w:eastAsia="ja-JP"/>
        </w:rPr>
      </w:pPr>
    </w:p>
    <w:p w14:paraId="19375A3E" w14:textId="5FC96230" w:rsidR="008D03FD" w:rsidRPr="00A9234B" w:rsidRDefault="008D03FD" w:rsidP="008D03FD">
      <w:pPr>
        <w:tabs>
          <w:tab w:val="left" w:pos="2717"/>
        </w:tabs>
        <w:rPr>
          <w:rFonts w:asciiTheme="majorHAnsi" w:eastAsia="MS Mincho" w:hAnsiTheme="majorHAnsi"/>
          <w:sz w:val="22"/>
          <w:szCs w:val="22"/>
          <w:lang w:val="es-ES_tradnl" w:eastAsia="ja-JP"/>
        </w:rPr>
      </w:pPr>
      <w:r w:rsidRPr="00A9234B">
        <w:rPr>
          <w:rFonts w:asciiTheme="majorHAnsi" w:eastAsia="MS Mincho" w:hAnsiTheme="majorHAnsi"/>
          <w:sz w:val="22"/>
          <w:szCs w:val="22"/>
          <w:lang w:val="es-ES_tradnl" w:eastAsia="ja-JP"/>
        </w:rPr>
        <w:tab/>
      </w:r>
    </w:p>
    <w:p w14:paraId="0657F9A8" w14:textId="77777777" w:rsidR="008D03FD" w:rsidRPr="00A9234B" w:rsidRDefault="008D03FD" w:rsidP="008D03FD">
      <w:pPr>
        <w:rPr>
          <w:rFonts w:asciiTheme="majorHAnsi" w:eastAsia="MS Mincho" w:hAnsiTheme="majorHAnsi"/>
          <w:sz w:val="22"/>
          <w:szCs w:val="22"/>
          <w:lang w:val="es-ES_tradnl" w:eastAsia="ja-JP"/>
        </w:rPr>
      </w:pPr>
    </w:p>
    <w:p w14:paraId="4DED182C" w14:textId="77777777" w:rsidR="008D03FD" w:rsidRPr="00A9234B" w:rsidRDefault="008D03FD" w:rsidP="008D03FD">
      <w:pPr>
        <w:rPr>
          <w:rFonts w:asciiTheme="majorHAnsi" w:eastAsia="MS Mincho" w:hAnsiTheme="majorHAnsi"/>
          <w:sz w:val="22"/>
          <w:szCs w:val="22"/>
          <w:lang w:val="es-ES_tradnl" w:eastAsia="ja-JP"/>
        </w:rPr>
      </w:pPr>
    </w:p>
    <w:p w14:paraId="7591D8F1" w14:textId="77777777" w:rsidR="00914A1A" w:rsidRPr="00A9234B" w:rsidRDefault="00914A1A" w:rsidP="008D03FD">
      <w:pPr>
        <w:rPr>
          <w:rFonts w:asciiTheme="majorHAnsi" w:eastAsia="MS Mincho" w:hAnsiTheme="majorHAnsi"/>
          <w:sz w:val="22"/>
          <w:szCs w:val="22"/>
          <w:lang w:val="es-ES_tradnl" w:eastAsia="ja-JP"/>
        </w:rPr>
      </w:pPr>
    </w:p>
    <w:sectPr w:rsidR="00914A1A" w:rsidRPr="00A9234B" w:rsidSect="00504EB0">
      <w:footerReference w:type="default" r:id="rId12"/>
      <w:footerReference w:type="first" r:id="rId13"/>
      <w:pgSz w:w="16838" w:h="11906" w:orient="landscape"/>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A03FB" w14:textId="77777777" w:rsidR="007C1A2D" w:rsidRDefault="007C1A2D" w:rsidP="00B92085">
      <w:r>
        <w:separator/>
      </w:r>
    </w:p>
  </w:endnote>
  <w:endnote w:type="continuationSeparator" w:id="0">
    <w:p w14:paraId="03E45825" w14:textId="77777777" w:rsidR="007C1A2D" w:rsidRDefault="007C1A2D"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292201174"/>
      <w:docPartObj>
        <w:docPartGallery w:val="Page Numbers (Bottom of Page)"/>
        <w:docPartUnique/>
      </w:docPartObj>
    </w:sdtPr>
    <w:sdtEndPr>
      <w:rPr>
        <w:noProof/>
      </w:rPr>
    </w:sdtEndPr>
    <w:sdtContent>
      <w:p w14:paraId="0200F239" w14:textId="6C7B83D7" w:rsidR="00504EB0" w:rsidRPr="0067282A" w:rsidRDefault="00504EB0">
        <w:pPr>
          <w:pStyle w:val="Footer"/>
          <w:jc w:val="center"/>
          <w:rPr>
            <w:rFonts w:asciiTheme="majorHAnsi" w:hAnsiTheme="majorHAnsi"/>
            <w:sz w:val="20"/>
            <w:szCs w:val="20"/>
          </w:rPr>
        </w:pPr>
        <w:r w:rsidRPr="0067282A">
          <w:rPr>
            <w:rFonts w:asciiTheme="majorHAnsi" w:hAnsiTheme="majorHAnsi"/>
            <w:sz w:val="20"/>
            <w:szCs w:val="20"/>
          </w:rPr>
          <w:fldChar w:fldCharType="begin"/>
        </w:r>
        <w:r w:rsidRPr="0067282A">
          <w:rPr>
            <w:rFonts w:asciiTheme="majorHAnsi" w:hAnsiTheme="majorHAnsi"/>
            <w:sz w:val="20"/>
            <w:szCs w:val="20"/>
          </w:rPr>
          <w:instrText xml:space="preserve"> PAGE   \* MERGEFORMAT </w:instrText>
        </w:r>
        <w:r w:rsidRPr="0067282A">
          <w:rPr>
            <w:rFonts w:asciiTheme="majorHAnsi" w:hAnsiTheme="majorHAnsi"/>
            <w:sz w:val="20"/>
            <w:szCs w:val="20"/>
          </w:rPr>
          <w:fldChar w:fldCharType="separate"/>
        </w:r>
        <w:r w:rsidR="009F0C12">
          <w:rPr>
            <w:rFonts w:asciiTheme="majorHAnsi" w:hAnsiTheme="majorHAnsi"/>
            <w:noProof/>
            <w:sz w:val="20"/>
            <w:szCs w:val="20"/>
          </w:rPr>
          <w:t>3</w:t>
        </w:r>
        <w:r w:rsidRPr="0067282A">
          <w:rPr>
            <w:rFonts w:asciiTheme="majorHAnsi" w:hAnsiTheme="majorHAnsi"/>
            <w:noProof/>
            <w:sz w:val="20"/>
            <w:szCs w:val="20"/>
          </w:rPr>
          <w:fldChar w:fldCharType="end"/>
        </w:r>
      </w:p>
    </w:sdtContent>
  </w:sdt>
  <w:p w14:paraId="49BA9DAA" w14:textId="77777777" w:rsidR="00504EB0" w:rsidRDefault="00504EB0">
    <w:pPr>
      <w:pStyle w:val="Footer"/>
    </w:pPr>
  </w:p>
  <w:p w14:paraId="6A0AF56D" w14:textId="77777777" w:rsidR="0067282A" w:rsidRDefault="00672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06579"/>
      <w:docPartObj>
        <w:docPartGallery w:val="Page Numbers (Bottom of Page)"/>
        <w:docPartUnique/>
      </w:docPartObj>
    </w:sdtPr>
    <w:sdtEndPr>
      <w:rPr>
        <w:noProof/>
      </w:rPr>
    </w:sdtEndPr>
    <w:sdtContent>
      <w:p w14:paraId="6BD4FEDA" w14:textId="77777777" w:rsidR="00504EB0" w:rsidRDefault="00504EB0">
        <w:pPr>
          <w:pStyle w:val="Footer"/>
          <w:jc w:val="center"/>
        </w:pPr>
        <w:r w:rsidRPr="00504EB0">
          <w:rPr>
            <w:rFonts w:asciiTheme="majorHAnsi" w:hAnsiTheme="majorHAnsi"/>
            <w:sz w:val="18"/>
            <w:szCs w:val="18"/>
          </w:rPr>
          <w:fldChar w:fldCharType="begin"/>
        </w:r>
        <w:r w:rsidRPr="00504EB0">
          <w:rPr>
            <w:rFonts w:asciiTheme="majorHAnsi" w:hAnsiTheme="majorHAnsi"/>
            <w:sz w:val="18"/>
            <w:szCs w:val="18"/>
          </w:rPr>
          <w:instrText xml:space="preserve"> PAGE   \* MERGEFORMAT </w:instrText>
        </w:r>
        <w:r w:rsidRPr="00504EB0">
          <w:rPr>
            <w:rFonts w:asciiTheme="majorHAnsi" w:hAnsiTheme="majorHAnsi"/>
            <w:sz w:val="18"/>
            <w:szCs w:val="18"/>
          </w:rPr>
          <w:fldChar w:fldCharType="separate"/>
        </w:r>
        <w:r w:rsidR="009F0C12">
          <w:rPr>
            <w:rFonts w:asciiTheme="majorHAnsi" w:hAnsiTheme="majorHAnsi"/>
            <w:noProof/>
            <w:sz w:val="18"/>
            <w:szCs w:val="18"/>
          </w:rPr>
          <w:t>4</w:t>
        </w:r>
        <w:r w:rsidRPr="00504EB0">
          <w:rPr>
            <w:rFonts w:asciiTheme="majorHAnsi" w:hAnsiTheme="majorHAnsi"/>
            <w:noProof/>
            <w:sz w:val="18"/>
            <w:szCs w:val="18"/>
          </w:rPr>
          <w:fldChar w:fldCharType="end"/>
        </w:r>
      </w:p>
    </w:sdtContent>
  </w:sdt>
  <w:p w14:paraId="6541F3A5" w14:textId="77777777" w:rsidR="00504EB0" w:rsidRDefault="00504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24A2" w14:textId="77777777" w:rsidR="00504EB0" w:rsidRDefault="0050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38F43" w14:textId="77777777" w:rsidR="007C1A2D" w:rsidRDefault="007C1A2D" w:rsidP="00B92085">
      <w:r>
        <w:separator/>
      </w:r>
    </w:p>
  </w:footnote>
  <w:footnote w:type="continuationSeparator" w:id="0">
    <w:p w14:paraId="195D2453" w14:textId="77777777" w:rsidR="007C1A2D" w:rsidRDefault="007C1A2D" w:rsidP="00B92085">
      <w:r>
        <w:continuationSeparator/>
      </w:r>
    </w:p>
  </w:footnote>
  <w:footnote w:id="1">
    <w:p w14:paraId="4C35F54D" w14:textId="4C230128" w:rsidR="008D03FD" w:rsidRPr="008F7FCB" w:rsidRDefault="008D03FD" w:rsidP="008F7FCB">
      <w:pPr>
        <w:rPr>
          <w:rFonts w:asciiTheme="majorHAnsi" w:hAnsiTheme="majorHAnsi" w:cs="Arial"/>
          <w:sz w:val="20"/>
          <w:szCs w:val="20"/>
          <w:lang w:val="es-ES_tradnl" w:eastAsia="ja-JP"/>
        </w:rPr>
      </w:pPr>
      <w:r w:rsidRPr="008F7FCB">
        <w:rPr>
          <w:rFonts w:asciiTheme="majorHAnsi" w:hAnsiTheme="majorHAnsi" w:cs="Arial"/>
          <w:sz w:val="20"/>
          <w:szCs w:val="20"/>
          <w:vertAlign w:val="superscript"/>
          <w:lang w:val="es-ES_tradnl" w:eastAsia="ja-JP"/>
        </w:rPr>
        <w:footnoteRef/>
      </w:r>
      <w:r w:rsidRPr="008F7FCB">
        <w:rPr>
          <w:rFonts w:asciiTheme="majorHAnsi" w:hAnsiTheme="majorHAnsi" w:cs="Arial"/>
          <w:sz w:val="20"/>
          <w:szCs w:val="20"/>
          <w:lang w:val="es-ES_tradnl" w:eastAsia="ja-JP"/>
        </w:rPr>
        <w:t xml:space="preserve"> El 14 de marzo de 2016 </w:t>
      </w:r>
      <w:r>
        <w:rPr>
          <w:rFonts w:asciiTheme="majorHAnsi" w:hAnsiTheme="majorHAnsi" w:cs="Arial"/>
          <w:sz w:val="20"/>
          <w:szCs w:val="20"/>
          <w:lang w:val="es-ES_tradnl" w:eastAsia="ja-JP"/>
        </w:rPr>
        <w:t xml:space="preserve">la </w:t>
      </w:r>
      <w:r w:rsidRPr="005265E4">
        <w:rPr>
          <w:rFonts w:asciiTheme="majorHAnsi" w:hAnsiTheme="majorHAnsi" w:cs="Arial"/>
          <w:sz w:val="20"/>
          <w:szCs w:val="20"/>
          <w:lang w:val="es-ES_tradnl" w:eastAsia="ja-JP"/>
        </w:rPr>
        <w:t>JAXA</w:t>
      </w:r>
      <w:r w:rsidRPr="008F7FCB">
        <w:rPr>
          <w:rFonts w:asciiTheme="majorHAnsi" w:hAnsiTheme="majorHAnsi" w:cs="Arial"/>
          <w:sz w:val="20"/>
          <w:szCs w:val="20"/>
          <w:lang w:val="es-ES_tradnl" w:eastAsia="ja-JP"/>
        </w:rPr>
        <w:t xml:space="preserve"> informó a la Secretaría de Ramsar que la Sra. Shizu Yabe se har</w:t>
      </w:r>
      <w:r>
        <w:rPr>
          <w:rFonts w:asciiTheme="majorHAnsi" w:hAnsiTheme="majorHAnsi" w:cs="Arial"/>
          <w:sz w:val="20"/>
          <w:szCs w:val="20"/>
          <w:lang w:val="es-ES_tradnl" w:eastAsia="ja-JP"/>
        </w:rPr>
        <w:t>ía</w:t>
      </w:r>
      <w:r w:rsidRPr="008F7FCB">
        <w:rPr>
          <w:rFonts w:asciiTheme="majorHAnsi" w:hAnsiTheme="majorHAnsi" w:cs="Arial"/>
          <w:sz w:val="20"/>
          <w:szCs w:val="20"/>
          <w:lang w:val="es-ES_tradnl" w:eastAsia="ja-JP"/>
        </w:rPr>
        <w:t xml:space="preserve"> cargo de las funciones del Sr. Nobuyoshi Fujimoto como representante de </w:t>
      </w:r>
      <w:r>
        <w:rPr>
          <w:rFonts w:asciiTheme="majorHAnsi" w:hAnsiTheme="majorHAnsi" w:cs="Arial"/>
          <w:sz w:val="20"/>
          <w:szCs w:val="20"/>
          <w:lang w:val="es-ES_tradnl" w:eastAsia="ja-JP"/>
        </w:rPr>
        <w:t xml:space="preserve">la </w:t>
      </w:r>
      <w:r w:rsidRPr="008F7FCB">
        <w:rPr>
          <w:rFonts w:asciiTheme="majorHAnsi" w:hAnsiTheme="majorHAnsi" w:cs="Arial"/>
          <w:sz w:val="20"/>
          <w:szCs w:val="20"/>
          <w:lang w:val="es-ES_tradnl" w:eastAsia="ja-JP"/>
        </w:rPr>
        <w:t xml:space="preserve">JAXA </w:t>
      </w:r>
      <w:r>
        <w:rPr>
          <w:rFonts w:asciiTheme="majorHAnsi" w:hAnsiTheme="majorHAnsi" w:cs="Arial"/>
          <w:sz w:val="20"/>
          <w:szCs w:val="20"/>
          <w:lang w:val="es-ES_tradnl" w:eastAsia="ja-JP"/>
        </w:rPr>
        <w:t>en el</w:t>
      </w:r>
      <w:r w:rsidRPr="008F7FCB">
        <w:rPr>
          <w:rFonts w:asciiTheme="majorHAnsi" w:hAnsiTheme="majorHAnsi" w:cs="Arial"/>
          <w:sz w:val="20"/>
          <w:szCs w:val="20"/>
          <w:lang w:val="es-ES_tradnl" w:eastAsia="ja-JP"/>
        </w:rPr>
        <w:t xml:space="preserve"> GECT. </w:t>
      </w:r>
    </w:p>
    <w:p w14:paraId="7BCCE915" w14:textId="28592029" w:rsidR="008D03FD" w:rsidRPr="005A0260" w:rsidRDefault="008D03FD">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A672" w14:textId="083C6FC4" w:rsidR="0067282A" w:rsidRPr="0067282A" w:rsidRDefault="0067282A" w:rsidP="0067282A">
    <w:pPr>
      <w:pStyle w:val="Header"/>
      <w:jc w:val="right"/>
      <w:rPr>
        <w:rFonts w:asciiTheme="majorHAnsi" w:hAnsiTheme="majorHAnsi"/>
        <w:sz w:val="18"/>
        <w:szCs w:val="18"/>
        <w:lang w:val="es-ES"/>
      </w:rPr>
    </w:pPr>
    <w:r w:rsidRPr="0067282A">
      <w:rPr>
        <w:rFonts w:asciiTheme="majorHAnsi" w:hAnsiTheme="majorHAnsi"/>
        <w:sz w:val="18"/>
        <w:szCs w:val="18"/>
        <w:lang w:val="es-ES"/>
      </w:rPr>
      <w:t>Plan de trabajo del GECT 2016-2018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3E77"/>
    <w:multiLevelType w:val="hybridMultilevel"/>
    <w:tmpl w:val="5EF0BBEE"/>
    <w:lvl w:ilvl="0" w:tplc="BE0A13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7D3B88"/>
    <w:multiLevelType w:val="hybridMultilevel"/>
    <w:tmpl w:val="C7048392"/>
    <w:lvl w:ilvl="0" w:tplc="F3A6EAF4">
      <w:start w:val="1"/>
      <w:numFmt w:val="lowerRoman"/>
      <w:lvlText w:val="%1)"/>
      <w:lvlJc w:val="left"/>
      <w:pPr>
        <w:ind w:left="720" w:hanging="360"/>
      </w:pPr>
      <w:rPr>
        <w:rFonts w:asciiTheme="majorHAnsi" w:eastAsia="MS Mincho" w:hAnsiTheme="maj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7191C"/>
    <w:multiLevelType w:val="hybridMultilevel"/>
    <w:tmpl w:val="66A6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43648F"/>
    <w:multiLevelType w:val="hybridMultilevel"/>
    <w:tmpl w:val="205CF41C"/>
    <w:lvl w:ilvl="0" w:tplc="0C0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B62D22"/>
    <w:multiLevelType w:val="hybridMultilevel"/>
    <w:tmpl w:val="D124009C"/>
    <w:lvl w:ilvl="0" w:tplc="F3A6EAF4">
      <w:start w:val="1"/>
      <w:numFmt w:val="lowerRoman"/>
      <w:lvlText w:val="%1)"/>
      <w:lvlJc w:val="left"/>
      <w:pPr>
        <w:ind w:left="1486" w:hanging="360"/>
      </w:pPr>
      <w:rPr>
        <w:rFonts w:asciiTheme="majorHAnsi" w:eastAsia="MS Mincho" w:hAnsiTheme="majorHAnsi" w:cs="Times New Roman" w:hint="default"/>
        <w:b w:val="0"/>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06CC0"/>
    <w:rsid w:val="0001220D"/>
    <w:rsid w:val="00012E11"/>
    <w:rsid w:val="000130B8"/>
    <w:rsid w:val="00013A24"/>
    <w:rsid w:val="000152B0"/>
    <w:rsid w:val="00016AB7"/>
    <w:rsid w:val="00021CAA"/>
    <w:rsid w:val="00022FDE"/>
    <w:rsid w:val="00037FF1"/>
    <w:rsid w:val="00044C32"/>
    <w:rsid w:val="00054CFF"/>
    <w:rsid w:val="00056B5A"/>
    <w:rsid w:val="00060A0B"/>
    <w:rsid w:val="00063970"/>
    <w:rsid w:val="00066F72"/>
    <w:rsid w:val="000710E0"/>
    <w:rsid w:val="00084614"/>
    <w:rsid w:val="0008555C"/>
    <w:rsid w:val="00086577"/>
    <w:rsid w:val="00091004"/>
    <w:rsid w:val="000A1FC0"/>
    <w:rsid w:val="000A70FE"/>
    <w:rsid w:val="000A7839"/>
    <w:rsid w:val="000B0A62"/>
    <w:rsid w:val="000B17B5"/>
    <w:rsid w:val="000B2CBF"/>
    <w:rsid w:val="000B5903"/>
    <w:rsid w:val="000C4E7E"/>
    <w:rsid w:val="000C567D"/>
    <w:rsid w:val="000C5746"/>
    <w:rsid w:val="000D06BD"/>
    <w:rsid w:val="000D2DCE"/>
    <w:rsid w:val="000D373B"/>
    <w:rsid w:val="000D600D"/>
    <w:rsid w:val="000D6510"/>
    <w:rsid w:val="000E2376"/>
    <w:rsid w:val="000E28DF"/>
    <w:rsid w:val="000F253D"/>
    <w:rsid w:val="000F29A9"/>
    <w:rsid w:val="000F2D09"/>
    <w:rsid w:val="000F2E6B"/>
    <w:rsid w:val="000F659F"/>
    <w:rsid w:val="001020AA"/>
    <w:rsid w:val="00106B7A"/>
    <w:rsid w:val="00107C24"/>
    <w:rsid w:val="0011394D"/>
    <w:rsid w:val="00117EF6"/>
    <w:rsid w:val="00120DB7"/>
    <w:rsid w:val="0012163E"/>
    <w:rsid w:val="0013158A"/>
    <w:rsid w:val="00133941"/>
    <w:rsid w:val="00134986"/>
    <w:rsid w:val="00135933"/>
    <w:rsid w:val="00137A95"/>
    <w:rsid w:val="001407CF"/>
    <w:rsid w:val="00147B3C"/>
    <w:rsid w:val="001506F4"/>
    <w:rsid w:val="001568CB"/>
    <w:rsid w:val="001571F3"/>
    <w:rsid w:val="0017099D"/>
    <w:rsid w:val="0017304D"/>
    <w:rsid w:val="001752FB"/>
    <w:rsid w:val="00176F36"/>
    <w:rsid w:val="00193209"/>
    <w:rsid w:val="001A5866"/>
    <w:rsid w:val="001B7FEF"/>
    <w:rsid w:val="001C7CBD"/>
    <w:rsid w:val="001D1772"/>
    <w:rsid w:val="001D3CAB"/>
    <w:rsid w:val="001E3EC4"/>
    <w:rsid w:val="001E4662"/>
    <w:rsid w:val="001F0CAF"/>
    <w:rsid w:val="001F23AF"/>
    <w:rsid w:val="001F3367"/>
    <w:rsid w:val="001F34FD"/>
    <w:rsid w:val="001F4BBE"/>
    <w:rsid w:val="001F5F62"/>
    <w:rsid w:val="00202AF6"/>
    <w:rsid w:val="00203259"/>
    <w:rsid w:val="00204083"/>
    <w:rsid w:val="0021025F"/>
    <w:rsid w:val="002319B6"/>
    <w:rsid w:val="00240416"/>
    <w:rsid w:val="00246FC8"/>
    <w:rsid w:val="002522BC"/>
    <w:rsid w:val="002522E6"/>
    <w:rsid w:val="0025366A"/>
    <w:rsid w:val="002635E6"/>
    <w:rsid w:val="00263863"/>
    <w:rsid w:val="00270013"/>
    <w:rsid w:val="002773A6"/>
    <w:rsid w:val="0027797B"/>
    <w:rsid w:val="00284D9E"/>
    <w:rsid w:val="002A2E28"/>
    <w:rsid w:val="002A4129"/>
    <w:rsid w:val="002A557E"/>
    <w:rsid w:val="002B34E4"/>
    <w:rsid w:val="002C1D05"/>
    <w:rsid w:val="002D1CB4"/>
    <w:rsid w:val="002D7809"/>
    <w:rsid w:val="002E39D4"/>
    <w:rsid w:val="002F6EEF"/>
    <w:rsid w:val="00300D57"/>
    <w:rsid w:val="00302D29"/>
    <w:rsid w:val="0030522D"/>
    <w:rsid w:val="00314C4F"/>
    <w:rsid w:val="00323F84"/>
    <w:rsid w:val="003365C7"/>
    <w:rsid w:val="003408ED"/>
    <w:rsid w:val="00343989"/>
    <w:rsid w:val="00343A68"/>
    <w:rsid w:val="00352BA4"/>
    <w:rsid w:val="00356FE0"/>
    <w:rsid w:val="00360FBC"/>
    <w:rsid w:val="00371F36"/>
    <w:rsid w:val="00372E0C"/>
    <w:rsid w:val="003736F8"/>
    <w:rsid w:val="0037459B"/>
    <w:rsid w:val="003760D6"/>
    <w:rsid w:val="00382E75"/>
    <w:rsid w:val="00391405"/>
    <w:rsid w:val="00394062"/>
    <w:rsid w:val="00394B6B"/>
    <w:rsid w:val="003A127C"/>
    <w:rsid w:val="003A160F"/>
    <w:rsid w:val="003A5BE7"/>
    <w:rsid w:val="003A5F8D"/>
    <w:rsid w:val="003B70B1"/>
    <w:rsid w:val="003B7953"/>
    <w:rsid w:val="003B7FB9"/>
    <w:rsid w:val="003C03B2"/>
    <w:rsid w:val="003D6766"/>
    <w:rsid w:val="003D6F87"/>
    <w:rsid w:val="003E038E"/>
    <w:rsid w:val="003E0B7C"/>
    <w:rsid w:val="003E1FA4"/>
    <w:rsid w:val="003E486B"/>
    <w:rsid w:val="003F42B1"/>
    <w:rsid w:val="00406EE9"/>
    <w:rsid w:val="004123A7"/>
    <w:rsid w:val="0042494B"/>
    <w:rsid w:val="00424B22"/>
    <w:rsid w:val="0042636B"/>
    <w:rsid w:val="00430953"/>
    <w:rsid w:val="004438E7"/>
    <w:rsid w:val="00447596"/>
    <w:rsid w:val="0046215B"/>
    <w:rsid w:val="0046719A"/>
    <w:rsid w:val="0047336B"/>
    <w:rsid w:val="0047339C"/>
    <w:rsid w:val="00477174"/>
    <w:rsid w:val="00483B33"/>
    <w:rsid w:val="0049106F"/>
    <w:rsid w:val="00491713"/>
    <w:rsid w:val="004958CC"/>
    <w:rsid w:val="00496E6B"/>
    <w:rsid w:val="004A137C"/>
    <w:rsid w:val="004A3B65"/>
    <w:rsid w:val="004A4117"/>
    <w:rsid w:val="004A5FAE"/>
    <w:rsid w:val="004B2344"/>
    <w:rsid w:val="004B31D6"/>
    <w:rsid w:val="004C1EF3"/>
    <w:rsid w:val="004C3386"/>
    <w:rsid w:val="004D0FFC"/>
    <w:rsid w:val="004D1C1F"/>
    <w:rsid w:val="004D303D"/>
    <w:rsid w:val="004D6438"/>
    <w:rsid w:val="004E0ACE"/>
    <w:rsid w:val="004E3AAF"/>
    <w:rsid w:val="004E6F6D"/>
    <w:rsid w:val="004E7FBE"/>
    <w:rsid w:val="00501577"/>
    <w:rsid w:val="00502323"/>
    <w:rsid w:val="0050367C"/>
    <w:rsid w:val="0050391C"/>
    <w:rsid w:val="00504EB0"/>
    <w:rsid w:val="005104B9"/>
    <w:rsid w:val="00512383"/>
    <w:rsid w:val="005143F2"/>
    <w:rsid w:val="00517D16"/>
    <w:rsid w:val="005203ED"/>
    <w:rsid w:val="00520FC4"/>
    <w:rsid w:val="0052281A"/>
    <w:rsid w:val="005265E4"/>
    <w:rsid w:val="005309CA"/>
    <w:rsid w:val="00534531"/>
    <w:rsid w:val="00536817"/>
    <w:rsid w:val="00537559"/>
    <w:rsid w:val="005425D1"/>
    <w:rsid w:val="00544EF7"/>
    <w:rsid w:val="00552DC7"/>
    <w:rsid w:val="00553E75"/>
    <w:rsid w:val="005618F3"/>
    <w:rsid w:val="00564BB7"/>
    <w:rsid w:val="00566D72"/>
    <w:rsid w:val="005702F0"/>
    <w:rsid w:val="00577449"/>
    <w:rsid w:val="00580213"/>
    <w:rsid w:val="00587B45"/>
    <w:rsid w:val="005A01B4"/>
    <w:rsid w:val="005A0260"/>
    <w:rsid w:val="005A03C5"/>
    <w:rsid w:val="005A530B"/>
    <w:rsid w:val="005A788A"/>
    <w:rsid w:val="005B45C0"/>
    <w:rsid w:val="005B4BA2"/>
    <w:rsid w:val="005C6014"/>
    <w:rsid w:val="005C68E2"/>
    <w:rsid w:val="005D1240"/>
    <w:rsid w:val="005D5542"/>
    <w:rsid w:val="005D79F9"/>
    <w:rsid w:val="005E12E8"/>
    <w:rsid w:val="005E3C87"/>
    <w:rsid w:val="005F0114"/>
    <w:rsid w:val="005F5D36"/>
    <w:rsid w:val="005F6580"/>
    <w:rsid w:val="005F6A5A"/>
    <w:rsid w:val="00602087"/>
    <w:rsid w:val="0060313F"/>
    <w:rsid w:val="00605E74"/>
    <w:rsid w:val="0061160B"/>
    <w:rsid w:val="0061532C"/>
    <w:rsid w:val="006216A4"/>
    <w:rsid w:val="00631E3A"/>
    <w:rsid w:val="00642BAA"/>
    <w:rsid w:val="00645B77"/>
    <w:rsid w:val="0064689F"/>
    <w:rsid w:val="00647F03"/>
    <w:rsid w:val="00656349"/>
    <w:rsid w:val="00656697"/>
    <w:rsid w:val="00664CE1"/>
    <w:rsid w:val="0067282A"/>
    <w:rsid w:val="00674F73"/>
    <w:rsid w:val="00681E81"/>
    <w:rsid w:val="006850F8"/>
    <w:rsid w:val="00692721"/>
    <w:rsid w:val="006934E8"/>
    <w:rsid w:val="006A4B64"/>
    <w:rsid w:val="006C03C2"/>
    <w:rsid w:val="006C1101"/>
    <w:rsid w:val="006C4704"/>
    <w:rsid w:val="006C541D"/>
    <w:rsid w:val="006C7CD0"/>
    <w:rsid w:val="006D0372"/>
    <w:rsid w:val="006E0C22"/>
    <w:rsid w:val="006E17FD"/>
    <w:rsid w:val="006E20AA"/>
    <w:rsid w:val="006E2B9A"/>
    <w:rsid w:val="006E601A"/>
    <w:rsid w:val="006E688E"/>
    <w:rsid w:val="006E6B39"/>
    <w:rsid w:val="006F1AF8"/>
    <w:rsid w:val="006F52F2"/>
    <w:rsid w:val="0070240E"/>
    <w:rsid w:val="00703261"/>
    <w:rsid w:val="0070486B"/>
    <w:rsid w:val="00722B9E"/>
    <w:rsid w:val="00725898"/>
    <w:rsid w:val="00731B68"/>
    <w:rsid w:val="007360DF"/>
    <w:rsid w:val="00744F7D"/>
    <w:rsid w:val="007508C5"/>
    <w:rsid w:val="00752016"/>
    <w:rsid w:val="00752C5C"/>
    <w:rsid w:val="007572F7"/>
    <w:rsid w:val="00760CBD"/>
    <w:rsid w:val="00765A01"/>
    <w:rsid w:val="0079165A"/>
    <w:rsid w:val="007A40E0"/>
    <w:rsid w:val="007B51BD"/>
    <w:rsid w:val="007B5675"/>
    <w:rsid w:val="007B7CFA"/>
    <w:rsid w:val="007C1615"/>
    <w:rsid w:val="007C1A2D"/>
    <w:rsid w:val="007C56B4"/>
    <w:rsid w:val="007D07CF"/>
    <w:rsid w:val="007D6E58"/>
    <w:rsid w:val="007E34EC"/>
    <w:rsid w:val="007E5456"/>
    <w:rsid w:val="007F4E17"/>
    <w:rsid w:val="0080122A"/>
    <w:rsid w:val="00805ED5"/>
    <w:rsid w:val="00810463"/>
    <w:rsid w:val="00822D50"/>
    <w:rsid w:val="00830CC7"/>
    <w:rsid w:val="008330AF"/>
    <w:rsid w:val="00836984"/>
    <w:rsid w:val="0084725E"/>
    <w:rsid w:val="00847F3E"/>
    <w:rsid w:val="00852ABF"/>
    <w:rsid w:val="008558FB"/>
    <w:rsid w:val="00856800"/>
    <w:rsid w:val="00873C91"/>
    <w:rsid w:val="00875044"/>
    <w:rsid w:val="0088725B"/>
    <w:rsid w:val="00891541"/>
    <w:rsid w:val="00891921"/>
    <w:rsid w:val="008941D9"/>
    <w:rsid w:val="008A2F0C"/>
    <w:rsid w:val="008B19DC"/>
    <w:rsid w:val="008B26B4"/>
    <w:rsid w:val="008B2B77"/>
    <w:rsid w:val="008C3793"/>
    <w:rsid w:val="008C39AD"/>
    <w:rsid w:val="008C5F46"/>
    <w:rsid w:val="008D03FD"/>
    <w:rsid w:val="008D7167"/>
    <w:rsid w:val="008E19CA"/>
    <w:rsid w:val="008F0849"/>
    <w:rsid w:val="008F169F"/>
    <w:rsid w:val="008F1C8C"/>
    <w:rsid w:val="008F7FCB"/>
    <w:rsid w:val="0090170D"/>
    <w:rsid w:val="0090638C"/>
    <w:rsid w:val="00907E82"/>
    <w:rsid w:val="0091050E"/>
    <w:rsid w:val="00914A1A"/>
    <w:rsid w:val="00917A8C"/>
    <w:rsid w:val="00920E7F"/>
    <w:rsid w:val="00925137"/>
    <w:rsid w:val="0093098C"/>
    <w:rsid w:val="00940658"/>
    <w:rsid w:val="00943430"/>
    <w:rsid w:val="009443B1"/>
    <w:rsid w:val="009552D1"/>
    <w:rsid w:val="00955C62"/>
    <w:rsid w:val="00965D03"/>
    <w:rsid w:val="00966F10"/>
    <w:rsid w:val="0097221A"/>
    <w:rsid w:val="00975D71"/>
    <w:rsid w:val="00980B11"/>
    <w:rsid w:val="00990656"/>
    <w:rsid w:val="009A2356"/>
    <w:rsid w:val="009A5649"/>
    <w:rsid w:val="009A62E6"/>
    <w:rsid w:val="009A7402"/>
    <w:rsid w:val="009A7F56"/>
    <w:rsid w:val="009B2E2D"/>
    <w:rsid w:val="009B73CD"/>
    <w:rsid w:val="009C111E"/>
    <w:rsid w:val="009C316B"/>
    <w:rsid w:val="009C440A"/>
    <w:rsid w:val="009C48B0"/>
    <w:rsid w:val="009D180E"/>
    <w:rsid w:val="009E16DC"/>
    <w:rsid w:val="009E5820"/>
    <w:rsid w:val="009F0C12"/>
    <w:rsid w:val="00A01900"/>
    <w:rsid w:val="00A043EC"/>
    <w:rsid w:val="00A1002F"/>
    <w:rsid w:val="00A10B40"/>
    <w:rsid w:val="00A118C9"/>
    <w:rsid w:val="00A16C61"/>
    <w:rsid w:val="00A21859"/>
    <w:rsid w:val="00A270B3"/>
    <w:rsid w:val="00A30D55"/>
    <w:rsid w:val="00A32112"/>
    <w:rsid w:val="00A34F5D"/>
    <w:rsid w:val="00A460B0"/>
    <w:rsid w:val="00A571A1"/>
    <w:rsid w:val="00A64CF3"/>
    <w:rsid w:val="00A8340F"/>
    <w:rsid w:val="00A8614A"/>
    <w:rsid w:val="00A87BC1"/>
    <w:rsid w:val="00A91254"/>
    <w:rsid w:val="00A9149E"/>
    <w:rsid w:val="00A9234B"/>
    <w:rsid w:val="00A94469"/>
    <w:rsid w:val="00A971DD"/>
    <w:rsid w:val="00A97B9D"/>
    <w:rsid w:val="00AA223F"/>
    <w:rsid w:val="00AA27A3"/>
    <w:rsid w:val="00AA62BB"/>
    <w:rsid w:val="00AA680A"/>
    <w:rsid w:val="00AB13EF"/>
    <w:rsid w:val="00AB2826"/>
    <w:rsid w:val="00AB78B9"/>
    <w:rsid w:val="00AC45B7"/>
    <w:rsid w:val="00AD1D67"/>
    <w:rsid w:val="00AD32F6"/>
    <w:rsid w:val="00AD4723"/>
    <w:rsid w:val="00AE665A"/>
    <w:rsid w:val="00AF13A3"/>
    <w:rsid w:val="00AF1432"/>
    <w:rsid w:val="00AF23C0"/>
    <w:rsid w:val="00B122E0"/>
    <w:rsid w:val="00B12E7A"/>
    <w:rsid w:val="00B238AD"/>
    <w:rsid w:val="00B24BA3"/>
    <w:rsid w:val="00B27BE9"/>
    <w:rsid w:val="00B32A87"/>
    <w:rsid w:val="00B3317C"/>
    <w:rsid w:val="00B33F56"/>
    <w:rsid w:val="00B34418"/>
    <w:rsid w:val="00B36510"/>
    <w:rsid w:val="00B52CE6"/>
    <w:rsid w:val="00B56234"/>
    <w:rsid w:val="00B57951"/>
    <w:rsid w:val="00B60E89"/>
    <w:rsid w:val="00B6261E"/>
    <w:rsid w:val="00B65641"/>
    <w:rsid w:val="00B65ED3"/>
    <w:rsid w:val="00B70CC9"/>
    <w:rsid w:val="00B71650"/>
    <w:rsid w:val="00B75A04"/>
    <w:rsid w:val="00B778F9"/>
    <w:rsid w:val="00B77D3F"/>
    <w:rsid w:val="00B827A6"/>
    <w:rsid w:val="00B92085"/>
    <w:rsid w:val="00B92C68"/>
    <w:rsid w:val="00B969AE"/>
    <w:rsid w:val="00BA072F"/>
    <w:rsid w:val="00BA1B7D"/>
    <w:rsid w:val="00BA273F"/>
    <w:rsid w:val="00BA4015"/>
    <w:rsid w:val="00BB023F"/>
    <w:rsid w:val="00BB252A"/>
    <w:rsid w:val="00BB6D34"/>
    <w:rsid w:val="00BC1BAA"/>
    <w:rsid w:val="00BC7EEC"/>
    <w:rsid w:val="00BD01A5"/>
    <w:rsid w:val="00BD1DA9"/>
    <w:rsid w:val="00BE38F5"/>
    <w:rsid w:val="00BE443E"/>
    <w:rsid w:val="00BF5905"/>
    <w:rsid w:val="00BF6823"/>
    <w:rsid w:val="00BF7846"/>
    <w:rsid w:val="00C06C7C"/>
    <w:rsid w:val="00C2148C"/>
    <w:rsid w:val="00C243D0"/>
    <w:rsid w:val="00C3041D"/>
    <w:rsid w:val="00C32B40"/>
    <w:rsid w:val="00C40841"/>
    <w:rsid w:val="00C413C7"/>
    <w:rsid w:val="00C41FC4"/>
    <w:rsid w:val="00C47212"/>
    <w:rsid w:val="00C47297"/>
    <w:rsid w:val="00C6159C"/>
    <w:rsid w:val="00C67941"/>
    <w:rsid w:val="00C71632"/>
    <w:rsid w:val="00C75034"/>
    <w:rsid w:val="00C75C06"/>
    <w:rsid w:val="00C76150"/>
    <w:rsid w:val="00CA75EF"/>
    <w:rsid w:val="00CA77C8"/>
    <w:rsid w:val="00CB22A6"/>
    <w:rsid w:val="00CB3946"/>
    <w:rsid w:val="00CB7037"/>
    <w:rsid w:val="00CC1BB9"/>
    <w:rsid w:val="00CC3663"/>
    <w:rsid w:val="00CC3A91"/>
    <w:rsid w:val="00CC4FED"/>
    <w:rsid w:val="00CD2BED"/>
    <w:rsid w:val="00CD31F3"/>
    <w:rsid w:val="00CD5819"/>
    <w:rsid w:val="00CE00F8"/>
    <w:rsid w:val="00CE22E2"/>
    <w:rsid w:val="00CE49E9"/>
    <w:rsid w:val="00CF373D"/>
    <w:rsid w:val="00CF471D"/>
    <w:rsid w:val="00D147AB"/>
    <w:rsid w:val="00D30888"/>
    <w:rsid w:val="00D35353"/>
    <w:rsid w:val="00D406E2"/>
    <w:rsid w:val="00D42931"/>
    <w:rsid w:val="00D450CD"/>
    <w:rsid w:val="00D57C54"/>
    <w:rsid w:val="00D63503"/>
    <w:rsid w:val="00D73ED8"/>
    <w:rsid w:val="00D81A52"/>
    <w:rsid w:val="00D90473"/>
    <w:rsid w:val="00DA19C9"/>
    <w:rsid w:val="00DA21F9"/>
    <w:rsid w:val="00DB4A39"/>
    <w:rsid w:val="00DC1282"/>
    <w:rsid w:val="00DC28F9"/>
    <w:rsid w:val="00DD0A35"/>
    <w:rsid w:val="00DD73B8"/>
    <w:rsid w:val="00DE4F5C"/>
    <w:rsid w:val="00DE5E39"/>
    <w:rsid w:val="00DE6F79"/>
    <w:rsid w:val="00DF2144"/>
    <w:rsid w:val="00E00AE3"/>
    <w:rsid w:val="00E01336"/>
    <w:rsid w:val="00E144C6"/>
    <w:rsid w:val="00E23094"/>
    <w:rsid w:val="00E23894"/>
    <w:rsid w:val="00E24CF9"/>
    <w:rsid w:val="00E25A6C"/>
    <w:rsid w:val="00E2615C"/>
    <w:rsid w:val="00E263EE"/>
    <w:rsid w:val="00E2654D"/>
    <w:rsid w:val="00E359B3"/>
    <w:rsid w:val="00E41318"/>
    <w:rsid w:val="00E47597"/>
    <w:rsid w:val="00E5209E"/>
    <w:rsid w:val="00E52773"/>
    <w:rsid w:val="00E61C06"/>
    <w:rsid w:val="00E70400"/>
    <w:rsid w:val="00E71E1B"/>
    <w:rsid w:val="00E77562"/>
    <w:rsid w:val="00E81A45"/>
    <w:rsid w:val="00E8644F"/>
    <w:rsid w:val="00E93BD9"/>
    <w:rsid w:val="00E96BD0"/>
    <w:rsid w:val="00EA080E"/>
    <w:rsid w:val="00EA0941"/>
    <w:rsid w:val="00EA1105"/>
    <w:rsid w:val="00EB5785"/>
    <w:rsid w:val="00EB7788"/>
    <w:rsid w:val="00EC3802"/>
    <w:rsid w:val="00EC457D"/>
    <w:rsid w:val="00EC509E"/>
    <w:rsid w:val="00ED0342"/>
    <w:rsid w:val="00ED145B"/>
    <w:rsid w:val="00EE07E1"/>
    <w:rsid w:val="00EE3F96"/>
    <w:rsid w:val="00EE4FE1"/>
    <w:rsid w:val="00EE560D"/>
    <w:rsid w:val="00EF211E"/>
    <w:rsid w:val="00EF4061"/>
    <w:rsid w:val="00EF4163"/>
    <w:rsid w:val="00F06E9D"/>
    <w:rsid w:val="00F27FDD"/>
    <w:rsid w:val="00F3062A"/>
    <w:rsid w:val="00F33C1D"/>
    <w:rsid w:val="00F424F9"/>
    <w:rsid w:val="00F437E8"/>
    <w:rsid w:val="00F464B5"/>
    <w:rsid w:val="00F62C79"/>
    <w:rsid w:val="00F64020"/>
    <w:rsid w:val="00F71FD7"/>
    <w:rsid w:val="00F73803"/>
    <w:rsid w:val="00F74AFE"/>
    <w:rsid w:val="00F759C8"/>
    <w:rsid w:val="00F81C7E"/>
    <w:rsid w:val="00F82D0A"/>
    <w:rsid w:val="00F84786"/>
    <w:rsid w:val="00F9025D"/>
    <w:rsid w:val="00FA5AB6"/>
    <w:rsid w:val="00FB0AD5"/>
    <w:rsid w:val="00FB124B"/>
    <w:rsid w:val="00FB1446"/>
    <w:rsid w:val="00FB3790"/>
    <w:rsid w:val="00FC3AB4"/>
    <w:rsid w:val="00FC6184"/>
    <w:rsid w:val="00FC6358"/>
    <w:rsid w:val="00FD121B"/>
    <w:rsid w:val="00FD2638"/>
    <w:rsid w:val="00FD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49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9DC"/>
    <w:pPr>
      <w:spacing w:before="100" w:beforeAutospacing="1" w:after="100" w:afterAutospacing="1"/>
    </w:pPr>
  </w:style>
  <w:style w:type="character" w:customStyle="1" w:styleId="apple-converted-space">
    <w:name w:val="apple-converted-space"/>
    <w:basedOn w:val="DefaultParagraphFont"/>
    <w:rsid w:val="00044C32"/>
  </w:style>
  <w:style w:type="paragraph" w:styleId="Revision">
    <w:name w:val="Revision"/>
    <w:hidden/>
    <w:uiPriority w:val="71"/>
    <w:rsid w:val="00EF406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5B4BA2"/>
    <w:rPr>
      <w:rFonts w:ascii="Lucida Grande" w:hAnsi="Lucida Grande" w:cs="Lucida Grande"/>
    </w:rPr>
  </w:style>
  <w:style w:type="character" w:customStyle="1" w:styleId="DocumentMapChar">
    <w:name w:val="Document Map Char"/>
    <w:basedOn w:val="DefaultParagraphFont"/>
    <w:link w:val="DocumentMap"/>
    <w:uiPriority w:val="99"/>
    <w:semiHidden/>
    <w:rsid w:val="005B4BA2"/>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9DC"/>
    <w:pPr>
      <w:spacing w:before="100" w:beforeAutospacing="1" w:after="100" w:afterAutospacing="1"/>
    </w:pPr>
  </w:style>
  <w:style w:type="character" w:customStyle="1" w:styleId="apple-converted-space">
    <w:name w:val="apple-converted-space"/>
    <w:basedOn w:val="DefaultParagraphFont"/>
    <w:rsid w:val="00044C32"/>
  </w:style>
  <w:style w:type="paragraph" w:styleId="Revision">
    <w:name w:val="Revision"/>
    <w:hidden/>
    <w:uiPriority w:val="71"/>
    <w:rsid w:val="00EF406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5B4BA2"/>
    <w:rPr>
      <w:rFonts w:ascii="Lucida Grande" w:hAnsi="Lucida Grande" w:cs="Lucida Grande"/>
    </w:rPr>
  </w:style>
  <w:style w:type="character" w:customStyle="1" w:styleId="DocumentMapChar">
    <w:name w:val="Document Map Char"/>
    <w:basedOn w:val="DefaultParagraphFont"/>
    <w:link w:val="DocumentMap"/>
    <w:uiPriority w:val="99"/>
    <w:semiHidden/>
    <w:rsid w:val="005B4BA2"/>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3533">
      <w:bodyDiv w:val="1"/>
      <w:marLeft w:val="0"/>
      <w:marRight w:val="0"/>
      <w:marTop w:val="0"/>
      <w:marBottom w:val="0"/>
      <w:divBdr>
        <w:top w:val="none" w:sz="0" w:space="0" w:color="auto"/>
        <w:left w:val="none" w:sz="0" w:space="0" w:color="auto"/>
        <w:bottom w:val="none" w:sz="0" w:space="0" w:color="auto"/>
        <w:right w:val="none" w:sz="0" w:space="0" w:color="auto"/>
      </w:divBdr>
    </w:div>
    <w:div w:id="201135578">
      <w:bodyDiv w:val="1"/>
      <w:marLeft w:val="0"/>
      <w:marRight w:val="0"/>
      <w:marTop w:val="0"/>
      <w:marBottom w:val="0"/>
      <w:divBdr>
        <w:top w:val="none" w:sz="0" w:space="0" w:color="auto"/>
        <w:left w:val="none" w:sz="0" w:space="0" w:color="auto"/>
        <w:bottom w:val="none" w:sz="0" w:space="0" w:color="auto"/>
        <w:right w:val="none" w:sz="0" w:space="0" w:color="auto"/>
      </w:divBdr>
      <w:divsChild>
        <w:div w:id="2102606165">
          <w:marLeft w:val="0"/>
          <w:marRight w:val="0"/>
          <w:marTop w:val="0"/>
          <w:marBottom w:val="0"/>
          <w:divBdr>
            <w:top w:val="none" w:sz="0" w:space="0" w:color="auto"/>
            <w:left w:val="none" w:sz="0" w:space="0" w:color="auto"/>
            <w:bottom w:val="none" w:sz="0" w:space="0" w:color="auto"/>
            <w:right w:val="none" w:sz="0" w:space="0" w:color="auto"/>
          </w:divBdr>
          <w:divsChild>
            <w:div w:id="930506455">
              <w:marLeft w:val="0"/>
              <w:marRight w:val="0"/>
              <w:marTop w:val="0"/>
              <w:marBottom w:val="0"/>
              <w:divBdr>
                <w:top w:val="none" w:sz="0" w:space="0" w:color="auto"/>
                <w:left w:val="none" w:sz="0" w:space="0" w:color="auto"/>
                <w:bottom w:val="none" w:sz="0" w:space="0" w:color="auto"/>
                <w:right w:val="none" w:sz="0" w:space="0" w:color="auto"/>
              </w:divBdr>
              <w:divsChild>
                <w:div w:id="2279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9260">
      <w:bodyDiv w:val="1"/>
      <w:marLeft w:val="0"/>
      <w:marRight w:val="0"/>
      <w:marTop w:val="0"/>
      <w:marBottom w:val="0"/>
      <w:divBdr>
        <w:top w:val="none" w:sz="0" w:space="0" w:color="auto"/>
        <w:left w:val="none" w:sz="0" w:space="0" w:color="auto"/>
        <w:bottom w:val="none" w:sz="0" w:space="0" w:color="auto"/>
        <w:right w:val="none" w:sz="0" w:space="0" w:color="auto"/>
      </w:divBdr>
      <w:divsChild>
        <w:div w:id="240019554">
          <w:marLeft w:val="0"/>
          <w:marRight w:val="0"/>
          <w:marTop w:val="0"/>
          <w:marBottom w:val="0"/>
          <w:divBdr>
            <w:top w:val="none" w:sz="0" w:space="0" w:color="auto"/>
            <w:left w:val="none" w:sz="0" w:space="0" w:color="auto"/>
            <w:bottom w:val="none" w:sz="0" w:space="0" w:color="auto"/>
            <w:right w:val="none" w:sz="0" w:space="0" w:color="auto"/>
          </w:divBdr>
          <w:divsChild>
            <w:div w:id="1020356118">
              <w:marLeft w:val="0"/>
              <w:marRight w:val="0"/>
              <w:marTop w:val="0"/>
              <w:marBottom w:val="0"/>
              <w:divBdr>
                <w:top w:val="none" w:sz="0" w:space="0" w:color="auto"/>
                <w:left w:val="none" w:sz="0" w:space="0" w:color="auto"/>
                <w:bottom w:val="none" w:sz="0" w:space="0" w:color="auto"/>
                <w:right w:val="none" w:sz="0" w:space="0" w:color="auto"/>
              </w:divBdr>
              <w:divsChild>
                <w:div w:id="414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1453">
      <w:bodyDiv w:val="1"/>
      <w:marLeft w:val="0"/>
      <w:marRight w:val="0"/>
      <w:marTop w:val="0"/>
      <w:marBottom w:val="0"/>
      <w:divBdr>
        <w:top w:val="none" w:sz="0" w:space="0" w:color="auto"/>
        <w:left w:val="none" w:sz="0" w:space="0" w:color="auto"/>
        <w:bottom w:val="none" w:sz="0" w:space="0" w:color="auto"/>
        <w:right w:val="none" w:sz="0" w:space="0" w:color="auto"/>
      </w:divBdr>
    </w:div>
    <w:div w:id="1342589592">
      <w:bodyDiv w:val="1"/>
      <w:marLeft w:val="0"/>
      <w:marRight w:val="0"/>
      <w:marTop w:val="0"/>
      <w:marBottom w:val="0"/>
      <w:divBdr>
        <w:top w:val="none" w:sz="0" w:space="0" w:color="auto"/>
        <w:left w:val="none" w:sz="0" w:space="0" w:color="auto"/>
        <w:bottom w:val="none" w:sz="0" w:space="0" w:color="auto"/>
        <w:right w:val="none" w:sz="0" w:space="0" w:color="auto"/>
      </w:divBdr>
      <w:divsChild>
        <w:div w:id="384839685">
          <w:marLeft w:val="0"/>
          <w:marRight w:val="0"/>
          <w:marTop w:val="0"/>
          <w:marBottom w:val="0"/>
          <w:divBdr>
            <w:top w:val="none" w:sz="0" w:space="0" w:color="auto"/>
            <w:left w:val="none" w:sz="0" w:space="0" w:color="auto"/>
            <w:bottom w:val="none" w:sz="0" w:space="0" w:color="auto"/>
            <w:right w:val="none" w:sz="0" w:space="0" w:color="auto"/>
          </w:divBdr>
          <w:divsChild>
            <w:div w:id="796340174">
              <w:marLeft w:val="0"/>
              <w:marRight w:val="0"/>
              <w:marTop w:val="0"/>
              <w:marBottom w:val="0"/>
              <w:divBdr>
                <w:top w:val="none" w:sz="0" w:space="0" w:color="auto"/>
                <w:left w:val="none" w:sz="0" w:space="0" w:color="auto"/>
                <w:bottom w:val="none" w:sz="0" w:space="0" w:color="auto"/>
                <w:right w:val="none" w:sz="0" w:space="0" w:color="auto"/>
              </w:divBdr>
              <w:divsChild>
                <w:div w:id="8447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639">
      <w:bodyDiv w:val="1"/>
      <w:marLeft w:val="0"/>
      <w:marRight w:val="0"/>
      <w:marTop w:val="0"/>
      <w:marBottom w:val="0"/>
      <w:divBdr>
        <w:top w:val="none" w:sz="0" w:space="0" w:color="auto"/>
        <w:left w:val="none" w:sz="0" w:space="0" w:color="auto"/>
        <w:bottom w:val="none" w:sz="0" w:space="0" w:color="auto"/>
        <w:right w:val="none" w:sz="0" w:space="0" w:color="auto"/>
      </w:divBdr>
      <w:divsChild>
        <w:div w:id="1513254001">
          <w:marLeft w:val="0"/>
          <w:marRight w:val="0"/>
          <w:marTop w:val="0"/>
          <w:marBottom w:val="0"/>
          <w:divBdr>
            <w:top w:val="none" w:sz="0" w:space="0" w:color="auto"/>
            <w:left w:val="none" w:sz="0" w:space="0" w:color="auto"/>
            <w:bottom w:val="none" w:sz="0" w:space="0" w:color="auto"/>
            <w:right w:val="none" w:sz="0" w:space="0" w:color="auto"/>
          </w:divBdr>
          <w:divsChild>
            <w:div w:id="1990279975">
              <w:marLeft w:val="0"/>
              <w:marRight w:val="0"/>
              <w:marTop w:val="0"/>
              <w:marBottom w:val="0"/>
              <w:divBdr>
                <w:top w:val="none" w:sz="0" w:space="0" w:color="auto"/>
                <w:left w:val="none" w:sz="0" w:space="0" w:color="auto"/>
                <w:bottom w:val="none" w:sz="0" w:space="0" w:color="auto"/>
                <w:right w:val="none" w:sz="0" w:space="0" w:color="auto"/>
              </w:divBdr>
              <w:divsChild>
                <w:div w:id="653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8592">
      <w:bodyDiv w:val="1"/>
      <w:marLeft w:val="0"/>
      <w:marRight w:val="0"/>
      <w:marTop w:val="0"/>
      <w:marBottom w:val="0"/>
      <w:divBdr>
        <w:top w:val="none" w:sz="0" w:space="0" w:color="auto"/>
        <w:left w:val="none" w:sz="0" w:space="0" w:color="auto"/>
        <w:bottom w:val="none" w:sz="0" w:space="0" w:color="auto"/>
        <w:right w:val="none" w:sz="0" w:space="0" w:color="auto"/>
      </w:divBdr>
    </w:div>
    <w:div w:id="1532650450">
      <w:bodyDiv w:val="1"/>
      <w:marLeft w:val="0"/>
      <w:marRight w:val="0"/>
      <w:marTop w:val="0"/>
      <w:marBottom w:val="0"/>
      <w:divBdr>
        <w:top w:val="none" w:sz="0" w:space="0" w:color="auto"/>
        <w:left w:val="none" w:sz="0" w:space="0" w:color="auto"/>
        <w:bottom w:val="none" w:sz="0" w:space="0" w:color="auto"/>
        <w:right w:val="none" w:sz="0" w:space="0" w:color="auto"/>
      </w:divBdr>
      <w:divsChild>
        <w:div w:id="2126078812">
          <w:marLeft w:val="0"/>
          <w:marRight w:val="0"/>
          <w:marTop w:val="0"/>
          <w:marBottom w:val="0"/>
          <w:divBdr>
            <w:top w:val="none" w:sz="0" w:space="0" w:color="auto"/>
            <w:left w:val="none" w:sz="0" w:space="0" w:color="auto"/>
            <w:bottom w:val="none" w:sz="0" w:space="0" w:color="auto"/>
            <w:right w:val="none" w:sz="0" w:space="0" w:color="auto"/>
          </w:divBdr>
          <w:divsChild>
            <w:div w:id="509367752">
              <w:marLeft w:val="0"/>
              <w:marRight w:val="0"/>
              <w:marTop w:val="0"/>
              <w:marBottom w:val="0"/>
              <w:divBdr>
                <w:top w:val="none" w:sz="0" w:space="0" w:color="auto"/>
                <w:left w:val="none" w:sz="0" w:space="0" w:color="auto"/>
                <w:bottom w:val="none" w:sz="0" w:space="0" w:color="auto"/>
                <w:right w:val="none" w:sz="0" w:space="0" w:color="auto"/>
              </w:divBdr>
              <w:divsChild>
                <w:div w:id="11522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8851">
      <w:bodyDiv w:val="1"/>
      <w:marLeft w:val="0"/>
      <w:marRight w:val="0"/>
      <w:marTop w:val="0"/>
      <w:marBottom w:val="0"/>
      <w:divBdr>
        <w:top w:val="none" w:sz="0" w:space="0" w:color="auto"/>
        <w:left w:val="none" w:sz="0" w:space="0" w:color="auto"/>
        <w:bottom w:val="none" w:sz="0" w:space="0" w:color="auto"/>
        <w:right w:val="none" w:sz="0" w:space="0" w:color="auto"/>
      </w:divBdr>
    </w:div>
    <w:div w:id="1701127813">
      <w:bodyDiv w:val="1"/>
      <w:marLeft w:val="0"/>
      <w:marRight w:val="0"/>
      <w:marTop w:val="0"/>
      <w:marBottom w:val="0"/>
      <w:divBdr>
        <w:top w:val="none" w:sz="0" w:space="0" w:color="auto"/>
        <w:left w:val="none" w:sz="0" w:space="0" w:color="auto"/>
        <w:bottom w:val="none" w:sz="0" w:space="0" w:color="auto"/>
        <w:right w:val="none" w:sz="0" w:space="0" w:color="auto"/>
      </w:divBdr>
    </w:div>
    <w:div w:id="1854342498">
      <w:bodyDiv w:val="1"/>
      <w:marLeft w:val="0"/>
      <w:marRight w:val="0"/>
      <w:marTop w:val="0"/>
      <w:marBottom w:val="0"/>
      <w:divBdr>
        <w:top w:val="none" w:sz="0" w:space="0" w:color="auto"/>
        <w:left w:val="none" w:sz="0" w:space="0" w:color="auto"/>
        <w:bottom w:val="none" w:sz="0" w:space="0" w:color="auto"/>
        <w:right w:val="none" w:sz="0" w:space="0" w:color="auto"/>
      </w:divBdr>
    </w:div>
    <w:div w:id="2039118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46C7-3755-4D8E-A28A-7F4D0B88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5970</Words>
  <Characters>33973</Characters>
  <Application>Microsoft Office Word</Application>
  <DocSecurity>0</DocSecurity>
  <Lines>1132</Lines>
  <Paragraphs>373</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39570</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2</cp:revision>
  <cp:lastPrinted>2016-03-14T12:46:00Z</cp:lastPrinted>
  <dcterms:created xsi:type="dcterms:W3CDTF">2016-07-11T13:20:00Z</dcterms:created>
  <dcterms:modified xsi:type="dcterms:W3CDTF">2016-07-11T13:20:00Z</dcterms:modified>
</cp:coreProperties>
</file>