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2067B" w14:textId="78CF1157" w:rsidR="000B14C7" w:rsidRPr="00742041" w:rsidRDefault="00CC6C83" w:rsidP="000B14C7">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eastAsia="Times New Roman" w:cstheme="minorHAnsi"/>
          <w:bCs/>
          <w:lang w:val="fr-CH" w:eastAsia="en-GB"/>
        </w:rPr>
      </w:pPr>
      <w:r>
        <w:rPr>
          <w:rFonts w:eastAsia="Times New Roman" w:cstheme="minorHAnsi"/>
          <w:bCs/>
          <w:lang w:val="fr-CH" w:eastAsia="en-GB"/>
        </w:rPr>
        <w:t>CONVENTION SUR LES ZONES HUMIDES</w:t>
      </w:r>
    </w:p>
    <w:p w14:paraId="26CF753E" w14:textId="03C2B773" w:rsidR="000B14C7" w:rsidRPr="00742041" w:rsidRDefault="000B14C7" w:rsidP="000B14C7">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eastAsia="Times New Roman" w:cstheme="minorHAnsi"/>
          <w:bCs/>
          <w:lang w:val="fr-CH" w:eastAsia="en-GB"/>
        </w:rPr>
      </w:pPr>
      <w:r w:rsidRPr="00742041">
        <w:rPr>
          <w:rFonts w:eastAsia="Times New Roman" w:cstheme="minorHAnsi"/>
          <w:bCs/>
          <w:lang w:val="fr-CH" w:eastAsia="en-GB"/>
        </w:rPr>
        <w:t>62</w:t>
      </w:r>
      <w:r w:rsidR="00CC6C83" w:rsidRPr="00CC6C83">
        <w:rPr>
          <w:rFonts w:eastAsia="Times New Roman" w:cstheme="minorHAnsi"/>
          <w:bCs/>
          <w:vertAlign w:val="superscript"/>
          <w:lang w:val="fr-CH" w:eastAsia="en-GB"/>
        </w:rPr>
        <w:t>e</w:t>
      </w:r>
      <w:r w:rsidR="00CC6C83">
        <w:rPr>
          <w:rFonts w:eastAsia="Times New Roman" w:cstheme="minorHAnsi"/>
          <w:bCs/>
          <w:lang w:val="fr-CH" w:eastAsia="en-GB"/>
        </w:rPr>
        <w:t xml:space="preserve"> Réunion du Comité permanent</w:t>
      </w:r>
    </w:p>
    <w:p w14:paraId="7FD18A92" w14:textId="61ECEE27" w:rsidR="000B14C7" w:rsidRPr="00742041" w:rsidRDefault="000B14C7" w:rsidP="000B14C7">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eastAsia="Times New Roman" w:cstheme="minorHAnsi"/>
          <w:lang w:val="fr-CH" w:eastAsia="en-GB"/>
        </w:rPr>
      </w:pPr>
      <w:r w:rsidRPr="00742041">
        <w:rPr>
          <w:rFonts w:eastAsia="Times New Roman" w:cstheme="minorHAnsi"/>
          <w:bCs/>
          <w:lang w:val="fr-CH" w:eastAsia="en-GB"/>
        </w:rPr>
        <w:t xml:space="preserve">Gland, </w:t>
      </w:r>
      <w:r w:rsidR="00CC6C83">
        <w:rPr>
          <w:rFonts w:eastAsia="Times New Roman" w:cstheme="minorHAnsi"/>
          <w:bCs/>
          <w:lang w:val="fr-CH" w:eastAsia="en-GB"/>
        </w:rPr>
        <w:t>Suisse</w:t>
      </w:r>
      <w:r w:rsidRPr="00742041">
        <w:rPr>
          <w:rFonts w:eastAsia="Times New Roman" w:cstheme="minorHAnsi"/>
          <w:bCs/>
          <w:lang w:val="fr-CH" w:eastAsia="en-GB"/>
        </w:rPr>
        <w:t>, 4</w:t>
      </w:r>
      <w:r w:rsidR="00677E58">
        <w:rPr>
          <w:rFonts w:eastAsia="Times New Roman" w:cstheme="minorHAnsi"/>
          <w:bCs/>
          <w:lang w:val="fr-CH" w:eastAsia="en-GB"/>
        </w:rPr>
        <w:t xml:space="preserve"> au </w:t>
      </w:r>
      <w:r w:rsidRPr="00742041">
        <w:rPr>
          <w:rFonts w:eastAsia="Times New Roman" w:cstheme="minorHAnsi"/>
          <w:bCs/>
          <w:lang w:val="fr-CH" w:eastAsia="en-GB"/>
        </w:rPr>
        <w:t xml:space="preserve">8 </w:t>
      </w:r>
      <w:r w:rsidR="00CC6C83">
        <w:rPr>
          <w:rFonts w:eastAsia="Times New Roman" w:cstheme="minorHAnsi"/>
          <w:bCs/>
          <w:lang w:val="fr-CH" w:eastAsia="en-GB"/>
        </w:rPr>
        <w:t>septembre</w:t>
      </w:r>
      <w:r w:rsidRPr="00742041">
        <w:rPr>
          <w:rFonts w:eastAsia="Times New Roman" w:cstheme="minorHAnsi"/>
          <w:bCs/>
          <w:lang w:val="fr-CH" w:eastAsia="en-GB"/>
        </w:rPr>
        <w:t xml:space="preserve"> 2023</w:t>
      </w:r>
    </w:p>
    <w:p w14:paraId="24BE10B1" w14:textId="77777777" w:rsidR="000B14C7" w:rsidRPr="00742041" w:rsidRDefault="000B14C7" w:rsidP="000B14C7">
      <w:pPr>
        <w:spacing w:after="0" w:line="240" w:lineRule="auto"/>
        <w:jc w:val="both"/>
        <w:rPr>
          <w:sz w:val="28"/>
          <w:lang w:val="fr-CH"/>
        </w:rPr>
      </w:pPr>
    </w:p>
    <w:p w14:paraId="2A932C18" w14:textId="77777777" w:rsidR="000B14C7" w:rsidRPr="00742041" w:rsidRDefault="000B14C7" w:rsidP="00FC1EDB">
      <w:pPr>
        <w:spacing w:after="0" w:line="240" w:lineRule="auto"/>
        <w:jc w:val="right"/>
        <w:rPr>
          <w:rFonts w:eastAsia="Times New Roman" w:cstheme="minorHAnsi"/>
          <w:b/>
          <w:sz w:val="28"/>
          <w:szCs w:val="28"/>
          <w:lang w:val="fr-CH" w:eastAsia="en-GB"/>
        </w:rPr>
      </w:pPr>
      <w:r w:rsidRPr="00742041">
        <w:rPr>
          <w:rFonts w:eastAsia="Times New Roman" w:cstheme="minorHAnsi"/>
          <w:b/>
          <w:sz w:val="28"/>
          <w:szCs w:val="28"/>
          <w:lang w:val="fr-CH" w:eastAsia="en-GB"/>
        </w:rPr>
        <w:t>SC62 Doc.11</w:t>
      </w:r>
    </w:p>
    <w:p w14:paraId="6B0F6DBB" w14:textId="77777777" w:rsidR="000B14C7" w:rsidRPr="00742041" w:rsidRDefault="000B14C7" w:rsidP="00FC1EDB">
      <w:pPr>
        <w:spacing w:after="0" w:line="240" w:lineRule="auto"/>
        <w:jc w:val="right"/>
        <w:rPr>
          <w:rFonts w:eastAsia="Times New Roman" w:cstheme="minorHAnsi"/>
          <w:b/>
          <w:sz w:val="28"/>
          <w:szCs w:val="28"/>
          <w:lang w:val="fr-CH" w:eastAsia="en-GB"/>
        </w:rPr>
      </w:pPr>
    </w:p>
    <w:p w14:paraId="49F1970B" w14:textId="5E8D11B5" w:rsidR="008B2F2F" w:rsidRPr="00742041" w:rsidRDefault="006C547B" w:rsidP="00EC0F71">
      <w:pPr>
        <w:spacing w:after="0" w:line="240" w:lineRule="auto"/>
        <w:jc w:val="center"/>
        <w:rPr>
          <w:b/>
          <w:sz w:val="28"/>
          <w:lang w:val="fr-CH"/>
        </w:rPr>
      </w:pPr>
      <w:r w:rsidRPr="00742041">
        <w:rPr>
          <w:b/>
          <w:sz w:val="28"/>
          <w:lang w:val="fr-CH"/>
        </w:rPr>
        <w:t xml:space="preserve">Rapport du </w:t>
      </w:r>
      <w:r w:rsidR="008B2F2F" w:rsidRPr="00742041">
        <w:rPr>
          <w:b/>
          <w:sz w:val="28"/>
          <w:lang w:val="fr-CH"/>
        </w:rPr>
        <w:t>Secr</w:t>
      </w:r>
      <w:r w:rsidRPr="00742041">
        <w:rPr>
          <w:b/>
          <w:sz w:val="28"/>
          <w:lang w:val="fr-CH"/>
        </w:rPr>
        <w:t>é</w:t>
      </w:r>
      <w:r w:rsidR="008B2F2F" w:rsidRPr="00742041">
        <w:rPr>
          <w:b/>
          <w:sz w:val="28"/>
          <w:lang w:val="fr-CH"/>
        </w:rPr>
        <w:t xml:space="preserve">tariat </w:t>
      </w:r>
      <w:r w:rsidRPr="00742041">
        <w:rPr>
          <w:b/>
          <w:sz w:val="28"/>
          <w:lang w:val="fr-CH"/>
        </w:rPr>
        <w:t>sur le renforcement</w:t>
      </w:r>
      <w:r w:rsidR="008B2F2F" w:rsidRPr="00742041">
        <w:rPr>
          <w:b/>
          <w:sz w:val="28"/>
          <w:lang w:val="fr-CH"/>
        </w:rPr>
        <w:t xml:space="preserve"> </w:t>
      </w:r>
      <w:r w:rsidRPr="00742041">
        <w:rPr>
          <w:b/>
          <w:sz w:val="28"/>
          <w:lang w:val="fr-CH"/>
        </w:rPr>
        <w:t>institutionnel</w:t>
      </w:r>
      <w:r w:rsidR="008B2F2F" w:rsidRPr="00742041">
        <w:rPr>
          <w:b/>
          <w:sz w:val="28"/>
          <w:lang w:val="fr-CH"/>
        </w:rPr>
        <w:t xml:space="preserve"> </w:t>
      </w:r>
      <w:r w:rsidRPr="00742041">
        <w:rPr>
          <w:b/>
          <w:sz w:val="28"/>
          <w:lang w:val="fr-CH"/>
        </w:rPr>
        <w:t>pour soutenir l’application de la</w:t>
      </w:r>
      <w:r w:rsidR="008B2F2F" w:rsidRPr="00742041">
        <w:rPr>
          <w:b/>
          <w:sz w:val="28"/>
          <w:lang w:val="fr-CH"/>
        </w:rPr>
        <w:t xml:space="preserve"> Convention</w:t>
      </w:r>
    </w:p>
    <w:p w14:paraId="543C616E" w14:textId="77777777" w:rsidR="000A143D" w:rsidRPr="00742041" w:rsidRDefault="000A143D" w:rsidP="000A143D">
      <w:pPr>
        <w:autoSpaceDE w:val="0"/>
        <w:autoSpaceDN w:val="0"/>
        <w:adjustRightInd w:val="0"/>
        <w:spacing w:after="0" w:line="240" w:lineRule="auto"/>
        <w:ind w:left="357" w:hanging="357"/>
        <w:jc w:val="both"/>
        <w:rPr>
          <w:rFonts w:cstheme="minorHAnsi"/>
          <w:lang w:val="fr-CH"/>
        </w:rPr>
      </w:pPr>
    </w:p>
    <w:p w14:paraId="2B728A09" w14:textId="77777777" w:rsidR="000A143D" w:rsidRPr="00742041" w:rsidRDefault="000A143D" w:rsidP="000A143D">
      <w:pPr>
        <w:autoSpaceDE w:val="0"/>
        <w:autoSpaceDN w:val="0"/>
        <w:adjustRightInd w:val="0"/>
        <w:spacing w:after="0" w:line="240" w:lineRule="auto"/>
        <w:ind w:left="357" w:hanging="357"/>
        <w:jc w:val="both"/>
        <w:rPr>
          <w:rFonts w:cstheme="minorHAnsi"/>
          <w:b/>
          <w:bCs/>
          <w:lang w:val="fr-CH"/>
        </w:rPr>
      </w:pPr>
    </w:p>
    <w:p w14:paraId="64264346" w14:textId="77777777" w:rsidR="000A143D" w:rsidRPr="00742041" w:rsidRDefault="00C1768B" w:rsidP="00FC1EDB">
      <w:pPr>
        <w:spacing w:after="0" w:line="240" w:lineRule="auto"/>
        <w:rPr>
          <w:b/>
          <w:lang w:val="fr-CH"/>
        </w:rPr>
      </w:pPr>
      <w:r w:rsidRPr="00742041">
        <w:rPr>
          <w:rFonts w:eastAsia="Times New Roman" w:cstheme="minorHAnsi"/>
          <w:noProof/>
          <w:color w:val="2B579A"/>
          <w:shd w:val="clear" w:color="auto" w:fill="E6E6E6"/>
          <w:lang w:val="en-GB" w:eastAsia="en-GB"/>
        </w:rPr>
        <mc:AlternateContent>
          <mc:Choice Requires="wps">
            <w:drawing>
              <wp:inline distT="0" distB="0" distL="0" distR="0" wp14:anchorId="48B7451A" wp14:editId="7013E618">
                <wp:extent cx="5731510" cy="3270522"/>
                <wp:effectExtent l="0" t="0" r="21590"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270522"/>
                        </a:xfrm>
                        <a:prstGeom prst="rect">
                          <a:avLst/>
                        </a:prstGeom>
                        <a:solidFill>
                          <a:srgbClr val="FFFFFF"/>
                        </a:solidFill>
                        <a:ln w="9525">
                          <a:solidFill>
                            <a:srgbClr val="000000"/>
                          </a:solidFill>
                          <a:miter lim="800000"/>
                          <a:headEnd/>
                          <a:tailEnd/>
                        </a:ln>
                      </wps:spPr>
                      <wps:txbx>
                        <w:txbxContent>
                          <w:p w14:paraId="1A9930D8" w14:textId="24DAA3AE" w:rsidR="00C1768B" w:rsidRPr="00364FEC" w:rsidRDefault="006C547B" w:rsidP="00FC1EDB">
                            <w:pPr>
                              <w:spacing w:after="0" w:line="240" w:lineRule="auto"/>
                              <w:rPr>
                                <w:rFonts w:ascii="Calibri" w:hAnsi="Calibri"/>
                                <w:b/>
                                <w:bCs/>
                                <w:lang w:val="fr-FR"/>
                              </w:rPr>
                            </w:pPr>
                            <w:r w:rsidRPr="00364FEC">
                              <w:rPr>
                                <w:rFonts w:ascii="Calibri" w:hAnsi="Calibri"/>
                                <w:b/>
                                <w:bCs/>
                                <w:lang w:val="fr-FR"/>
                              </w:rPr>
                              <w:t xml:space="preserve">Mesures requises </w:t>
                            </w:r>
                            <w:r w:rsidR="00FC1EDB" w:rsidRPr="00364FEC">
                              <w:rPr>
                                <w:rFonts w:ascii="Calibri" w:hAnsi="Calibri"/>
                                <w:b/>
                                <w:bCs/>
                                <w:lang w:val="fr-FR"/>
                              </w:rPr>
                              <w:t>:</w:t>
                            </w:r>
                          </w:p>
                          <w:p w14:paraId="01F3A072" w14:textId="77777777" w:rsidR="00C1768B" w:rsidRPr="00364FEC" w:rsidRDefault="00C1768B" w:rsidP="00FC1EDB">
                            <w:pPr>
                              <w:spacing w:after="0" w:line="240" w:lineRule="auto"/>
                              <w:rPr>
                                <w:rFonts w:ascii="Calibri" w:hAnsi="Calibri"/>
                                <w:b/>
                                <w:bCs/>
                                <w:lang w:val="fr-FR"/>
                              </w:rPr>
                            </w:pPr>
                          </w:p>
                          <w:p w14:paraId="7A5EDDF2" w14:textId="372EB9A7" w:rsidR="00C1768B" w:rsidRPr="00364FEC" w:rsidRDefault="006C547B" w:rsidP="00FC1EDB">
                            <w:pPr>
                              <w:spacing w:after="0" w:line="240" w:lineRule="auto"/>
                              <w:rPr>
                                <w:lang w:val="fr-FR"/>
                              </w:rPr>
                            </w:pPr>
                            <w:r w:rsidRPr="00364FEC">
                              <w:rPr>
                                <w:lang w:val="fr-FR"/>
                              </w:rPr>
                              <w:t xml:space="preserve">Le </w:t>
                            </w:r>
                            <w:r w:rsidR="00CC6C83">
                              <w:rPr>
                                <w:lang w:val="fr-FR"/>
                              </w:rPr>
                              <w:t>C</w:t>
                            </w:r>
                            <w:r w:rsidRPr="00364FEC">
                              <w:rPr>
                                <w:lang w:val="fr-FR"/>
                              </w:rPr>
                              <w:t>omité permanent est invit</w:t>
                            </w:r>
                            <w:r w:rsidR="00324111">
                              <w:rPr>
                                <w:lang w:val="fr-FR"/>
                              </w:rPr>
                              <w:t>é</w:t>
                            </w:r>
                            <w:r w:rsidRPr="00364FEC">
                              <w:rPr>
                                <w:lang w:val="fr-FR"/>
                              </w:rPr>
                              <w:t xml:space="preserve"> à </w:t>
                            </w:r>
                            <w:r w:rsidR="00C1768B" w:rsidRPr="00364FEC">
                              <w:rPr>
                                <w:lang w:val="fr-FR"/>
                              </w:rPr>
                              <w:t>:</w:t>
                            </w:r>
                          </w:p>
                          <w:p w14:paraId="24759763" w14:textId="77777777" w:rsidR="00C1768B" w:rsidRPr="00364FEC" w:rsidRDefault="00C1768B" w:rsidP="00FC1EDB">
                            <w:pPr>
                              <w:spacing w:after="0" w:line="240" w:lineRule="auto"/>
                              <w:rPr>
                                <w:lang w:val="fr-FR"/>
                              </w:rPr>
                            </w:pPr>
                          </w:p>
                          <w:p w14:paraId="4E3D6EEE" w14:textId="5AF298C7" w:rsidR="00C1768B" w:rsidRPr="00B45C10" w:rsidRDefault="00FC1EDB" w:rsidP="00FC1EDB">
                            <w:pPr>
                              <w:spacing w:after="0" w:line="240" w:lineRule="auto"/>
                              <w:ind w:left="426" w:hanging="426"/>
                              <w:rPr>
                                <w:lang w:val="fr-CH"/>
                              </w:rPr>
                            </w:pPr>
                            <w:r w:rsidRPr="00B45C10">
                              <w:rPr>
                                <w:lang w:val="fr-CH"/>
                              </w:rPr>
                              <w:t>i</w:t>
                            </w:r>
                            <w:r w:rsidR="00CC6C83" w:rsidRPr="00B45C10">
                              <w:rPr>
                                <w:lang w:val="fr-CH"/>
                              </w:rPr>
                              <w:t>)</w:t>
                            </w:r>
                            <w:r w:rsidRPr="00B45C10">
                              <w:rPr>
                                <w:lang w:val="fr-CH"/>
                              </w:rPr>
                              <w:tab/>
                            </w:r>
                            <w:r w:rsidR="00B45C10">
                              <w:rPr>
                                <w:lang w:val="fr-CH"/>
                              </w:rPr>
                              <w:t>prendre note du rapport du Secrétariat sur le renforcement institutionnel pour soutenir l’application de la Convention en réponse à la Résolution </w:t>
                            </w:r>
                            <w:r w:rsidR="00C1768B" w:rsidRPr="00B45C10">
                              <w:rPr>
                                <w:lang w:val="fr-CH"/>
                              </w:rPr>
                              <w:t>XIV.6</w:t>
                            </w:r>
                            <w:r w:rsidR="00175507" w:rsidRPr="00B45C10">
                              <w:rPr>
                                <w:lang w:val="fr-CH"/>
                              </w:rPr>
                              <w:t>,</w:t>
                            </w:r>
                            <w:r w:rsidR="00C1768B" w:rsidRPr="00B45C10">
                              <w:rPr>
                                <w:lang w:val="fr-CH"/>
                              </w:rPr>
                              <w:t xml:space="preserve"> paragraph</w:t>
                            </w:r>
                            <w:r w:rsidR="00B45C10">
                              <w:rPr>
                                <w:lang w:val="fr-CH"/>
                              </w:rPr>
                              <w:t>e </w:t>
                            </w:r>
                            <w:r w:rsidR="00C1768B" w:rsidRPr="00B45C10">
                              <w:rPr>
                                <w:lang w:val="fr-CH"/>
                              </w:rPr>
                              <w:t>22</w:t>
                            </w:r>
                            <w:r w:rsidR="00B45C10">
                              <w:rPr>
                                <w:lang w:val="fr-CH"/>
                              </w:rPr>
                              <w:t> </w:t>
                            </w:r>
                            <w:r w:rsidR="00CA2DB0" w:rsidRPr="00B45C10">
                              <w:rPr>
                                <w:lang w:val="fr-CH"/>
                              </w:rPr>
                              <w:t>;</w:t>
                            </w:r>
                          </w:p>
                          <w:p w14:paraId="25D5829E" w14:textId="77777777" w:rsidR="00E46D77" w:rsidRPr="00B45C10" w:rsidRDefault="00E46D77" w:rsidP="00FC1EDB">
                            <w:pPr>
                              <w:spacing w:after="0" w:line="240" w:lineRule="auto"/>
                              <w:ind w:left="426" w:hanging="426"/>
                              <w:rPr>
                                <w:lang w:val="fr-CH"/>
                              </w:rPr>
                            </w:pPr>
                          </w:p>
                          <w:p w14:paraId="0B00BF4B" w14:textId="39F8ECB7" w:rsidR="00183D4F" w:rsidRPr="00B45C10" w:rsidRDefault="00FC1EDB" w:rsidP="00FC1EDB">
                            <w:pPr>
                              <w:spacing w:after="0" w:line="240" w:lineRule="auto"/>
                              <w:ind w:left="426" w:hanging="426"/>
                              <w:rPr>
                                <w:lang w:val="fr-CH"/>
                              </w:rPr>
                            </w:pPr>
                            <w:r w:rsidRPr="00B45C10">
                              <w:rPr>
                                <w:lang w:val="fr-CH"/>
                              </w:rPr>
                              <w:t>ii</w:t>
                            </w:r>
                            <w:r w:rsidR="00CC6C83" w:rsidRPr="00B45C10">
                              <w:rPr>
                                <w:lang w:val="fr-CH"/>
                              </w:rPr>
                              <w:t>)</w:t>
                            </w:r>
                            <w:r w:rsidRPr="00B45C10">
                              <w:rPr>
                                <w:lang w:val="fr-CH"/>
                              </w:rPr>
                              <w:tab/>
                            </w:r>
                            <w:r w:rsidR="00B45C10">
                              <w:rPr>
                                <w:lang w:val="fr-CH"/>
                              </w:rPr>
                              <w:t>prendre note des recommandations des Parties contractantes intéressées et du Secrétariat qui sont reflétées dans l’Annexe 2 du rapport ;</w:t>
                            </w:r>
                          </w:p>
                          <w:p w14:paraId="36B75632" w14:textId="7D2052E1" w:rsidR="00C1768B" w:rsidRPr="00B45C10" w:rsidRDefault="002129DD" w:rsidP="00FC1EDB">
                            <w:pPr>
                              <w:spacing w:after="0" w:line="240" w:lineRule="auto"/>
                              <w:ind w:left="426" w:hanging="426"/>
                              <w:rPr>
                                <w:lang w:val="fr-CH"/>
                              </w:rPr>
                            </w:pPr>
                            <w:r>
                              <w:rPr>
                                <w:lang w:val="fr-CH"/>
                              </w:rPr>
                              <w:t xml:space="preserve"> </w:t>
                            </w:r>
                          </w:p>
                          <w:p w14:paraId="32728D9D" w14:textId="694BC358" w:rsidR="00C1768B" w:rsidRPr="00B45C10" w:rsidRDefault="00FC1EDB" w:rsidP="00FC1EDB">
                            <w:pPr>
                              <w:spacing w:after="0" w:line="240" w:lineRule="auto"/>
                              <w:ind w:left="426" w:hanging="426"/>
                              <w:rPr>
                                <w:rFonts w:cstheme="minorHAnsi"/>
                                <w:lang w:val="fr-CH"/>
                              </w:rPr>
                            </w:pPr>
                            <w:r w:rsidRPr="00B45C10">
                              <w:rPr>
                                <w:lang w:val="fr-CH"/>
                              </w:rPr>
                              <w:t>iii</w:t>
                            </w:r>
                            <w:r w:rsidR="00CC6C83" w:rsidRPr="00B45C10">
                              <w:rPr>
                                <w:lang w:val="fr-CH"/>
                              </w:rPr>
                              <w:t>)</w:t>
                            </w:r>
                            <w:r w:rsidRPr="00B45C10">
                              <w:rPr>
                                <w:lang w:val="fr-CH"/>
                              </w:rPr>
                              <w:tab/>
                            </w:r>
                            <w:r w:rsidR="00B45C10">
                              <w:rPr>
                                <w:lang w:val="fr-CH"/>
                              </w:rPr>
                              <w:t xml:space="preserve">constituer un Groupe de travail chargé de piloter le processus </w:t>
                            </w:r>
                            <w:r w:rsidR="00E461FB">
                              <w:rPr>
                                <w:lang w:val="fr-CH"/>
                              </w:rPr>
                              <w:t>visant</w:t>
                            </w:r>
                            <w:r w:rsidR="00B45C10">
                              <w:rPr>
                                <w:lang w:val="fr-CH"/>
                              </w:rPr>
                              <w:t xml:space="preserve"> au renforcement institutionnel pour soutenir l’application de la Convention, y compris la préparation d’un projet de résolution pour examen par le Comité permanent à sa 63</w:t>
                            </w:r>
                            <w:r w:rsidR="00B45C10" w:rsidRPr="00B45C10">
                              <w:rPr>
                                <w:vertAlign w:val="superscript"/>
                                <w:lang w:val="fr-CH"/>
                              </w:rPr>
                              <w:t>e</w:t>
                            </w:r>
                            <w:r w:rsidR="00B45C10">
                              <w:rPr>
                                <w:lang w:val="fr-CH"/>
                              </w:rPr>
                              <w:t xml:space="preserve"> Réunion ; et </w:t>
                            </w:r>
                          </w:p>
                          <w:p w14:paraId="6FAF8484" w14:textId="77777777" w:rsidR="00C1768B" w:rsidRPr="00B45C10" w:rsidRDefault="00C1768B" w:rsidP="00FC1EDB">
                            <w:pPr>
                              <w:pStyle w:val="ListParagraph"/>
                              <w:spacing w:after="0" w:line="240" w:lineRule="auto"/>
                              <w:ind w:left="426" w:hanging="426"/>
                              <w:rPr>
                                <w:rFonts w:cstheme="minorHAnsi"/>
                                <w:lang w:val="fr-CH"/>
                              </w:rPr>
                            </w:pPr>
                          </w:p>
                          <w:p w14:paraId="3B7BBCE8" w14:textId="49A7FC71" w:rsidR="00C1768B" w:rsidRPr="00B45C10" w:rsidRDefault="00FC1EDB" w:rsidP="00FC1EDB">
                            <w:pPr>
                              <w:spacing w:after="0" w:line="240" w:lineRule="auto"/>
                              <w:ind w:left="426" w:hanging="426"/>
                              <w:rPr>
                                <w:rFonts w:cstheme="minorHAnsi"/>
                                <w:lang w:val="fr-CH"/>
                              </w:rPr>
                            </w:pPr>
                            <w:r w:rsidRPr="00B45C10">
                              <w:rPr>
                                <w:rFonts w:cstheme="minorHAnsi"/>
                                <w:bCs/>
                                <w:lang w:val="fr-CH"/>
                              </w:rPr>
                              <w:t>iv</w:t>
                            </w:r>
                            <w:r w:rsidR="00CC6C83" w:rsidRPr="00B45C10">
                              <w:rPr>
                                <w:rFonts w:cstheme="minorHAnsi"/>
                                <w:bCs/>
                                <w:lang w:val="fr-CH"/>
                              </w:rPr>
                              <w:t>)</w:t>
                            </w:r>
                            <w:r w:rsidRPr="00B45C10">
                              <w:rPr>
                                <w:rFonts w:cstheme="minorHAnsi"/>
                                <w:bCs/>
                                <w:lang w:val="fr-CH"/>
                              </w:rPr>
                              <w:tab/>
                            </w:r>
                            <w:r w:rsidR="00B45C10">
                              <w:rPr>
                                <w:rFonts w:cstheme="minorHAnsi"/>
                                <w:bCs/>
                                <w:lang w:val="fr-CH"/>
                              </w:rPr>
                              <w:t xml:space="preserve">charger le Groupe de travail sur la gestion de préparer un projet de résolution mettant en place le processus de recrutement d’un nouveau Secrétaire général en réponse à la Décision </w:t>
                            </w:r>
                            <w:r w:rsidR="00C1768B" w:rsidRPr="00B45C10">
                              <w:rPr>
                                <w:rFonts w:cstheme="minorHAnsi"/>
                                <w:bCs/>
                                <w:lang w:val="fr-CH"/>
                              </w:rPr>
                              <w:t>SC59</w:t>
                            </w:r>
                            <w:r w:rsidR="00B45C10">
                              <w:rPr>
                                <w:rFonts w:cstheme="minorHAnsi"/>
                                <w:bCs/>
                                <w:lang w:val="fr-CH"/>
                              </w:rPr>
                              <w:noBreakHyphen/>
                            </w:r>
                            <w:r w:rsidR="00C1768B" w:rsidRPr="00B45C10">
                              <w:rPr>
                                <w:rFonts w:cstheme="minorHAnsi"/>
                                <w:bCs/>
                                <w:lang w:val="fr-CH"/>
                              </w:rPr>
                              <w:t>40</w:t>
                            </w:r>
                            <w:r w:rsidR="00CA2DB0" w:rsidRPr="00B45C10">
                              <w:rPr>
                                <w:rFonts w:cstheme="minorHAnsi"/>
                                <w:bCs/>
                                <w:lang w:val="fr-CH"/>
                              </w:rPr>
                              <w:t>,</w:t>
                            </w:r>
                            <w:r w:rsidR="00C1768B" w:rsidRPr="00B45C10">
                              <w:rPr>
                                <w:rFonts w:cstheme="minorHAnsi"/>
                                <w:bCs/>
                                <w:lang w:val="fr-CH"/>
                              </w:rPr>
                              <w:t xml:space="preserve"> </w:t>
                            </w:r>
                            <w:r w:rsidR="00B45C10">
                              <w:rPr>
                                <w:rFonts w:cstheme="minorHAnsi"/>
                                <w:bCs/>
                                <w:lang w:val="fr-CH"/>
                              </w:rPr>
                              <w:t>pour examen par le Comité permanent à sa 63</w:t>
                            </w:r>
                            <w:r w:rsidR="00B45C10" w:rsidRPr="00B45C10">
                              <w:rPr>
                                <w:rFonts w:cstheme="minorHAnsi"/>
                                <w:bCs/>
                                <w:vertAlign w:val="superscript"/>
                                <w:lang w:val="fr-CH"/>
                              </w:rPr>
                              <w:t>e</w:t>
                            </w:r>
                            <w:r w:rsidR="00B45C10">
                              <w:rPr>
                                <w:rFonts w:cstheme="minorHAnsi"/>
                                <w:bCs/>
                                <w:lang w:val="fr-CH"/>
                              </w:rPr>
                              <w:t xml:space="preserve"> Réunion. </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B7451A" id="_x0000_t202" coordsize="21600,21600" o:spt="202" path="m,l,21600r21600,l21600,xe">
                <v:stroke joinstyle="miter"/>
                <v:path gradientshapeok="t" o:connecttype="rect"/>
              </v:shapetype>
              <v:shape id="Text Box 1" o:spid="_x0000_s1026" type="#_x0000_t202" style="width:451.3pt;height: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">
                <v:textbox>
                  <w:txbxContent>
                    <w:p w14:paraId="1A9930D8" w14:textId="24DAA3AE" w:rsidR="00C1768B" w:rsidRPr="00364FEC" w:rsidRDefault="006C547B" w:rsidP="00FC1EDB">
                      <w:pPr>
                        <w:spacing w:after="0" w:line="240" w:lineRule="auto"/>
                        <w:rPr>
                          <w:rFonts w:ascii="Calibri" w:hAnsi="Calibri"/>
                          <w:b/>
                          <w:bCs/>
                          <w:lang w:val="fr-FR"/>
                        </w:rPr>
                      </w:pPr>
                      <w:r w:rsidRPr="00364FEC">
                        <w:rPr>
                          <w:rFonts w:ascii="Calibri" w:hAnsi="Calibri"/>
                          <w:b/>
                          <w:bCs/>
                          <w:lang w:val="fr-FR"/>
                        </w:rPr>
                        <w:t xml:space="preserve">Mesures requises </w:t>
                      </w:r>
                      <w:r w:rsidR="00FC1EDB" w:rsidRPr="00364FEC">
                        <w:rPr>
                          <w:rFonts w:ascii="Calibri" w:hAnsi="Calibri"/>
                          <w:b/>
                          <w:bCs/>
                          <w:lang w:val="fr-FR"/>
                        </w:rPr>
                        <w:t>:</w:t>
                      </w:r>
                    </w:p>
                    <w:p w14:paraId="01F3A072" w14:textId="77777777" w:rsidR="00C1768B" w:rsidRPr="00364FEC" w:rsidRDefault="00C1768B" w:rsidP="00FC1EDB">
                      <w:pPr>
                        <w:spacing w:after="0" w:line="240" w:lineRule="auto"/>
                        <w:rPr>
                          <w:rFonts w:ascii="Calibri" w:hAnsi="Calibri"/>
                          <w:b/>
                          <w:bCs/>
                          <w:lang w:val="fr-FR"/>
                        </w:rPr>
                      </w:pPr>
                    </w:p>
                    <w:p w14:paraId="7A5EDDF2" w14:textId="372EB9A7" w:rsidR="00C1768B" w:rsidRPr="00364FEC" w:rsidRDefault="006C547B" w:rsidP="00FC1EDB">
                      <w:pPr>
                        <w:spacing w:after="0" w:line="240" w:lineRule="auto"/>
                        <w:rPr>
                          <w:lang w:val="fr-FR"/>
                        </w:rPr>
                      </w:pPr>
                      <w:r w:rsidRPr="00364FEC">
                        <w:rPr>
                          <w:lang w:val="fr-FR"/>
                        </w:rPr>
                        <w:t xml:space="preserve">Le </w:t>
                      </w:r>
                      <w:r w:rsidR="00CC6C83">
                        <w:rPr>
                          <w:lang w:val="fr-FR"/>
                        </w:rPr>
                        <w:t>C</w:t>
                      </w:r>
                      <w:r w:rsidRPr="00364FEC">
                        <w:rPr>
                          <w:lang w:val="fr-FR"/>
                        </w:rPr>
                        <w:t>omité permanent est invit</w:t>
                      </w:r>
                      <w:r w:rsidR="00324111">
                        <w:rPr>
                          <w:lang w:val="fr-FR"/>
                        </w:rPr>
                        <w:t>é</w:t>
                      </w:r>
                      <w:r w:rsidRPr="00364FEC">
                        <w:rPr>
                          <w:lang w:val="fr-FR"/>
                        </w:rPr>
                        <w:t xml:space="preserve"> à </w:t>
                      </w:r>
                      <w:r w:rsidR="00C1768B" w:rsidRPr="00364FEC">
                        <w:rPr>
                          <w:lang w:val="fr-FR"/>
                        </w:rPr>
                        <w:t>:</w:t>
                      </w:r>
                    </w:p>
                    <w:p w14:paraId="24759763" w14:textId="77777777" w:rsidR="00C1768B" w:rsidRPr="00364FEC" w:rsidRDefault="00C1768B" w:rsidP="00FC1EDB">
                      <w:pPr>
                        <w:spacing w:after="0" w:line="240" w:lineRule="auto"/>
                        <w:rPr>
                          <w:lang w:val="fr-FR"/>
                        </w:rPr>
                      </w:pPr>
                    </w:p>
                    <w:p w14:paraId="4E3D6EEE" w14:textId="5AF298C7" w:rsidR="00C1768B" w:rsidRPr="00B45C10" w:rsidRDefault="00FC1EDB" w:rsidP="00FC1EDB">
                      <w:pPr>
                        <w:spacing w:after="0" w:line="240" w:lineRule="auto"/>
                        <w:ind w:left="426" w:hanging="426"/>
                        <w:rPr>
                          <w:lang w:val="fr-CH"/>
                        </w:rPr>
                      </w:pPr>
                      <w:r w:rsidRPr="00B45C10">
                        <w:rPr>
                          <w:lang w:val="fr-CH"/>
                        </w:rPr>
                        <w:t>i</w:t>
                      </w:r>
                      <w:r w:rsidR="00CC6C83" w:rsidRPr="00B45C10">
                        <w:rPr>
                          <w:lang w:val="fr-CH"/>
                        </w:rPr>
                        <w:t>)</w:t>
                      </w:r>
                      <w:r w:rsidRPr="00B45C10">
                        <w:rPr>
                          <w:lang w:val="fr-CH"/>
                        </w:rPr>
                        <w:tab/>
                      </w:r>
                      <w:r w:rsidR="00B45C10">
                        <w:rPr>
                          <w:lang w:val="fr-CH"/>
                        </w:rPr>
                        <w:t>prendre note du rapport du Secrétariat sur le renforcement institutionnel pour soutenir l’application de la Convention en réponse à la Résolution </w:t>
                      </w:r>
                      <w:r w:rsidR="00C1768B" w:rsidRPr="00B45C10">
                        <w:rPr>
                          <w:lang w:val="fr-CH"/>
                        </w:rPr>
                        <w:t>XIV.6</w:t>
                      </w:r>
                      <w:r w:rsidR="00175507" w:rsidRPr="00B45C10">
                        <w:rPr>
                          <w:lang w:val="fr-CH"/>
                        </w:rPr>
                        <w:t>,</w:t>
                      </w:r>
                      <w:r w:rsidR="00C1768B" w:rsidRPr="00B45C10">
                        <w:rPr>
                          <w:lang w:val="fr-CH"/>
                        </w:rPr>
                        <w:t xml:space="preserve"> paragraph</w:t>
                      </w:r>
                      <w:r w:rsidR="00B45C10">
                        <w:rPr>
                          <w:lang w:val="fr-CH"/>
                        </w:rPr>
                        <w:t>e </w:t>
                      </w:r>
                      <w:r w:rsidR="00C1768B" w:rsidRPr="00B45C10">
                        <w:rPr>
                          <w:lang w:val="fr-CH"/>
                        </w:rPr>
                        <w:t>22</w:t>
                      </w:r>
                      <w:r w:rsidR="00B45C10">
                        <w:rPr>
                          <w:lang w:val="fr-CH"/>
                        </w:rPr>
                        <w:t> </w:t>
                      </w:r>
                      <w:r w:rsidR="00CA2DB0" w:rsidRPr="00B45C10">
                        <w:rPr>
                          <w:lang w:val="fr-CH"/>
                        </w:rPr>
                        <w:t>;</w:t>
                      </w:r>
                    </w:p>
                    <w:p w14:paraId="25D5829E" w14:textId="77777777" w:rsidR="00E46D77" w:rsidRPr="00B45C10" w:rsidRDefault="00E46D77" w:rsidP="00FC1EDB">
                      <w:pPr>
                        <w:spacing w:after="0" w:line="240" w:lineRule="auto"/>
                        <w:ind w:left="426" w:hanging="426"/>
                        <w:rPr>
                          <w:lang w:val="fr-CH"/>
                        </w:rPr>
                      </w:pPr>
                    </w:p>
                    <w:p w14:paraId="0B00BF4B" w14:textId="39F8ECB7" w:rsidR="00183D4F" w:rsidRPr="00B45C10" w:rsidRDefault="00FC1EDB" w:rsidP="00FC1EDB">
                      <w:pPr>
                        <w:spacing w:after="0" w:line="240" w:lineRule="auto"/>
                        <w:ind w:left="426" w:hanging="426"/>
                        <w:rPr>
                          <w:lang w:val="fr-CH"/>
                        </w:rPr>
                      </w:pPr>
                      <w:r w:rsidRPr="00B45C10">
                        <w:rPr>
                          <w:lang w:val="fr-CH"/>
                        </w:rPr>
                        <w:t>ii</w:t>
                      </w:r>
                      <w:r w:rsidR="00CC6C83" w:rsidRPr="00B45C10">
                        <w:rPr>
                          <w:lang w:val="fr-CH"/>
                        </w:rPr>
                        <w:t>)</w:t>
                      </w:r>
                      <w:r w:rsidRPr="00B45C10">
                        <w:rPr>
                          <w:lang w:val="fr-CH"/>
                        </w:rPr>
                        <w:tab/>
                      </w:r>
                      <w:r w:rsidR="00B45C10">
                        <w:rPr>
                          <w:lang w:val="fr-CH"/>
                        </w:rPr>
                        <w:t>prendre note des recommandations des Parties contractantes intéressées et du Secrétariat qui sont reflétées dans l’Annexe 2 du rapport ;</w:t>
                      </w:r>
                    </w:p>
                    <w:p w14:paraId="36B75632" w14:textId="7D2052E1" w:rsidR="00C1768B" w:rsidRPr="00B45C10" w:rsidRDefault="002129DD" w:rsidP="00FC1EDB">
                      <w:pPr>
                        <w:spacing w:after="0" w:line="240" w:lineRule="auto"/>
                        <w:ind w:left="426" w:hanging="426"/>
                        <w:rPr>
                          <w:lang w:val="fr-CH"/>
                        </w:rPr>
                      </w:pPr>
                      <w:r>
                        <w:rPr>
                          <w:lang w:val="fr-CH"/>
                        </w:rPr>
                        <w:t xml:space="preserve"> </w:t>
                      </w:r>
                    </w:p>
                    <w:p w14:paraId="32728D9D" w14:textId="694BC358" w:rsidR="00C1768B" w:rsidRPr="00B45C10" w:rsidRDefault="00FC1EDB" w:rsidP="00FC1EDB">
                      <w:pPr>
                        <w:spacing w:after="0" w:line="240" w:lineRule="auto"/>
                        <w:ind w:left="426" w:hanging="426"/>
                        <w:rPr>
                          <w:rFonts w:cstheme="minorHAnsi"/>
                          <w:lang w:val="fr-CH"/>
                        </w:rPr>
                      </w:pPr>
                      <w:r w:rsidRPr="00B45C10">
                        <w:rPr>
                          <w:lang w:val="fr-CH"/>
                        </w:rPr>
                        <w:t>iii</w:t>
                      </w:r>
                      <w:r w:rsidR="00CC6C83" w:rsidRPr="00B45C10">
                        <w:rPr>
                          <w:lang w:val="fr-CH"/>
                        </w:rPr>
                        <w:t>)</w:t>
                      </w:r>
                      <w:r w:rsidRPr="00B45C10">
                        <w:rPr>
                          <w:lang w:val="fr-CH"/>
                        </w:rPr>
                        <w:tab/>
                      </w:r>
                      <w:r w:rsidR="00B45C10">
                        <w:rPr>
                          <w:lang w:val="fr-CH"/>
                        </w:rPr>
                        <w:t xml:space="preserve">constituer un Groupe de travail chargé de piloter le processus </w:t>
                      </w:r>
                      <w:r w:rsidR="00E461FB">
                        <w:rPr>
                          <w:lang w:val="fr-CH"/>
                        </w:rPr>
                        <w:t>visant</w:t>
                      </w:r>
                      <w:r w:rsidR="00B45C10">
                        <w:rPr>
                          <w:lang w:val="fr-CH"/>
                        </w:rPr>
                        <w:t xml:space="preserve"> au renforcement institutionnel pour soutenir l’application de la Convention, y compris la préparation d’un projet de résolution pour examen par le Comité permanent à sa 63</w:t>
                      </w:r>
                      <w:r w:rsidR="00B45C10" w:rsidRPr="00B45C10">
                        <w:rPr>
                          <w:vertAlign w:val="superscript"/>
                          <w:lang w:val="fr-CH"/>
                        </w:rPr>
                        <w:t>e</w:t>
                      </w:r>
                      <w:r w:rsidR="00B45C10">
                        <w:rPr>
                          <w:lang w:val="fr-CH"/>
                        </w:rPr>
                        <w:t xml:space="preserve"> Réunion ; et </w:t>
                      </w:r>
                    </w:p>
                    <w:p w14:paraId="6FAF8484" w14:textId="77777777" w:rsidR="00C1768B" w:rsidRPr="00B45C10" w:rsidRDefault="00C1768B" w:rsidP="00FC1EDB">
                      <w:pPr>
                        <w:pStyle w:val="Paragraphedeliste"/>
                        <w:spacing w:after="0" w:line="240" w:lineRule="auto"/>
                        <w:ind w:left="426" w:hanging="426"/>
                        <w:rPr>
                          <w:rFonts w:cstheme="minorHAnsi"/>
                          <w:lang w:val="fr-CH"/>
                        </w:rPr>
                      </w:pPr>
                    </w:p>
                    <w:p w14:paraId="3B7BBCE8" w14:textId="49A7FC71" w:rsidR="00C1768B" w:rsidRPr="00B45C10" w:rsidRDefault="00FC1EDB" w:rsidP="00FC1EDB">
                      <w:pPr>
                        <w:spacing w:after="0" w:line="240" w:lineRule="auto"/>
                        <w:ind w:left="426" w:hanging="426"/>
                        <w:rPr>
                          <w:rFonts w:cstheme="minorHAnsi"/>
                          <w:lang w:val="fr-CH"/>
                        </w:rPr>
                      </w:pPr>
                      <w:r w:rsidRPr="00B45C10">
                        <w:rPr>
                          <w:rFonts w:cstheme="minorHAnsi"/>
                          <w:bCs/>
                          <w:lang w:val="fr-CH"/>
                        </w:rPr>
                        <w:t>iv</w:t>
                      </w:r>
                      <w:r w:rsidR="00CC6C83" w:rsidRPr="00B45C10">
                        <w:rPr>
                          <w:rFonts w:cstheme="minorHAnsi"/>
                          <w:bCs/>
                          <w:lang w:val="fr-CH"/>
                        </w:rPr>
                        <w:t>)</w:t>
                      </w:r>
                      <w:r w:rsidRPr="00B45C10">
                        <w:rPr>
                          <w:rFonts w:cstheme="minorHAnsi"/>
                          <w:bCs/>
                          <w:lang w:val="fr-CH"/>
                        </w:rPr>
                        <w:tab/>
                      </w:r>
                      <w:r w:rsidR="00B45C10">
                        <w:rPr>
                          <w:rFonts w:cstheme="minorHAnsi"/>
                          <w:bCs/>
                          <w:lang w:val="fr-CH"/>
                        </w:rPr>
                        <w:t xml:space="preserve">charger le Groupe de travail sur la gestion de préparer un projet de résolution mettant en place le processus de recrutement d’un nouveau Secrétaire général en réponse à la Décision </w:t>
                      </w:r>
                      <w:r w:rsidR="00C1768B" w:rsidRPr="00B45C10">
                        <w:rPr>
                          <w:rFonts w:cstheme="minorHAnsi"/>
                          <w:bCs/>
                          <w:lang w:val="fr-CH"/>
                        </w:rPr>
                        <w:t>SC59</w:t>
                      </w:r>
                      <w:r w:rsidR="00B45C10">
                        <w:rPr>
                          <w:rFonts w:cstheme="minorHAnsi"/>
                          <w:bCs/>
                          <w:lang w:val="fr-CH"/>
                        </w:rPr>
                        <w:noBreakHyphen/>
                      </w:r>
                      <w:r w:rsidR="00C1768B" w:rsidRPr="00B45C10">
                        <w:rPr>
                          <w:rFonts w:cstheme="minorHAnsi"/>
                          <w:bCs/>
                          <w:lang w:val="fr-CH"/>
                        </w:rPr>
                        <w:t>40</w:t>
                      </w:r>
                      <w:r w:rsidR="00CA2DB0" w:rsidRPr="00B45C10">
                        <w:rPr>
                          <w:rFonts w:cstheme="minorHAnsi"/>
                          <w:bCs/>
                          <w:lang w:val="fr-CH"/>
                        </w:rPr>
                        <w:t>,</w:t>
                      </w:r>
                      <w:r w:rsidR="00C1768B" w:rsidRPr="00B45C10">
                        <w:rPr>
                          <w:rFonts w:cstheme="minorHAnsi"/>
                          <w:bCs/>
                          <w:lang w:val="fr-CH"/>
                        </w:rPr>
                        <w:t xml:space="preserve"> </w:t>
                      </w:r>
                      <w:r w:rsidR="00B45C10">
                        <w:rPr>
                          <w:rFonts w:cstheme="minorHAnsi"/>
                          <w:bCs/>
                          <w:lang w:val="fr-CH"/>
                        </w:rPr>
                        <w:t>pour examen par le Comité permanent à sa 63</w:t>
                      </w:r>
                      <w:r w:rsidR="00B45C10" w:rsidRPr="00B45C10">
                        <w:rPr>
                          <w:rFonts w:cstheme="minorHAnsi"/>
                          <w:bCs/>
                          <w:vertAlign w:val="superscript"/>
                          <w:lang w:val="fr-CH"/>
                        </w:rPr>
                        <w:t>e</w:t>
                      </w:r>
                      <w:r w:rsidR="00B45C10">
                        <w:rPr>
                          <w:rFonts w:cstheme="minorHAnsi"/>
                          <w:bCs/>
                          <w:lang w:val="fr-CH"/>
                        </w:rPr>
                        <w:t xml:space="preserve"> Réunion. </w:t>
                      </w:r>
                    </w:p>
                  </w:txbxContent>
                </v:textbox>
                <w10:anchorlock/>
              </v:shape>
            </w:pict>
          </mc:Fallback>
        </mc:AlternateContent>
      </w:r>
    </w:p>
    <w:p w14:paraId="2AEFC3A0" w14:textId="77777777" w:rsidR="00FC1EDB" w:rsidRPr="00742041" w:rsidRDefault="00FC1EDB" w:rsidP="00FC1EDB">
      <w:pPr>
        <w:spacing w:after="0" w:line="240" w:lineRule="auto"/>
        <w:rPr>
          <w:b/>
          <w:bCs/>
          <w:lang w:val="fr-CH"/>
        </w:rPr>
      </w:pPr>
    </w:p>
    <w:p w14:paraId="4B3099E1" w14:textId="77777777" w:rsidR="00FC1EDB" w:rsidRPr="00742041" w:rsidRDefault="00FC1EDB" w:rsidP="00FC1EDB">
      <w:pPr>
        <w:spacing w:after="0" w:line="240" w:lineRule="auto"/>
        <w:rPr>
          <w:b/>
          <w:bCs/>
          <w:lang w:val="fr-CH"/>
        </w:rPr>
      </w:pPr>
    </w:p>
    <w:p w14:paraId="228C34E4" w14:textId="4C8D865B" w:rsidR="00B407BB" w:rsidRPr="00742041" w:rsidRDefault="00364FEC" w:rsidP="00EC0F71">
      <w:pPr>
        <w:spacing w:after="0" w:line="240" w:lineRule="auto"/>
        <w:rPr>
          <w:b/>
          <w:bCs/>
          <w:lang w:val="fr-CH"/>
        </w:rPr>
      </w:pPr>
      <w:r w:rsidRPr="00742041">
        <w:rPr>
          <w:b/>
          <w:bCs/>
          <w:lang w:val="fr-CH"/>
        </w:rPr>
        <w:t>Contexte</w:t>
      </w:r>
      <w:r w:rsidR="00B407BB" w:rsidRPr="00742041">
        <w:rPr>
          <w:b/>
          <w:bCs/>
          <w:lang w:val="fr-CH"/>
        </w:rPr>
        <w:t xml:space="preserve"> </w:t>
      </w:r>
    </w:p>
    <w:p w14:paraId="77D5D4BC" w14:textId="77777777" w:rsidR="00FC1EDB" w:rsidRPr="00742041" w:rsidRDefault="00FC1EDB" w:rsidP="00FC1EDB">
      <w:pPr>
        <w:pStyle w:val="ColorfulList-Accent11"/>
        <w:ind w:left="426" w:hanging="426"/>
        <w:contextualSpacing w:val="0"/>
        <w:rPr>
          <w:rFonts w:asciiTheme="minorHAnsi" w:hAnsiTheme="minorHAnsi" w:cstheme="minorHAnsi"/>
          <w:lang w:val="fr-CH"/>
        </w:rPr>
      </w:pPr>
    </w:p>
    <w:p w14:paraId="614F1C31" w14:textId="45DB5B46" w:rsidR="00B407BB" w:rsidRPr="00742041" w:rsidRDefault="00FC1EDB" w:rsidP="00EC0F71">
      <w:pPr>
        <w:pStyle w:val="ColorfulList-Accent11"/>
        <w:ind w:left="426" w:hanging="426"/>
        <w:contextualSpacing w:val="0"/>
        <w:rPr>
          <w:rFonts w:asciiTheme="minorHAnsi" w:hAnsiTheme="minorHAnsi" w:cstheme="minorHAnsi"/>
          <w:lang w:val="fr-CH"/>
        </w:rPr>
      </w:pPr>
      <w:r w:rsidRPr="00742041">
        <w:rPr>
          <w:rFonts w:asciiTheme="minorHAnsi" w:hAnsiTheme="minorHAnsi" w:cstheme="minorHAnsi"/>
          <w:lang w:val="fr-CH"/>
        </w:rPr>
        <w:t>1.</w:t>
      </w:r>
      <w:r w:rsidRPr="00742041">
        <w:rPr>
          <w:rFonts w:asciiTheme="minorHAnsi" w:hAnsiTheme="minorHAnsi" w:cstheme="minorHAnsi"/>
          <w:lang w:val="fr-CH"/>
        </w:rPr>
        <w:tab/>
      </w:r>
      <w:r w:rsidR="0068574E">
        <w:rPr>
          <w:rFonts w:asciiTheme="minorHAnsi" w:hAnsiTheme="minorHAnsi" w:cstheme="minorHAnsi"/>
          <w:lang w:val="fr-CH"/>
        </w:rPr>
        <w:t>Dans la Décision</w:t>
      </w:r>
      <w:r w:rsidR="00B407BB" w:rsidRPr="00742041">
        <w:rPr>
          <w:rFonts w:asciiTheme="minorHAnsi" w:hAnsiTheme="minorHAnsi" w:cstheme="minorHAnsi"/>
          <w:lang w:val="fr-CH"/>
        </w:rPr>
        <w:t xml:space="preserve"> SC55-12, </w:t>
      </w:r>
      <w:r w:rsidR="0068574E">
        <w:rPr>
          <w:rFonts w:asciiTheme="minorHAnsi" w:hAnsiTheme="minorHAnsi" w:cstheme="minorHAnsi"/>
          <w:lang w:val="fr-CH"/>
        </w:rPr>
        <w:t>le Comité permanent a donné instruction au Secrétariat, avec l’appui d’un groupe informel de Parties contractantes intéressées, de présenter une proposition structurée concernant la possibilité pour la Convention d’obtenir le statut d’observateur à l’Assemblée générale des Nations Unies, en tenant compte des diverses options, pour examen à sa 57</w:t>
      </w:r>
      <w:r w:rsidR="0068574E" w:rsidRPr="0068574E">
        <w:rPr>
          <w:rFonts w:asciiTheme="minorHAnsi" w:hAnsiTheme="minorHAnsi" w:cstheme="minorHAnsi"/>
          <w:vertAlign w:val="superscript"/>
          <w:lang w:val="fr-CH"/>
        </w:rPr>
        <w:t>e</w:t>
      </w:r>
      <w:r w:rsidR="0068574E">
        <w:rPr>
          <w:rFonts w:asciiTheme="minorHAnsi" w:hAnsiTheme="minorHAnsi" w:cstheme="minorHAnsi"/>
          <w:lang w:val="fr-CH"/>
        </w:rPr>
        <w:t xml:space="preserve"> Réunion (SC57). </w:t>
      </w:r>
    </w:p>
    <w:p w14:paraId="32F97338" w14:textId="77777777" w:rsidR="00B407BB" w:rsidRPr="00742041" w:rsidRDefault="00B407BB" w:rsidP="00EC0F71">
      <w:pPr>
        <w:spacing w:after="0" w:line="240" w:lineRule="auto"/>
        <w:ind w:left="426" w:hanging="426"/>
        <w:rPr>
          <w:rFonts w:cstheme="minorHAnsi"/>
          <w:lang w:val="fr-CH"/>
        </w:rPr>
      </w:pPr>
    </w:p>
    <w:p w14:paraId="26C60902" w14:textId="4728E53F" w:rsidR="00B407BB" w:rsidRPr="00742041" w:rsidRDefault="00FC1EDB" w:rsidP="00EC0F71">
      <w:pPr>
        <w:spacing w:after="0" w:line="240" w:lineRule="auto"/>
        <w:ind w:left="426" w:hanging="426"/>
        <w:rPr>
          <w:rFonts w:cstheme="minorHAnsi"/>
          <w:lang w:val="fr-CH"/>
        </w:rPr>
      </w:pPr>
      <w:r w:rsidRPr="00742041">
        <w:rPr>
          <w:rFonts w:cstheme="minorHAnsi"/>
          <w:lang w:val="fr-CH"/>
        </w:rPr>
        <w:t>2.</w:t>
      </w:r>
      <w:r w:rsidRPr="00742041">
        <w:rPr>
          <w:rFonts w:cstheme="minorHAnsi"/>
          <w:lang w:val="fr-CH"/>
        </w:rPr>
        <w:tab/>
      </w:r>
      <w:r w:rsidR="0068574E">
        <w:rPr>
          <w:rFonts w:cstheme="minorHAnsi"/>
          <w:lang w:val="fr-CH"/>
        </w:rPr>
        <w:t xml:space="preserve">Le groupe informel de Parties contractantes intéressées </w:t>
      </w:r>
      <w:r w:rsidR="00877202">
        <w:rPr>
          <w:rFonts w:cstheme="minorHAnsi"/>
          <w:lang w:val="fr-CH"/>
        </w:rPr>
        <w:t xml:space="preserve">a présenté </w:t>
      </w:r>
      <w:r w:rsidR="0068574E">
        <w:rPr>
          <w:rFonts w:cstheme="minorHAnsi"/>
          <w:lang w:val="fr-CH"/>
        </w:rPr>
        <w:t>à la 57</w:t>
      </w:r>
      <w:r w:rsidR="0068574E" w:rsidRPr="0068574E">
        <w:rPr>
          <w:rFonts w:cstheme="minorHAnsi"/>
          <w:vertAlign w:val="superscript"/>
          <w:lang w:val="fr-CH"/>
        </w:rPr>
        <w:t>e</w:t>
      </w:r>
      <w:r w:rsidR="0068574E">
        <w:rPr>
          <w:rFonts w:cstheme="minorHAnsi"/>
          <w:lang w:val="fr-CH"/>
        </w:rPr>
        <w:t xml:space="preserve"> Réunion du Comité permanent, </w:t>
      </w:r>
      <w:r w:rsidR="00877202">
        <w:rPr>
          <w:rFonts w:cstheme="minorHAnsi"/>
          <w:lang w:val="fr-CH"/>
        </w:rPr>
        <w:t xml:space="preserve">son rapport </w:t>
      </w:r>
      <w:r w:rsidR="0068574E">
        <w:rPr>
          <w:rFonts w:cstheme="minorHAnsi"/>
          <w:lang w:val="fr-CH"/>
        </w:rPr>
        <w:t xml:space="preserve">concernant le statut d’observateur auprès des organes des Nations Unies, </w:t>
      </w:r>
      <w:r w:rsidR="00877202">
        <w:rPr>
          <w:rFonts w:cstheme="minorHAnsi"/>
          <w:lang w:val="fr-CH"/>
        </w:rPr>
        <w:t xml:space="preserve">et </w:t>
      </w:r>
      <w:r w:rsidR="0068574E">
        <w:rPr>
          <w:rFonts w:cstheme="minorHAnsi"/>
          <w:lang w:val="fr-CH"/>
        </w:rPr>
        <w:t>notait les limites du Secrétariat à cet égard</w:t>
      </w:r>
      <w:r w:rsidR="006F2CA5">
        <w:rPr>
          <w:rFonts w:cstheme="minorHAnsi"/>
          <w:lang w:val="fr-CH"/>
        </w:rPr>
        <w:t>,</w:t>
      </w:r>
      <w:r w:rsidR="0068574E">
        <w:rPr>
          <w:rFonts w:cstheme="minorHAnsi"/>
          <w:lang w:val="fr-CH"/>
        </w:rPr>
        <w:t xml:space="preserve"> compte tenu de son absence de personnalité juridique, </w:t>
      </w:r>
      <w:r w:rsidR="006F2CA5">
        <w:rPr>
          <w:rFonts w:cstheme="minorHAnsi"/>
          <w:lang w:val="fr-CH"/>
        </w:rPr>
        <w:t>à savoir</w:t>
      </w:r>
      <w:r w:rsidR="0068574E">
        <w:rPr>
          <w:rFonts w:cstheme="minorHAnsi"/>
          <w:lang w:val="fr-CH"/>
        </w:rPr>
        <w:t xml:space="preserve"> : </w:t>
      </w:r>
    </w:p>
    <w:p w14:paraId="16544727" w14:textId="77777777" w:rsidR="00A218CB" w:rsidRPr="00742041" w:rsidRDefault="00A218CB" w:rsidP="00EC0F71">
      <w:pPr>
        <w:pStyle w:val="ListParagraph"/>
        <w:spacing w:after="0" w:line="240" w:lineRule="auto"/>
        <w:rPr>
          <w:rFonts w:cstheme="minorHAnsi"/>
          <w:lang w:val="fr-CH"/>
        </w:rPr>
      </w:pPr>
    </w:p>
    <w:p w14:paraId="3A3A6A33" w14:textId="5508371A" w:rsidR="00B407BB" w:rsidRPr="00742041" w:rsidRDefault="00FC1EDB" w:rsidP="00EC0F71">
      <w:pPr>
        <w:spacing w:after="0" w:line="240" w:lineRule="auto"/>
        <w:ind w:left="851" w:hanging="425"/>
        <w:rPr>
          <w:rFonts w:cstheme="minorHAnsi"/>
          <w:lang w:val="fr-CH"/>
        </w:rPr>
      </w:pPr>
      <w:r w:rsidRPr="00742041">
        <w:rPr>
          <w:rFonts w:cstheme="minorHAnsi"/>
          <w:lang w:val="fr-CH"/>
        </w:rPr>
        <w:t>a</w:t>
      </w:r>
      <w:r w:rsidR="002711C2">
        <w:rPr>
          <w:rFonts w:cstheme="minorHAnsi"/>
          <w:lang w:val="fr-CH"/>
        </w:rPr>
        <w:t>)</w:t>
      </w:r>
      <w:r w:rsidRPr="00742041">
        <w:rPr>
          <w:rFonts w:cstheme="minorHAnsi"/>
          <w:lang w:val="fr-CH"/>
        </w:rPr>
        <w:tab/>
      </w:r>
      <w:r w:rsidR="0068574E">
        <w:rPr>
          <w:rFonts w:cstheme="minorHAnsi"/>
          <w:lang w:val="fr-CH"/>
        </w:rPr>
        <w:t>visibilité limitée de la Convention dans les processus et réunions de</w:t>
      </w:r>
      <w:r w:rsidR="006F2CA5">
        <w:rPr>
          <w:rFonts w:cstheme="minorHAnsi"/>
          <w:lang w:val="fr-CH"/>
        </w:rPr>
        <w:t xml:space="preserve"> l’Organisation de</w:t>
      </w:r>
      <w:r w:rsidR="0068574E">
        <w:rPr>
          <w:rFonts w:cstheme="minorHAnsi"/>
          <w:lang w:val="fr-CH"/>
        </w:rPr>
        <w:t>s Nations Unies ;</w:t>
      </w:r>
    </w:p>
    <w:p w14:paraId="6E0907DB" w14:textId="52456CBA" w:rsidR="00B407BB" w:rsidRPr="00742041" w:rsidRDefault="00FC1EDB" w:rsidP="00EC0F71">
      <w:pPr>
        <w:spacing w:after="0" w:line="240" w:lineRule="auto"/>
        <w:ind w:left="851" w:hanging="425"/>
        <w:rPr>
          <w:rFonts w:cstheme="minorHAnsi"/>
          <w:lang w:val="fr-CH"/>
        </w:rPr>
      </w:pPr>
      <w:r w:rsidRPr="00742041">
        <w:rPr>
          <w:rFonts w:cstheme="minorHAnsi"/>
          <w:lang w:val="fr-CH"/>
        </w:rPr>
        <w:t>b</w:t>
      </w:r>
      <w:r w:rsidR="002711C2">
        <w:rPr>
          <w:rFonts w:cstheme="minorHAnsi"/>
          <w:lang w:val="fr-CH"/>
        </w:rPr>
        <w:t>)</w:t>
      </w:r>
      <w:r w:rsidRPr="00742041">
        <w:rPr>
          <w:rFonts w:cstheme="minorHAnsi"/>
          <w:lang w:val="fr-CH"/>
        </w:rPr>
        <w:tab/>
      </w:r>
      <w:r w:rsidR="0068574E">
        <w:rPr>
          <w:rFonts w:cstheme="minorHAnsi"/>
          <w:lang w:val="fr-CH"/>
        </w:rPr>
        <w:t>difficultés en matière de gestion des projets, en particulier lorsque les donateurs exigent que l</w:t>
      </w:r>
      <w:r w:rsidR="006F2CA5">
        <w:rPr>
          <w:rFonts w:cstheme="minorHAnsi"/>
          <w:lang w:val="fr-CH"/>
        </w:rPr>
        <w:t xml:space="preserve">es </w:t>
      </w:r>
      <w:r w:rsidR="0068574E">
        <w:rPr>
          <w:rFonts w:cstheme="minorHAnsi"/>
          <w:lang w:val="fr-CH"/>
        </w:rPr>
        <w:t>accord</w:t>
      </w:r>
      <w:r w:rsidR="002A5301">
        <w:rPr>
          <w:rFonts w:cstheme="minorHAnsi"/>
          <w:lang w:val="fr-CH"/>
        </w:rPr>
        <w:t>s</w:t>
      </w:r>
      <w:r w:rsidR="0068574E">
        <w:rPr>
          <w:rFonts w:cstheme="minorHAnsi"/>
          <w:lang w:val="fr-CH"/>
        </w:rPr>
        <w:t xml:space="preserve"> de projets soi</w:t>
      </w:r>
      <w:r w:rsidR="002A5301">
        <w:rPr>
          <w:rFonts w:cstheme="minorHAnsi"/>
          <w:lang w:val="fr-CH"/>
        </w:rPr>
        <w:t>en</w:t>
      </w:r>
      <w:r w:rsidR="0068574E">
        <w:rPr>
          <w:rFonts w:cstheme="minorHAnsi"/>
          <w:lang w:val="fr-CH"/>
        </w:rPr>
        <w:t>t signé</w:t>
      </w:r>
      <w:r w:rsidR="002A5301">
        <w:rPr>
          <w:rFonts w:cstheme="minorHAnsi"/>
          <w:lang w:val="fr-CH"/>
        </w:rPr>
        <w:t>s</w:t>
      </w:r>
      <w:r w:rsidR="0068574E">
        <w:rPr>
          <w:rFonts w:cstheme="minorHAnsi"/>
          <w:lang w:val="fr-CH"/>
        </w:rPr>
        <w:t xml:space="preserve"> </w:t>
      </w:r>
      <w:r w:rsidR="0057649F">
        <w:rPr>
          <w:rFonts w:cstheme="minorHAnsi"/>
          <w:lang w:val="fr-CH"/>
        </w:rPr>
        <w:t xml:space="preserve">par l’UICN et n’acceptent pas la délégation </w:t>
      </w:r>
      <w:r w:rsidR="002A5301">
        <w:rPr>
          <w:rFonts w:cstheme="minorHAnsi"/>
          <w:lang w:val="fr-CH"/>
        </w:rPr>
        <w:t>de pouvoirs</w:t>
      </w:r>
      <w:r w:rsidR="0057649F">
        <w:rPr>
          <w:rFonts w:cstheme="minorHAnsi"/>
          <w:lang w:val="fr-CH"/>
        </w:rPr>
        <w:t xml:space="preserve"> au Secrétaire général ;</w:t>
      </w:r>
    </w:p>
    <w:p w14:paraId="6B7F5AE3" w14:textId="19E99A37" w:rsidR="00B407BB" w:rsidRPr="00742041" w:rsidRDefault="00FC1EDB" w:rsidP="00EC0F71">
      <w:pPr>
        <w:spacing w:after="0" w:line="240" w:lineRule="auto"/>
        <w:ind w:left="851" w:hanging="425"/>
        <w:rPr>
          <w:rFonts w:cstheme="minorHAnsi"/>
          <w:lang w:val="fr-CH"/>
        </w:rPr>
      </w:pPr>
      <w:r w:rsidRPr="00742041">
        <w:rPr>
          <w:rFonts w:cstheme="minorHAnsi"/>
          <w:lang w:val="fr-CH"/>
        </w:rPr>
        <w:lastRenderedPageBreak/>
        <w:t>c</w:t>
      </w:r>
      <w:r w:rsidR="002711C2">
        <w:rPr>
          <w:rFonts w:cstheme="minorHAnsi"/>
          <w:lang w:val="fr-CH"/>
        </w:rPr>
        <w:t>)</w:t>
      </w:r>
      <w:r w:rsidRPr="00742041">
        <w:rPr>
          <w:rFonts w:cstheme="minorHAnsi"/>
          <w:lang w:val="fr-CH"/>
        </w:rPr>
        <w:tab/>
      </w:r>
      <w:r w:rsidR="00F677F2">
        <w:rPr>
          <w:rFonts w:cstheme="minorHAnsi"/>
          <w:lang w:val="fr-CH"/>
        </w:rPr>
        <w:t>l</w:t>
      </w:r>
      <w:r w:rsidR="002A5301">
        <w:rPr>
          <w:rFonts w:cstheme="minorHAnsi"/>
          <w:lang w:val="fr-CH"/>
        </w:rPr>
        <w:t>’</w:t>
      </w:r>
      <w:r w:rsidR="00F677F2">
        <w:rPr>
          <w:rFonts w:cstheme="minorHAnsi"/>
          <w:lang w:val="fr-CH"/>
        </w:rPr>
        <w:t>augmentation</w:t>
      </w:r>
      <w:r w:rsidR="002A5301">
        <w:rPr>
          <w:rFonts w:cstheme="minorHAnsi"/>
          <w:lang w:val="fr-CH"/>
        </w:rPr>
        <w:t>,</w:t>
      </w:r>
      <w:r w:rsidR="00F677F2">
        <w:rPr>
          <w:rFonts w:cstheme="minorHAnsi"/>
          <w:lang w:val="fr-CH"/>
        </w:rPr>
        <w:t xml:space="preserve"> </w:t>
      </w:r>
      <w:r w:rsidR="002A5301">
        <w:rPr>
          <w:rFonts w:cstheme="minorHAnsi"/>
          <w:lang w:val="fr-CH"/>
        </w:rPr>
        <w:t>chaque année,</w:t>
      </w:r>
      <w:r w:rsidR="00F677F2">
        <w:rPr>
          <w:rFonts w:cstheme="minorHAnsi"/>
          <w:lang w:val="fr-CH"/>
        </w:rPr>
        <w:t xml:space="preserve"> des provisions pour </w:t>
      </w:r>
      <w:r w:rsidR="002A5301">
        <w:rPr>
          <w:rFonts w:cstheme="minorHAnsi"/>
          <w:lang w:val="fr-CH"/>
        </w:rPr>
        <w:t xml:space="preserve">arriérés de </w:t>
      </w:r>
      <w:r w:rsidR="00F677F2">
        <w:rPr>
          <w:rFonts w:cstheme="minorHAnsi"/>
          <w:lang w:val="fr-CH"/>
        </w:rPr>
        <w:t xml:space="preserve">contributions, requises dans le cadre des règlements financiers et de la loi </w:t>
      </w:r>
      <w:r w:rsidR="002A5301">
        <w:rPr>
          <w:rFonts w:cstheme="minorHAnsi"/>
          <w:lang w:val="fr-CH"/>
        </w:rPr>
        <w:t>suisse</w:t>
      </w:r>
      <w:r w:rsidR="00F677F2">
        <w:rPr>
          <w:rFonts w:cstheme="minorHAnsi"/>
          <w:lang w:val="fr-CH"/>
        </w:rPr>
        <w:t>s ; et</w:t>
      </w:r>
    </w:p>
    <w:p w14:paraId="0FCE99E6" w14:textId="1F176C65" w:rsidR="00B407BB" w:rsidRPr="00742041" w:rsidRDefault="00FC1EDB" w:rsidP="00EC0F71">
      <w:pPr>
        <w:spacing w:after="0" w:line="240" w:lineRule="auto"/>
        <w:ind w:left="851" w:hanging="425"/>
        <w:rPr>
          <w:rFonts w:cstheme="minorHAnsi"/>
          <w:lang w:val="fr-CH"/>
        </w:rPr>
      </w:pPr>
      <w:r w:rsidRPr="00742041">
        <w:rPr>
          <w:rFonts w:cstheme="minorHAnsi"/>
          <w:lang w:val="fr-CH"/>
        </w:rPr>
        <w:t>d</w:t>
      </w:r>
      <w:r w:rsidR="002711C2">
        <w:rPr>
          <w:rFonts w:cstheme="minorHAnsi"/>
          <w:lang w:val="fr-CH"/>
        </w:rPr>
        <w:t>)</w:t>
      </w:r>
      <w:r w:rsidRPr="00742041">
        <w:rPr>
          <w:rFonts w:cstheme="minorHAnsi"/>
          <w:lang w:val="fr-CH"/>
        </w:rPr>
        <w:tab/>
      </w:r>
      <w:r w:rsidR="00F677F2">
        <w:rPr>
          <w:rFonts w:cstheme="minorHAnsi"/>
          <w:lang w:val="fr-CH"/>
        </w:rPr>
        <w:t xml:space="preserve">les difficultés </w:t>
      </w:r>
      <w:r w:rsidR="002A5301">
        <w:rPr>
          <w:rFonts w:cstheme="minorHAnsi"/>
          <w:lang w:val="fr-CH"/>
        </w:rPr>
        <w:t xml:space="preserve">en matière </w:t>
      </w:r>
      <w:r w:rsidR="00F677F2">
        <w:rPr>
          <w:rFonts w:cstheme="minorHAnsi"/>
          <w:lang w:val="fr-CH"/>
        </w:rPr>
        <w:t xml:space="preserve">de recrutement et de maintien </w:t>
      </w:r>
      <w:r w:rsidR="002A5301">
        <w:rPr>
          <w:rFonts w:cstheme="minorHAnsi"/>
          <w:lang w:val="fr-CH"/>
        </w:rPr>
        <w:t xml:space="preserve">en poste </w:t>
      </w:r>
      <w:r w:rsidR="00F677F2">
        <w:rPr>
          <w:rFonts w:cstheme="minorHAnsi"/>
          <w:lang w:val="fr-CH"/>
        </w:rPr>
        <w:t xml:space="preserve">du personnel </w:t>
      </w:r>
      <w:r w:rsidR="002A5301">
        <w:rPr>
          <w:rFonts w:cstheme="minorHAnsi"/>
          <w:lang w:val="fr-CH"/>
        </w:rPr>
        <w:t>parce</w:t>
      </w:r>
      <w:r w:rsidR="00F677F2">
        <w:rPr>
          <w:rFonts w:cstheme="minorHAnsi"/>
          <w:lang w:val="fr-CH"/>
        </w:rPr>
        <w:t xml:space="preserve"> que la Convention </w:t>
      </w:r>
      <w:r w:rsidR="007D6ED7">
        <w:rPr>
          <w:rFonts w:cstheme="minorHAnsi"/>
          <w:lang w:val="fr-CH"/>
        </w:rPr>
        <w:t>ne peut concurrencer les</w:t>
      </w:r>
      <w:r w:rsidR="00F677F2">
        <w:rPr>
          <w:rFonts w:cstheme="minorHAnsi"/>
          <w:lang w:val="fr-CH"/>
        </w:rPr>
        <w:t xml:space="preserve"> conditions et prestations </w:t>
      </w:r>
      <w:r w:rsidR="00B407BB" w:rsidRPr="00742041">
        <w:rPr>
          <w:rFonts w:cstheme="minorHAnsi"/>
          <w:lang w:val="fr-CH"/>
        </w:rPr>
        <w:t>(</w:t>
      </w:r>
      <w:r w:rsidR="00243062" w:rsidRPr="00742041">
        <w:rPr>
          <w:rFonts w:cstheme="minorHAnsi"/>
          <w:lang w:val="fr-CH"/>
        </w:rPr>
        <w:t>barème des traitements</w:t>
      </w:r>
      <w:r w:rsidR="00B407BB" w:rsidRPr="00742041">
        <w:rPr>
          <w:rFonts w:cstheme="minorHAnsi"/>
          <w:lang w:val="fr-CH"/>
        </w:rPr>
        <w:t>, pensions</w:t>
      </w:r>
      <w:r w:rsidR="00175507" w:rsidRPr="00742041">
        <w:rPr>
          <w:rFonts w:cstheme="minorHAnsi"/>
          <w:lang w:val="fr-CH"/>
        </w:rPr>
        <w:t xml:space="preserve"> </w:t>
      </w:r>
      <w:r w:rsidR="00243062" w:rsidRPr="00742041">
        <w:rPr>
          <w:rFonts w:cstheme="minorHAnsi"/>
          <w:lang w:val="fr-CH"/>
        </w:rPr>
        <w:t>et</w:t>
      </w:r>
      <w:r w:rsidR="00175507" w:rsidRPr="00742041">
        <w:rPr>
          <w:rFonts w:cstheme="minorHAnsi"/>
          <w:lang w:val="fr-CH"/>
        </w:rPr>
        <w:t xml:space="preserve"> </w:t>
      </w:r>
      <w:r w:rsidR="00243062" w:rsidRPr="00742041">
        <w:rPr>
          <w:rFonts w:cstheme="minorHAnsi"/>
          <w:lang w:val="fr-CH"/>
        </w:rPr>
        <w:t>indemnités scolaires</w:t>
      </w:r>
      <w:r w:rsidR="00B407BB" w:rsidRPr="00742041">
        <w:rPr>
          <w:rFonts w:cstheme="minorHAnsi"/>
          <w:lang w:val="fr-CH"/>
        </w:rPr>
        <w:t xml:space="preserve">) </w:t>
      </w:r>
      <w:r w:rsidR="00F677F2">
        <w:rPr>
          <w:rFonts w:cstheme="minorHAnsi"/>
          <w:lang w:val="fr-CH"/>
        </w:rPr>
        <w:t>de l’Organisation des Nations Unies.</w:t>
      </w:r>
      <w:r w:rsidR="00B407BB" w:rsidRPr="00742041">
        <w:rPr>
          <w:rFonts w:cstheme="minorHAnsi"/>
          <w:lang w:val="fr-CH"/>
        </w:rPr>
        <w:t xml:space="preserve"> </w:t>
      </w:r>
    </w:p>
    <w:p w14:paraId="03F2C188" w14:textId="77777777" w:rsidR="00B407BB" w:rsidRPr="00742041" w:rsidRDefault="00B407BB" w:rsidP="00FC1EDB">
      <w:pPr>
        <w:pStyle w:val="ColorfulList-Accent11"/>
        <w:ind w:left="0" w:firstLine="0"/>
        <w:contextualSpacing w:val="0"/>
        <w:rPr>
          <w:rFonts w:asciiTheme="minorHAnsi" w:eastAsiaTheme="minorHAnsi" w:hAnsiTheme="minorHAnsi" w:cstheme="minorHAnsi"/>
          <w:bCs/>
          <w:lang w:val="fr-CH"/>
        </w:rPr>
      </w:pPr>
    </w:p>
    <w:p w14:paraId="12F741FF" w14:textId="0AEDAD13" w:rsidR="00B407BB" w:rsidRPr="00742041" w:rsidRDefault="00FC1EDB" w:rsidP="00EC0F71">
      <w:pPr>
        <w:pStyle w:val="ColorfulList-Accent11"/>
        <w:ind w:left="425"/>
        <w:contextualSpacing w:val="0"/>
        <w:rPr>
          <w:rFonts w:cstheme="minorHAnsi"/>
          <w:bCs/>
          <w:lang w:val="fr-CH"/>
        </w:rPr>
      </w:pPr>
      <w:r w:rsidRPr="00742041">
        <w:rPr>
          <w:rFonts w:cs="Calibri"/>
          <w:lang w:val="fr-CH"/>
        </w:rPr>
        <w:t>3.</w:t>
      </w:r>
      <w:r w:rsidRPr="00742041">
        <w:rPr>
          <w:rFonts w:cs="Calibri"/>
          <w:lang w:val="fr-CH"/>
        </w:rPr>
        <w:tab/>
      </w:r>
      <w:r w:rsidR="00F677F2">
        <w:rPr>
          <w:rFonts w:cs="Calibri"/>
          <w:lang w:val="fr-CH"/>
        </w:rPr>
        <w:t>À sa 57</w:t>
      </w:r>
      <w:r w:rsidR="00F677F2" w:rsidRPr="00F677F2">
        <w:rPr>
          <w:rFonts w:cs="Calibri"/>
          <w:vertAlign w:val="superscript"/>
          <w:lang w:val="fr-CH"/>
        </w:rPr>
        <w:t>e</w:t>
      </w:r>
      <w:r w:rsidR="00F677F2">
        <w:rPr>
          <w:rFonts w:cs="Calibri"/>
          <w:lang w:val="fr-CH"/>
        </w:rPr>
        <w:t> Réunion, dans la Décision</w:t>
      </w:r>
      <w:r w:rsidR="00B407BB" w:rsidRPr="00742041">
        <w:rPr>
          <w:rFonts w:cstheme="minorHAnsi"/>
          <w:lang w:val="fr-CH"/>
        </w:rPr>
        <w:t xml:space="preserve"> SC57-14</w:t>
      </w:r>
      <w:r w:rsidR="001C180F" w:rsidRPr="00742041">
        <w:rPr>
          <w:rFonts w:cstheme="minorHAnsi"/>
          <w:lang w:val="fr-CH"/>
        </w:rPr>
        <w:t>,</w:t>
      </w:r>
      <w:r w:rsidR="00B407BB" w:rsidRPr="00742041">
        <w:rPr>
          <w:rFonts w:cstheme="minorHAnsi"/>
          <w:lang w:val="fr-CH"/>
        </w:rPr>
        <w:t xml:space="preserve"> </w:t>
      </w:r>
      <w:r w:rsidR="007D6ED7">
        <w:rPr>
          <w:rFonts w:cs="Calibri"/>
          <w:lang w:val="fr-CH"/>
        </w:rPr>
        <w:t xml:space="preserve">le Comité permanent </w:t>
      </w:r>
      <w:r w:rsidR="00217B0A">
        <w:rPr>
          <w:rFonts w:cstheme="minorHAnsi"/>
          <w:lang w:val="fr-CH"/>
        </w:rPr>
        <w:t xml:space="preserve">a demandé une analyse des </w:t>
      </w:r>
      <w:r w:rsidR="005B2D2B" w:rsidRPr="005B2D2B">
        <w:rPr>
          <w:rFonts w:cstheme="minorHAnsi"/>
          <w:lang w:val="fr-CH"/>
        </w:rPr>
        <w:t>différentes options, et d’autres options qui n’ont peut-être pas été examinées</w:t>
      </w:r>
      <w:r w:rsidR="00217B0A">
        <w:rPr>
          <w:rFonts w:cstheme="minorHAnsi"/>
          <w:lang w:val="fr-CH"/>
        </w:rPr>
        <w:t xml:space="preserve">, pour que le Secrétariat obtienne le statut d’observateur </w:t>
      </w:r>
      <w:r w:rsidR="00877202">
        <w:rPr>
          <w:rFonts w:cstheme="minorHAnsi"/>
          <w:lang w:val="fr-CH"/>
        </w:rPr>
        <w:t>auprès de</w:t>
      </w:r>
      <w:r w:rsidR="00217B0A">
        <w:rPr>
          <w:rFonts w:cstheme="minorHAnsi"/>
          <w:lang w:val="fr-CH"/>
        </w:rPr>
        <w:t xml:space="preserve"> l’Assemblée générale des Nations Unies, et a approuvé la continuité du Groupe de travail sur le statut d’observateur. </w:t>
      </w:r>
    </w:p>
    <w:p w14:paraId="32AB80F8" w14:textId="77777777" w:rsidR="00B407BB" w:rsidRPr="00742041" w:rsidRDefault="00B407BB" w:rsidP="00EC0F71">
      <w:pPr>
        <w:spacing w:after="0" w:line="240" w:lineRule="auto"/>
        <w:ind w:left="425" w:hanging="425"/>
        <w:rPr>
          <w:rFonts w:cstheme="minorHAnsi"/>
          <w:bCs/>
          <w:lang w:val="fr-CH"/>
        </w:rPr>
      </w:pPr>
    </w:p>
    <w:p w14:paraId="03AB7C6C" w14:textId="1B68F98F" w:rsidR="001C180F" w:rsidRPr="00742041" w:rsidRDefault="00FC1EDB" w:rsidP="00EC0F71">
      <w:pPr>
        <w:spacing w:after="0" w:line="240" w:lineRule="auto"/>
        <w:ind w:left="425" w:hanging="425"/>
        <w:rPr>
          <w:rFonts w:cstheme="minorHAnsi"/>
          <w:bCs/>
          <w:lang w:val="fr-CH"/>
        </w:rPr>
      </w:pPr>
      <w:r w:rsidRPr="00742041">
        <w:rPr>
          <w:rFonts w:cstheme="minorHAnsi"/>
          <w:bCs/>
          <w:lang w:val="fr-CH"/>
        </w:rPr>
        <w:t>4.</w:t>
      </w:r>
      <w:r w:rsidRPr="00742041">
        <w:rPr>
          <w:rFonts w:cstheme="minorHAnsi"/>
          <w:bCs/>
          <w:lang w:val="fr-CH"/>
        </w:rPr>
        <w:tab/>
      </w:r>
      <w:r w:rsidR="00217B0A">
        <w:rPr>
          <w:rFonts w:cstheme="minorHAnsi"/>
          <w:bCs/>
          <w:lang w:val="fr-CH"/>
        </w:rPr>
        <w:t>Deux consultations ont eu lieu</w:t>
      </w:r>
      <w:r w:rsidR="005B2D2B">
        <w:rPr>
          <w:rFonts w:cstheme="minorHAnsi"/>
          <w:bCs/>
          <w:lang w:val="fr-CH"/>
        </w:rPr>
        <w:t>,</w:t>
      </w:r>
      <w:r w:rsidR="00217B0A">
        <w:rPr>
          <w:rFonts w:cstheme="minorHAnsi"/>
          <w:bCs/>
          <w:lang w:val="fr-CH"/>
        </w:rPr>
        <w:t xml:space="preserve"> à la demande du Groupe de travail sur le statut d’observateur</w:t>
      </w:r>
      <w:r w:rsidR="005B2D2B">
        <w:rPr>
          <w:rFonts w:cstheme="minorHAnsi"/>
          <w:bCs/>
          <w:lang w:val="fr-CH"/>
        </w:rPr>
        <w:t>,</w:t>
      </w:r>
      <w:r w:rsidR="00217B0A">
        <w:rPr>
          <w:rFonts w:cstheme="minorHAnsi"/>
          <w:bCs/>
          <w:lang w:val="fr-CH"/>
        </w:rPr>
        <w:t xml:space="preserve"> pour ce qui concerne les limites identifiées :</w:t>
      </w:r>
    </w:p>
    <w:p w14:paraId="72ACE61E" w14:textId="69EF2023" w:rsidR="001C180F" w:rsidRPr="00742041" w:rsidRDefault="00217B0A" w:rsidP="000E51B8">
      <w:pPr>
        <w:pStyle w:val="ListParagraph"/>
        <w:numPr>
          <w:ilvl w:val="0"/>
          <w:numId w:val="19"/>
        </w:numPr>
        <w:spacing w:after="0" w:line="240" w:lineRule="auto"/>
        <w:ind w:left="851" w:hanging="425"/>
        <w:rPr>
          <w:rFonts w:cstheme="minorHAnsi"/>
          <w:bCs/>
          <w:lang w:val="fr-CH"/>
        </w:rPr>
      </w:pPr>
      <w:r>
        <w:rPr>
          <w:rFonts w:cstheme="minorHAnsi"/>
          <w:bCs/>
          <w:lang w:val="fr-CH"/>
        </w:rPr>
        <w:t>une analyse indépendante du statut juridique du Secrétariat</w:t>
      </w:r>
      <w:r w:rsidR="001C180F" w:rsidRPr="00742041">
        <w:rPr>
          <w:rStyle w:val="FootnoteReference"/>
          <w:rFonts w:cstheme="minorHAnsi"/>
          <w:bCs/>
          <w:lang w:val="fr-CH"/>
        </w:rPr>
        <w:footnoteReference w:id="2"/>
      </w:r>
      <w:r>
        <w:rPr>
          <w:rFonts w:cstheme="minorHAnsi"/>
          <w:bCs/>
          <w:lang w:val="fr-CH"/>
        </w:rPr>
        <w:t> </w:t>
      </w:r>
      <w:r w:rsidR="001C180F" w:rsidRPr="00742041">
        <w:rPr>
          <w:rFonts w:cstheme="minorHAnsi"/>
          <w:bCs/>
          <w:lang w:val="fr-CH"/>
        </w:rPr>
        <w:t xml:space="preserve">; </w:t>
      </w:r>
      <w:r>
        <w:rPr>
          <w:rFonts w:cstheme="minorHAnsi"/>
          <w:bCs/>
          <w:lang w:val="fr-CH"/>
        </w:rPr>
        <w:t>et</w:t>
      </w:r>
      <w:r w:rsidR="00B407BB" w:rsidRPr="00742041">
        <w:rPr>
          <w:rFonts w:cstheme="minorHAnsi"/>
          <w:bCs/>
          <w:lang w:val="fr-CH"/>
        </w:rPr>
        <w:t xml:space="preserve"> </w:t>
      </w:r>
    </w:p>
    <w:p w14:paraId="787F7FCF" w14:textId="3E82C65C" w:rsidR="00B407BB" w:rsidRPr="00742041" w:rsidRDefault="00217B0A" w:rsidP="000E51B8">
      <w:pPr>
        <w:pStyle w:val="ListParagraph"/>
        <w:numPr>
          <w:ilvl w:val="0"/>
          <w:numId w:val="19"/>
        </w:numPr>
        <w:spacing w:after="0" w:line="240" w:lineRule="auto"/>
        <w:ind w:left="851" w:hanging="425"/>
        <w:rPr>
          <w:rFonts w:cstheme="minorHAnsi"/>
          <w:bCs/>
          <w:lang w:val="fr-CH"/>
        </w:rPr>
      </w:pPr>
      <w:r>
        <w:rPr>
          <w:rFonts w:cstheme="minorHAnsi"/>
          <w:bCs/>
          <w:lang w:val="fr-CH"/>
        </w:rPr>
        <w:t>une analyse financière du statut juridique du Secrétariat</w:t>
      </w:r>
      <w:r w:rsidR="000E51B8" w:rsidRPr="00742041">
        <w:rPr>
          <w:rStyle w:val="FootnoteReference"/>
          <w:rFonts w:cstheme="minorHAnsi"/>
          <w:bCs/>
          <w:lang w:val="fr-CH"/>
        </w:rPr>
        <w:footnoteReference w:id="3"/>
      </w:r>
      <w:r w:rsidR="000E51B8" w:rsidRPr="00742041">
        <w:rPr>
          <w:rFonts w:cstheme="minorHAnsi"/>
          <w:bCs/>
          <w:lang w:val="fr-CH"/>
        </w:rPr>
        <w:t>.</w:t>
      </w:r>
    </w:p>
    <w:p w14:paraId="4E57209C" w14:textId="77777777" w:rsidR="00B407BB" w:rsidRPr="00742041" w:rsidRDefault="00B407BB" w:rsidP="00FC1EDB">
      <w:pPr>
        <w:pStyle w:val="NormalWeb"/>
        <w:spacing w:before="0" w:beforeAutospacing="0" w:after="0" w:afterAutospacing="0"/>
        <w:ind w:left="425" w:hanging="425"/>
        <w:rPr>
          <w:rFonts w:asciiTheme="minorHAnsi" w:hAnsiTheme="minorHAnsi" w:cstheme="minorHAnsi"/>
          <w:sz w:val="22"/>
          <w:szCs w:val="22"/>
          <w:lang w:val="fr-CH" w:eastAsia="en-US"/>
        </w:rPr>
      </w:pPr>
    </w:p>
    <w:p w14:paraId="4734032D" w14:textId="1A105855" w:rsidR="00F77BE9" w:rsidRPr="00742041" w:rsidRDefault="00FC1EDB" w:rsidP="00064B3C">
      <w:pPr>
        <w:pStyle w:val="NoSpacing"/>
        <w:ind w:left="426" w:hanging="426"/>
        <w:rPr>
          <w:bCs/>
          <w:lang w:val="fr-CH"/>
        </w:rPr>
      </w:pPr>
      <w:r w:rsidRPr="00742041">
        <w:rPr>
          <w:lang w:val="fr-CH"/>
        </w:rPr>
        <w:t>5.</w:t>
      </w:r>
      <w:r w:rsidRPr="00742041">
        <w:rPr>
          <w:lang w:val="fr-CH"/>
        </w:rPr>
        <w:tab/>
      </w:r>
      <w:r w:rsidR="00420108" w:rsidRPr="00742041">
        <w:rPr>
          <w:lang w:val="fr-CH"/>
        </w:rPr>
        <w:t>À sa quatorzième Session</w:t>
      </w:r>
      <w:r w:rsidR="004A70ED" w:rsidRPr="00742041">
        <w:rPr>
          <w:lang w:val="fr-CH"/>
        </w:rPr>
        <w:t xml:space="preserve"> (COP14)</w:t>
      </w:r>
      <w:r w:rsidR="00B407BB" w:rsidRPr="00742041">
        <w:rPr>
          <w:lang w:val="fr-CH"/>
        </w:rPr>
        <w:t xml:space="preserve">, </w:t>
      </w:r>
      <w:r w:rsidR="00420108" w:rsidRPr="00742041">
        <w:rPr>
          <w:lang w:val="fr-CH"/>
        </w:rPr>
        <w:t>la</w:t>
      </w:r>
      <w:r w:rsidR="00B407BB" w:rsidRPr="00742041">
        <w:rPr>
          <w:lang w:val="fr-CH"/>
        </w:rPr>
        <w:t xml:space="preserve"> Conf</w:t>
      </w:r>
      <w:r w:rsidR="00420108" w:rsidRPr="00742041">
        <w:rPr>
          <w:lang w:val="fr-CH"/>
        </w:rPr>
        <w:t>é</w:t>
      </w:r>
      <w:r w:rsidR="00B407BB" w:rsidRPr="00742041">
        <w:rPr>
          <w:lang w:val="fr-CH"/>
        </w:rPr>
        <w:t xml:space="preserve">rence </w:t>
      </w:r>
      <w:r w:rsidR="00420108" w:rsidRPr="00742041">
        <w:rPr>
          <w:lang w:val="fr-CH"/>
        </w:rPr>
        <w:t>des</w:t>
      </w:r>
      <w:r w:rsidR="00B407BB" w:rsidRPr="00742041">
        <w:rPr>
          <w:lang w:val="fr-CH"/>
        </w:rPr>
        <w:t xml:space="preserve"> Parties </w:t>
      </w:r>
      <w:r w:rsidR="00420108" w:rsidRPr="00742041">
        <w:rPr>
          <w:lang w:val="fr-CH"/>
        </w:rPr>
        <w:t xml:space="preserve">contractantes a </w:t>
      </w:r>
      <w:r w:rsidR="00B407BB" w:rsidRPr="00742041">
        <w:rPr>
          <w:lang w:val="fr-CH"/>
        </w:rPr>
        <w:t>adopt</w:t>
      </w:r>
      <w:r w:rsidR="00420108" w:rsidRPr="00742041">
        <w:rPr>
          <w:lang w:val="fr-CH"/>
        </w:rPr>
        <w:t>é la</w:t>
      </w:r>
      <w:r w:rsidR="00B407BB" w:rsidRPr="00742041">
        <w:rPr>
          <w:lang w:val="fr-CH"/>
        </w:rPr>
        <w:t xml:space="preserve"> </w:t>
      </w:r>
      <w:r w:rsidR="00F77BE9" w:rsidRPr="00742041">
        <w:rPr>
          <w:rFonts w:cstheme="minorHAnsi"/>
          <w:lang w:val="fr-CH"/>
        </w:rPr>
        <w:t>R</w:t>
      </w:r>
      <w:r w:rsidR="00420108" w:rsidRPr="00742041">
        <w:rPr>
          <w:rFonts w:cstheme="minorHAnsi"/>
          <w:lang w:val="fr-CH"/>
        </w:rPr>
        <w:t>é</w:t>
      </w:r>
      <w:r w:rsidR="00F77BE9" w:rsidRPr="00742041">
        <w:rPr>
          <w:rFonts w:cstheme="minorHAnsi"/>
          <w:lang w:val="fr-CH"/>
        </w:rPr>
        <w:t>solution XIV.6</w:t>
      </w:r>
      <w:r w:rsidR="00420108" w:rsidRPr="00742041">
        <w:rPr>
          <w:rFonts w:cstheme="minorHAnsi"/>
          <w:lang w:val="fr-CH"/>
        </w:rPr>
        <w:t>,</w:t>
      </w:r>
      <w:r w:rsidR="00F77BE9" w:rsidRPr="00742041">
        <w:rPr>
          <w:rFonts w:cstheme="minorHAnsi"/>
          <w:lang w:val="fr-CH"/>
        </w:rPr>
        <w:t xml:space="preserve"> </w:t>
      </w:r>
      <w:r w:rsidR="004B4C99" w:rsidRPr="00742041">
        <w:rPr>
          <w:rFonts w:cstheme="minorHAnsi"/>
          <w:i/>
          <w:lang w:val="fr-CH"/>
        </w:rPr>
        <w:t>Renforcer la visibilité de la Convention et les synergies avec d’autres accords multilatéraux sur l’environnement et institutions internationales</w:t>
      </w:r>
      <w:r w:rsidR="00F77BE9" w:rsidRPr="00742041">
        <w:rPr>
          <w:rStyle w:val="FootnoteReference"/>
          <w:rFonts w:cstheme="minorHAnsi"/>
          <w:bCs/>
          <w:lang w:val="fr-CH"/>
        </w:rPr>
        <w:footnoteReference w:id="4"/>
      </w:r>
      <w:r w:rsidR="00B407BB" w:rsidRPr="00742041">
        <w:rPr>
          <w:bCs/>
          <w:lang w:val="fr-CH"/>
        </w:rPr>
        <w:t xml:space="preserve"> </w:t>
      </w:r>
      <w:r w:rsidR="00420108" w:rsidRPr="00742041">
        <w:rPr>
          <w:bCs/>
          <w:lang w:val="fr-CH"/>
        </w:rPr>
        <w:t xml:space="preserve">qui, au </w:t>
      </w:r>
      <w:r w:rsidR="00F77BE9" w:rsidRPr="00742041">
        <w:rPr>
          <w:bCs/>
          <w:lang w:val="fr-CH"/>
        </w:rPr>
        <w:t>paragraph</w:t>
      </w:r>
      <w:r w:rsidR="00420108" w:rsidRPr="00742041">
        <w:rPr>
          <w:bCs/>
          <w:lang w:val="fr-CH"/>
        </w:rPr>
        <w:t>e</w:t>
      </w:r>
      <w:r w:rsidR="00F77BE9" w:rsidRPr="00742041">
        <w:rPr>
          <w:bCs/>
          <w:lang w:val="fr-CH"/>
        </w:rPr>
        <w:t xml:space="preserve"> 22</w:t>
      </w:r>
      <w:r w:rsidR="00420108" w:rsidRPr="00742041">
        <w:rPr>
          <w:bCs/>
          <w:lang w:val="fr-CH"/>
        </w:rPr>
        <w:t xml:space="preserve"> </w:t>
      </w:r>
      <w:r w:rsidR="00F77BE9" w:rsidRPr="00742041">
        <w:rPr>
          <w:bCs/>
          <w:lang w:val="fr-CH"/>
        </w:rPr>
        <w:t>:</w:t>
      </w:r>
    </w:p>
    <w:p w14:paraId="36B89218" w14:textId="77777777" w:rsidR="00F77BE9" w:rsidRPr="00742041" w:rsidRDefault="00F77BE9" w:rsidP="00064B3C">
      <w:pPr>
        <w:pStyle w:val="NoSpacing"/>
        <w:ind w:left="851"/>
        <w:rPr>
          <w:bCs/>
          <w:lang w:val="fr-CH"/>
        </w:rPr>
      </w:pPr>
    </w:p>
    <w:p w14:paraId="7F8AD69C" w14:textId="1AEB5C32" w:rsidR="00B407BB" w:rsidRPr="00742041" w:rsidRDefault="004B4C99" w:rsidP="00EC0F71">
      <w:pPr>
        <w:pStyle w:val="NoSpacing"/>
        <w:ind w:left="851"/>
        <w:rPr>
          <w:iCs/>
          <w:lang w:val="fr-CH"/>
        </w:rPr>
      </w:pPr>
      <w:r w:rsidRPr="00742041">
        <w:rPr>
          <w:bCs/>
          <w:lang w:val="fr-CH"/>
        </w:rPr>
        <w:t>« D</w:t>
      </w:r>
      <w:r w:rsidR="005B2D2B">
        <w:rPr>
          <w:bCs/>
          <w:lang w:val="fr-CH"/>
        </w:rPr>
        <w:t>onne</w:t>
      </w:r>
      <w:r w:rsidRPr="00742041">
        <w:rPr>
          <w:bCs/>
          <w:lang w:val="fr-CH"/>
        </w:rPr>
        <w:t xml:space="preserve"> </w:t>
      </w:r>
      <w:r w:rsidR="005B2D2B" w:rsidRPr="00742041">
        <w:rPr>
          <w:bCs/>
          <w:lang w:val="fr-CH"/>
        </w:rPr>
        <w:t xml:space="preserve">instruction </w:t>
      </w:r>
      <w:r w:rsidRPr="00742041">
        <w:rPr>
          <w:bCs/>
          <w:lang w:val="fr-CH"/>
        </w:rPr>
        <w:t>au Secrétariat, en consultation avec les Parties contractantes intéressées, de préparer un rapport sur le renforcement institutionnel, contenant des recommandations relatives aux besoins du Secrétariat de renforcer la solidité de sa structure organisationnelle pour soutenir l’application de la Convention, y</w:t>
      </w:r>
      <w:r w:rsidR="00756E94">
        <w:rPr>
          <w:bCs/>
          <w:lang w:val="fr-CH"/>
        </w:rPr>
        <w:t> </w:t>
      </w:r>
      <w:r w:rsidRPr="00742041">
        <w:rPr>
          <w:bCs/>
          <w:lang w:val="fr-CH"/>
        </w:rPr>
        <w:t xml:space="preserve">compris mais sans s’y limiter, en ce qui concerne les dispositions administratives, la gouvernance, le leadership, l’indépendance des ressources humaines, le haut niveau de l’engagement politique et les objectifs en matière de visibilité de la Convention, et </w:t>
      </w:r>
      <w:r w:rsidR="005B2D2B" w:rsidRPr="00742041">
        <w:rPr>
          <w:bCs/>
          <w:lang w:val="fr-CH"/>
        </w:rPr>
        <w:t xml:space="preserve">charge </w:t>
      </w:r>
      <w:r w:rsidRPr="00742041">
        <w:rPr>
          <w:bCs/>
          <w:lang w:val="fr-CH"/>
        </w:rPr>
        <w:t>le Secrétariat de présenter le rapport, assorti de recommandations à la 62</w:t>
      </w:r>
      <w:r w:rsidRPr="00742041">
        <w:rPr>
          <w:bCs/>
          <w:vertAlign w:val="superscript"/>
          <w:lang w:val="fr-CH"/>
        </w:rPr>
        <w:t>e</w:t>
      </w:r>
      <w:r w:rsidRPr="00742041">
        <w:rPr>
          <w:bCs/>
          <w:lang w:val="fr-CH"/>
        </w:rPr>
        <w:t xml:space="preserve"> Réunion du Comité permanent, pour discussion ainsi qu’un projet de résolution subséquent à la 63</w:t>
      </w:r>
      <w:r w:rsidRPr="00742041">
        <w:rPr>
          <w:bCs/>
          <w:vertAlign w:val="superscript"/>
          <w:lang w:val="fr-CH"/>
        </w:rPr>
        <w:t>e</w:t>
      </w:r>
      <w:r w:rsidR="00046FAE">
        <w:rPr>
          <w:bCs/>
          <w:lang w:val="fr-CH"/>
        </w:rPr>
        <w:t> </w:t>
      </w:r>
      <w:r w:rsidRPr="00742041">
        <w:rPr>
          <w:bCs/>
          <w:lang w:val="fr-CH"/>
        </w:rPr>
        <w:t>Réunion, pour examen. »</w:t>
      </w:r>
    </w:p>
    <w:p w14:paraId="0C582BFD" w14:textId="77777777" w:rsidR="00B44446" w:rsidRPr="00742041" w:rsidRDefault="00B44446" w:rsidP="00FC1EDB">
      <w:pPr>
        <w:spacing w:after="0" w:line="240" w:lineRule="auto"/>
        <w:rPr>
          <w:rFonts w:cstheme="minorHAnsi"/>
          <w:i/>
          <w:lang w:val="fr-CH"/>
        </w:rPr>
      </w:pPr>
    </w:p>
    <w:p w14:paraId="2D9C5291" w14:textId="75B766FD" w:rsidR="00853E57" w:rsidRPr="00742041" w:rsidRDefault="009D07FE" w:rsidP="005B2D2B">
      <w:pPr>
        <w:spacing w:after="0" w:line="240" w:lineRule="auto"/>
        <w:ind w:left="-284"/>
        <w:rPr>
          <w:b/>
          <w:lang w:val="fr-CH"/>
        </w:rPr>
      </w:pPr>
      <w:r w:rsidRPr="00742041">
        <w:rPr>
          <w:b/>
          <w:lang w:val="fr-CH"/>
        </w:rPr>
        <w:t xml:space="preserve">Consultation </w:t>
      </w:r>
      <w:r w:rsidR="00853E57">
        <w:rPr>
          <w:b/>
          <w:lang w:val="fr-CH"/>
        </w:rPr>
        <w:t xml:space="preserve">avec les Parties intéressées pour la préparation du rapport </w:t>
      </w:r>
      <w:r w:rsidR="00877202">
        <w:rPr>
          <w:b/>
          <w:lang w:val="fr-CH"/>
        </w:rPr>
        <w:t xml:space="preserve">du Secrétariat </w:t>
      </w:r>
      <w:r w:rsidR="00853E57">
        <w:rPr>
          <w:b/>
          <w:lang w:val="fr-CH"/>
        </w:rPr>
        <w:t xml:space="preserve">sur le </w:t>
      </w:r>
      <w:r w:rsidR="00853E57">
        <w:rPr>
          <w:b/>
          <w:lang w:val="fr-CH"/>
        </w:rPr>
        <w:br/>
        <w:t xml:space="preserve">renforcement institutionnel </w:t>
      </w:r>
    </w:p>
    <w:p w14:paraId="7C5C7D3D" w14:textId="77777777" w:rsidR="004B4645" w:rsidRPr="00742041" w:rsidRDefault="004B4645" w:rsidP="00FC1EDB">
      <w:pPr>
        <w:spacing w:after="0" w:line="240" w:lineRule="auto"/>
        <w:rPr>
          <w:rFonts w:cstheme="minorHAnsi"/>
          <w:i/>
          <w:lang w:val="fr-CH"/>
        </w:rPr>
      </w:pPr>
    </w:p>
    <w:p w14:paraId="033D7D8E" w14:textId="716CA019" w:rsidR="000F6CD8" w:rsidRPr="00853E57" w:rsidRDefault="00FC1EDB" w:rsidP="00EC0F71">
      <w:pPr>
        <w:spacing w:after="0" w:line="240" w:lineRule="auto"/>
        <w:ind w:left="426" w:hanging="426"/>
        <w:rPr>
          <w:lang w:val="fr-CH"/>
        </w:rPr>
      </w:pPr>
      <w:r w:rsidRPr="00853E57">
        <w:rPr>
          <w:lang w:val="fr-CH"/>
        </w:rPr>
        <w:t>6.</w:t>
      </w:r>
      <w:r w:rsidRPr="00853E57">
        <w:rPr>
          <w:lang w:val="fr-CH"/>
        </w:rPr>
        <w:tab/>
      </w:r>
      <w:r w:rsidR="00853E57">
        <w:rPr>
          <w:lang w:val="fr-CH"/>
        </w:rPr>
        <w:t>En réponse au paragraphe 22 de la Résolution</w:t>
      </w:r>
      <w:r w:rsidR="00C0299A" w:rsidRPr="00853E57">
        <w:rPr>
          <w:lang w:val="fr-CH"/>
        </w:rPr>
        <w:t xml:space="preserve"> XIV.6</w:t>
      </w:r>
      <w:r w:rsidR="00F315AD" w:rsidRPr="00853E57">
        <w:rPr>
          <w:lang w:val="fr-CH"/>
        </w:rPr>
        <w:t>, 25</w:t>
      </w:r>
      <w:r w:rsidR="00853E57">
        <w:rPr>
          <w:lang w:val="fr-CH"/>
        </w:rPr>
        <w:t xml:space="preserve"> Parties contractantes des six régions de la Convention ont exprimé leur intérêt à participer au processus de consultation. Ces Parties sont énumérées à l’Annexe 1 du présent document. </w:t>
      </w:r>
    </w:p>
    <w:p w14:paraId="690675BE" w14:textId="77777777" w:rsidR="000F6CD8" w:rsidRPr="00853E57" w:rsidRDefault="000F6CD8" w:rsidP="00EC0F71">
      <w:pPr>
        <w:spacing w:after="0" w:line="240" w:lineRule="auto"/>
        <w:ind w:left="426" w:hanging="426"/>
        <w:rPr>
          <w:lang w:val="fr-CH"/>
        </w:rPr>
      </w:pPr>
    </w:p>
    <w:p w14:paraId="37DFECF7" w14:textId="0D2D037A" w:rsidR="00B44446" w:rsidRPr="00853E57" w:rsidRDefault="00FC1EDB" w:rsidP="00EC0F71">
      <w:pPr>
        <w:spacing w:after="0" w:line="240" w:lineRule="auto"/>
        <w:ind w:left="426" w:hanging="426"/>
        <w:rPr>
          <w:lang w:val="fr-CH"/>
        </w:rPr>
      </w:pPr>
      <w:r w:rsidRPr="00853E57">
        <w:rPr>
          <w:lang w:val="fr-CH"/>
        </w:rPr>
        <w:t>7.</w:t>
      </w:r>
      <w:r w:rsidRPr="00853E57">
        <w:rPr>
          <w:lang w:val="fr-CH"/>
        </w:rPr>
        <w:tab/>
      </w:r>
      <w:r w:rsidR="006708E6">
        <w:rPr>
          <w:lang w:val="fr-CH"/>
        </w:rPr>
        <w:t xml:space="preserve">Le Secrétariat a organisé deux réunions de Parties contractantes intéressées le 24 avril et le 13 juillet 2023 pour discuter de la préparation du rapport </w:t>
      </w:r>
      <w:r w:rsidR="00E77111">
        <w:rPr>
          <w:lang w:val="fr-CH"/>
        </w:rPr>
        <w:t>d</w:t>
      </w:r>
      <w:r w:rsidR="006708E6">
        <w:rPr>
          <w:lang w:val="fr-CH"/>
        </w:rPr>
        <w:t>u Secrétariat pour la 62</w:t>
      </w:r>
      <w:r w:rsidR="006708E6" w:rsidRPr="006708E6">
        <w:rPr>
          <w:vertAlign w:val="superscript"/>
          <w:lang w:val="fr-CH"/>
        </w:rPr>
        <w:t>e</w:t>
      </w:r>
      <w:r w:rsidR="006708E6">
        <w:rPr>
          <w:lang w:val="fr-CH"/>
        </w:rPr>
        <w:t> Réunion du Comité permanent. Durant la première réunion, le Secrétariat a été chargé de préparer un tableau résumé déterminant les possibilités de renforcer encore le Secrétariat, qui est à la base de la préparation du présent rapport.</w:t>
      </w:r>
    </w:p>
    <w:p w14:paraId="2492A2A3" w14:textId="77777777" w:rsidR="00B44446" w:rsidRPr="00853E57" w:rsidRDefault="00B44446" w:rsidP="00EC0F71">
      <w:pPr>
        <w:spacing w:after="0" w:line="240" w:lineRule="auto"/>
        <w:ind w:left="426" w:hanging="426"/>
        <w:rPr>
          <w:rFonts w:cstheme="minorHAnsi"/>
          <w:i/>
          <w:lang w:val="fr-CH"/>
        </w:rPr>
      </w:pPr>
    </w:p>
    <w:p w14:paraId="28761810" w14:textId="5D933E52" w:rsidR="00005D82" w:rsidRPr="00853E57" w:rsidRDefault="00FC1EDB" w:rsidP="00EC0F71">
      <w:pPr>
        <w:spacing w:after="0" w:line="240" w:lineRule="auto"/>
        <w:ind w:left="426" w:hanging="426"/>
        <w:rPr>
          <w:rFonts w:cstheme="minorHAnsi"/>
          <w:lang w:val="fr-CH"/>
        </w:rPr>
      </w:pPr>
      <w:r w:rsidRPr="00853E57">
        <w:rPr>
          <w:rFonts w:cstheme="minorHAnsi"/>
          <w:lang w:val="fr-CH"/>
        </w:rPr>
        <w:t>8.</w:t>
      </w:r>
      <w:r w:rsidRPr="00853E57">
        <w:rPr>
          <w:rFonts w:cstheme="minorHAnsi"/>
          <w:lang w:val="fr-CH"/>
        </w:rPr>
        <w:tab/>
      </w:r>
      <w:r w:rsidR="006708E6">
        <w:rPr>
          <w:rFonts w:cstheme="minorHAnsi"/>
          <w:lang w:val="fr-CH"/>
        </w:rPr>
        <w:t xml:space="preserve">Conformément à ce qui précède, le Secrétariat a préparé un tableau décrivant les possibilités dans chaque domaine mentionné au paragraphe 22 de la Résolution </w:t>
      </w:r>
      <w:r w:rsidR="00B407BB" w:rsidRPr="00853E57">
        <w:rPr>
          <w:rFonts w:cstheme="minorHAnsi"/>
          <w:lang w:val="fr-CH"/>
        </w:rPr>
        <w:t>XIV.6</w:t>
      </w:r>
      <w:r w:rsidR="00B407BB" w:rsidRPr="00853E57">
        <w:rPr>
          <w:lang w:val="fr-CH"/>
        </w:rPr>
        <w:t>.</w:t>
      </w:r>
      <w:r w:rsidR="00B407BB" w:rsidRPr="00853E57">
        <w:rPr>
          <w:rFonts w:cstheme="minorHAnsi"/>
          <w:lang w:val="fr-CH"/>
        </w:rPr>
        <w:t xml:space="preserve"> </w:t>
      </w:r>
    </w:p>
    <w:p w14:paraId="5585F747" w14:textId="77777777" w:rsidR="00D324EE" w:rsidRPr="00853E57" w:rsidRDefault="00D324EE" w:rsidP="00EC0F71">
      <w:pPr>
        <w:pStyle w:val="ListParagraph"/>
        <w:spacing w:after="0" w:line="240" w:lineRule="auto"/>
        <w:ind w:left="426" w:hanging="426"/>
        <w:rPr>
          <w:rFonts w:cstheme="minorHAnsi"/>
          <w:lang w:val="fr-CH"/>
        </w:rPr>
      </w:pPr>
    </w:p>
    <w:p w14:paraId="0F6C33FD" w14:textId="6AABB067" w:rsidR="000B6A49" w:rsidRPr="00853E57" w:rsidRDefault="00FC1EDB" w:rsidP="00EC0F71">
      <w:pPr>
        <w:spacing w:after="0" w:line="240" w:lineRule="auto"/>
        <w:ind w:left="426" w:hanging="426"/>
        <w:rPr>
          <w:rFonts w:cstheme="minorHAnsi"/>
          <w:lang w:val="fr-CH"/>
        </w:rPr>
      </w:pPr>
      <w:r w:rsidRPr="00853E57">
        <w:rPr>
          <w:rFonts w:cstheme="minorHAnsi"/>
          <w:lang w:val="fr-CH"/>
        </w:rPr>
        <w:t>9.</w:t>
      </w:r>
      <w:r w:rsidRPr="00853E57">
        <w:rPr>
          <w:rFonts w:cstheme="minorHAnsi"/>
          <w:lang w:val="fr-CH"/>
        </w:rPr>
        <w:tab/>
      </w:r>
      <w:r w:rsidR="00121ECD">
        <w:rPr>
          <w:rFonts w:cstheme="minorHAnsi"/>
          <w:lang w:val="fr-CH"/>
        </w:rPr>
        <w:t xml:space="preserve">À la réunion du 13 juillet, les Parties contractantes intéressées ont convenu de prioriser les possibilités de renforcement du Secrétariat dans le tableau résumé, attribuant les priorités comme suit : </w:t>
      </w:r>
    </w:p>
    <w:p w14:paraId="4513388B" w14:textId="06BA1605" w:rsidR="000B6A49" w:rsidRPr="00853E57" w:rsidRDefault="00121ECD" w:rsidP="00EC0F71">
      <w:pPr>
        <w:pStyle w:val="Default"/>
        <w:numPr>
          <w:ilvl w:val="0"/>
          <w:numId w:val="21"/>
        </w:numPr>
        <w:ind w:left="851" w:hanging="425"/>
        <w:rPr>
          <w:rFonts w:asciiTheme="minorHAnsi" w:hAnsiTheme="minorHAnsi" w:cstheme="minorHAnsi"/>
          <w:sz w:val="22"/>
          <w:szCs w:val="22"/>
          <w:lang w:val="fr-CH"/>
        </w:rPr>
      </w:pPr>
      <w:r>
        <w:rPr>
          <w:rFonts w:asciiTheme="minorHAnsi" w:hAnsiTheme="minorHAnsi" w:cstheme="minorHAnsi"/>
          <w:i/>
          <w:iCs/>
          <w:sz w:val="22"/>
          <w:szCs w:val="22"/>
          <w:lang w:val="fr-CH"/>
        </w:rPr>
        <w:t>Dispositions administratives </w:t>
      </w:r>
      <w:r w:rsidR="005355B9" w:rsidRPr="00853E57">
        <w:rPr>
          <w:rFonts w:asciiTheme="minorHAnsi" w:hAnsiTheme="minorHAnsi" w:cstheme="minorHAnsi"/>
          <w:iCs/>
          <w:sz w:val="22"/>
          <w:szCs w:val="22"/>
          <w:lang w:val="fr-CH"/>
        </w:rPr>
        <w:t>:</w:t>
      </w:r>
      <w:r w:rsidR="000B6A49" w:rsidRPr="00853E57">
        <w:rPr>
          <w:rFonts w:asciiTheme="minorHAnsi" w:hAnsiTheme="minorHAnsi" w:cstheme="minorHAnsi"/>
          <w:sz w:val="22"/>
          <w:szCs w:val="22"/>
          <w:lang w:val="fr-CH"/>
        </w:rPr>
        <w:t xml:space="preserve"> 5, </w:t>
      </w:r>
      <w:r>
        <w:rPr>
          <w:rFonts w:asciiTheme="minorHAnsi" w:hAnsiTheme="minorHAnsi" w:cstheme="minorHAnsi"/>
          <w:sz w:val="22"/>
          <w:szCs w:val="22"/>
          <w:lang w:val="fr-CH"/>
        </w:rPr>
        <w:t>priorité élevée</w:t>
      </w:r>
    </w:p>
    <w:p w14:paraId="0D6CF8DA" w14:textId="71C36D5D" w:rsidR="000B6A49" w:rsidRPr="00853E57" w:rsidRDefault="000B6A49" w:rsidP="00EC0F71">
      <w:pPr>
        <w:pStyle w:val="Default"/>
        <w:numPr>
          <w:ilvl w:val="0"/>
          <w:numId w:val="21"/>
        </w:numPr>
        <w:ind w:left="851" w:hanging="425"/>
        <w:rPr>
          <w:rFonts w:asciiTheme="minorHAnsi" w:hAnsiTheme="minorHAnsi" w:cstheme="minorHAnsi"/>
          <w:sz w:val="22"/>
          <w:szCs w:val="22"/>
          <w:lang w:val="fr-CH"/>
        </w:rPr>
      </w:pPr>
      <w:r w:rsidRPr="00853E57">
        <w:rPr>
          <w:rFonts w:asciiTheme="minorHAnsi" w:hAnsiTheme="minorHAnsi" w:cstheme="minorHAnsi"/>
          <w:i/>
          <w:iCs/>
          <w:sz w:val="22"/>
          <w:szCs w:val="22"/>
          <w:lang w:val="fr-CH"/>
        </w:rPr>
        <w:t>Go</w:t>
      </w:r>
      <w:r w:rsidR="00121ECD">
        <w:rPr>
          <w:rFonts w:asciiTheme="minorHAnsi" w:hAnsiTheme="minorHAnsi" w:cstheme="minorHAnsi"/>
          <w:i/>
          <w:iCs/>
          <w:sz w:val="22"/>
          <w:szCs w:val="22"/>
          <w:lang w:val="fr-CH"/>
        </w:rPr>
        <w:t>u</w:t>
      </w:r>
      <w:r w:rsidRPr="00853E57">
        <w:rPr>
          <w:rFonts w:asciiTheme="minorHAnsi" w:hAnsiTheme="minorHAnsi" w:cstheme="minorHAnsi"/>
          <w:i/>
          <w:iCs/>
          <w:sz w:val="22"/>
          <w:szCs w:val="22"/>
          <w:lang w:val="fr-CH"/>
        </w:rPr>
        <w:t>vernance</w:t>
      </w:r>
      <w:r w:rsidR="00121ECD">
        <w:rPr>
          <w:rFonts w:asciiTheme="minorHAnsi" w:hAnsiTheme="minorHAnsi" w:cstheme="minorHAnsi"/>
          <w:i/>
          <w:iCs/>
          <w:sz w:val="22"/>
          <w:szCs w:val="22"/>
          <w:lang w:val="fr-CH"/>
        </w:rPr>
        <w:t> </w:t>
      </w:r>
      <w:r w:rsidR="005355B9" w:rsidRPr="00853E57">
        <w:rPr>
          <w:rFonts w:asciiTheme="minorHAnsi" w:hAnsiTheme="minorHAnsi" w:cstheme="minorHAnsi"/>
          <w:sz w:val="22"/>
          <w:szCs w:val="22"/>
          <w:lang w:val="fr-CH"/>
        </w:rPr>
        <w:t xml:space="preserve">: </w:t>
      </w:r>
      <w:r w:rsidRPr="00853E57">
        <w:rPr>
          <w:rFonts w:asciiTheme="minorHAnsi" w:hAnsiTheme="minorHAnsi" w:cstheme="minorHAnsi"/>
          <w:sz w:val="22"/>
          <w:szCs w:val="22"/>
          <w:lang w:val="fr-CH"/>
        </w:rPr>
        <w:t xml:space="preserve">1, </w:t>
      </w:r>
      <w:r w:rsidR="00121ECD">
        <w:rPr>
          <w:rFonts w:asciiTheme="minorHAnsi" w:hAnsiTheme="minorHAnsi" w:cstheme="minorHAnsi"/>
          <w:sz w:val="22"/>
          <w:szCs w:val="22"/>
          <w:lang w:val="fr-CH"/>
        </w:rPr>
        <w:t>faible priorité</w:t>
      </w:r>
      <w:r w:rsidRPr="00853E57">
        <w:rPr>
          <w:rFonts w:asciiTheme="minorHAnsi" w:hAnsiTheme="minorHAnsi" w:cstheme="minorHAnsi"/>
          <w:sz w:val="22"/>
          <w:szCs w:val="22"/>
          <w:lang w:val="fr-CH"/>
        </w:rPr>
        <w:t xml:space="preserve"> </w:t>
      </w:r>
    </w:p>
    <w:p w14:paraId="28937A32" w14:textId="31439C30" w:rsidR="000B6A49" w:rsidRPr="00853E57" w:rsidRDefault="000B6A49" w:rsidP="00EC0F71">
      <w:pPr>
        <w:pStyle w:val="Default"/>
        <w:numPr>
          <w:ilvl w:val="0"/>
          <w:numId w:val="21"/>
        </w:numPr>
        <w:ind w:left="851" w:hanging="425"/>
        <w:rPr>
          <w:rFonts w:asciiTheme="minorHAnsi" w:hAnsiTheme="minorHAnsi" w:cstheme="minorHAnsi"/>
          <w:sz w:val="22"/>
          <w:szCs w:val="22"/>
          <w:lang w:val="fr-CH"/>
        </w:rPr>
      </w:pPr>
      <w:r w:rsidRPr="00853E57">
        <w:rPr>
          <w:rFonts w:asciiTheme="minorHAnsi" w:hAnsiTheme="minorHAnsi" w:cstheme="minorHAnsi"/>
          <w:i/>
          <w:iCs/>
          <w:sz w:val="22"/>
          <w:szCs w:val="22"/>
          <w:lang w:val="fr-CH"/>
        </w:rPr>
        <w:t>Leadership</w:t>
      </w:r>
      <w:r w:rsidR="00121ECD">
        <w:rPr>
          <w:rFonts w:asciiTheme="minorHAnsi" w:hAnsiTheme="minorHAnsi" w:cstheme="minorHAnsi"/>
          <w:i/>
          <w:iCs/>
          <w:sz w:val="22"/>
          <w:szCs w:val="22"/>
          <w:lang w:val="fr-CH"/>
        </w:rPr>
        <w:t xml:space="preserve"> </w:t>
      </w:r>
      <w:r w:rsidR="005355B9" w:rsidRPr="00853E57">
        <w:rPr>
          <w:rFonts w:asciiTheme="minorHAnsi" w:hAnsiTheme="minorHAnsi" w:cstheme="minorHAnsi"/>
          <w:iCs/>
          <w:sz w:val="22"/>
          <w:szCs w:val="22"/>
          <w:lang w:val="fr-CH"/>
        </w:rPr>
        <w:t xml:space="preserve">: </w:t>
      </w:r>
      <w:r w:rsidRPr="00853E57">
        <w:rPr>
          <w:rFonts w:asciiTheme="minorHAnsi" w:hAnsiTheme="minorHAnsi" w:cstheme="minorHAnsi"/>
          <w:sz w:val="22"/>
          <w:szCs w:val="22"/>
          <w:lang w:val="fr-CH"/>
        </w:rPr>
        <w:t xml:space="preserve">3, </w:t>
      </w:r>
      <w:r w:rsidR="00121ECD">
        <w:rPr>
          <w:rFonts w:asciiTheme="minorHAnsi" w:hAnsiTheme="minorHAnsi" w:cstheme="minorHAnsi"/>
          <w:sz w:val="22"/>
          <w:szCs w:val="22"/>
          <w:lang w:val="fr-CH"/>
        </w:rPr>
        <w:t>priorité moyenne</w:t>
      </w:r>
      <w:r w:rsidRPr="00853E57">
        <w:rPr>
          <w:rFonts w:asciiTheme="minorHAnsi" w:hAnsiTheme="minorHAnsi" w:cstheme="minorHAnsi"/>
          <w:i/>
          <w:iCs/>
          <w:sz w:val="22"/>
          <w:szCs w:val="22"/>
          <w:lang w:val="fr-CH"/>
        </w:rPr>
        <w:t xml:space="preserve">  </w:t>
      </w:r>
    </w:p>
    <w:p w14:paraId="3CC39014" w14:textId="08496AC5" w:rsidR="000B6A49" w:rsidRPr="00853E57" w:rsidRDefault="00121ECD" w:rsidP="00EC0F71">
      <w:pPr>
        <w:pStyle w:val="Default"/>
        <w:numPr>
          <w:ilvl w:val="0"/>
          <w:numId w:val="21"/>
        </w:numPr>
        <w:ind w:left="851" w:hanging="425"/>
        <w:rPr>
          <w:rFonts w:asciiTheme="minorHAnsi" w:hAnsiTheme="minorHAnsi" w:cstheme="minorHAnsi"/>
          <w:sz w:val="22"/>
          <w:szCs w:val="22"/>
          <w:lang w:val="fr-CH"/>
        </w:rPr>
      </w:pPr>
      <w:r>
        <w:rPr>
          <w:rFonts w:asciiTheme="minorHAnsi" w:hAnsiTheme="minorHAnsi" w:cstheme="minorHAnsi"/>
          <w:i/>
          <w:iCs/>
          <w:sz w:val="22"/>
          <w:szCs w:val="22"/>
          <w:lang w:val="fr-CH"/>
        </w:rPr>
        <w:t>Indépendance des ressources humaines </w:t>
      </w:r>
      <w:r w:rsidR="005355B9" w:rsidRPr="00853E57">
        <w:rPr>
          <w:rFonts w:asciiTheme="minorHAnsi" w:hAnsiTheme="minorHAnsi" w:cstheme="minorHAnsi"/>
          <w:iCs/>
          <w:sz w:val="22"/>
          <w:szCs w:val="22"/>
          <w:lang w:val="fr-CH"/>
        </w:rPr>
        <w:t xml:space="preserve">: </w:t>
      </w:r>
      <w:r w:rsidR="000B6A49" w:rsidRPr="00853E57">
        <w:rPr>
          <w:rFonts w:asciiTheme="minorHAnsi" w:hAnsiTheme="minorHAnsi" w:cstheme="minorHAnsi"/>
          <w:sz w:val="22"/>
          <w:szCs w:val="22"/>
          <w:lang w:val="fr-CH"/>
        </w:rPr>
        <w:t xml:space="preserve">3, </w:t>
      </w:r>
      <w:r>
        <w:rPr>
          <w:rFonts w:asciiTheme="minorHAnsi" w:hAnsiTheme="minorHAnsi" w:cstheme="minorHAnsi"/>
          <w:sz w:val="22"/>
          <w:szCs w:val="22"/>
          <w:lang w:val="fr-CH"/>
        </w:rPr>
        <w:t>priorité moyenne</w:t>
      </w:r>
      <w:r w:rsidR="000B6A49" w:rsidRPr="00853E57">
        <w:rPr>
          <w:rFonts w:asciiTheme="minorHAnsi" w:hAnsiTheme="minorHAnsi" w:cstheme="minorHAnsi"/>
          <w:sz w:val="22"/>
          <w:szCs w:val="22"/>
          <w:lang w:val="fr-CH"/>
        </w:rPr>
        <w:t xml:space="preserve"> </w:t>
      </w:r>
    </w:p>
    <w:p w14:paraId="357B26C8" w14:textId="1DA7F181" w:rsidR="000B6A49" w:rsidRPr="00853E57" w:rsidRDefault="006F574D" w:rsidP="00EC0F71">
      <w:pPr>
        <w:pStyle w:val="Default"/>
        <w:numPr>
          <w:ilvl w:val="0"/>
          <w:numId w:val="21"/>
        </w:numPr>
        <w:ind w:left="851" w:hanging="425"/>
        <w:rPr>
          <w:rFonts w:asciiTheme="minorHAnsi" w:hAnsiTheme="minorHAnsi" w:cstheme="minorHAnsi"/>
          <w:sz w:val="22"/>
          <w:szCs w:val="22"/>
          <w:lang w:val="fr-CH"/>
        </w:rPr>
      </w:pPr>
      <w:r>
        <w:rPr>
          <w:rFonts w:asciiTheme="minorHAnsi" w:hAnsiTheme="minorHAnsi" w:cstheme="minorHAnsi"/>
          <w:i/>
          <w:iCs/>
          <w:sz w:val="22"/>
          <w:szCs w:val="22"/>
          <w:lang w:val="fr-CH"/>
        </w:rPr>
        <w:t>Engagement politique de haut niveau et objectifs de visibilité de la Convention </w:t>
      </w:r>
      <w:r w:rsidR="005355B9" w:rsidRPr="00853E57">
        <w:rPr>
          <w:rFonts w:asciiTheme="minorHAnsi" w:hAnsiTheme="minorHAnsi" w:cstheme="minorHAnsi"/>
          <w:iCs/>
          <w:sz w:val="22"/>
          <w:szCs w:val="22"/>
          <w:lang w:val="fr-CH"/>
        </w:rPr>
        <w:t>:</w:t>
      </w:r>
      <w:r w:rsidR="000B6A49" w:rsidRPr="00853E57">
        <w:rPr>
          <w:rFonts w:asciiTheme="minorHAnsi" w:hAnsiTheme="minorHAnsi" w:cstheme="minorHAnsi"/>
          <w:i/>
          <w:iCs/>
          <w:sz w:val="22"/>
          <w:szCs w:val="22"/>
          <w:lang w:val="fr-CH"/>
        </w:rPr>
        <w:t xml:space="preserve"> </w:t>
      </w:r>
      <w:r w:rsidR="000B6A49" w:rsidRPr="00853E57">
        <w:rPr>
          <w:rFonts w:asciiTheme="minorHAnsi" w:hAnsiTheme="minorHAnsi" w:cstheme="minorHAnsi"/>
          <w:sz w:val="22"/>
          <w:szCs w:val="22"/>
          <w:lang w:val="fr-CH"/>
        </w:rPr>
        <w:t xml:space="preserve">5, </w:t>
      </w:r>
      <w:r>
        <w:rPr>
          <w:rFonts w:asciiTheme="minorHAnsi" w:hAnsiTheme="minorHAnsi" w:cstheme="minorHAnsi"/>
          <w:sz w:val="22"/>
          <w:szCs w:val="22"/>
          <w:lang w:val="fr-CH"/>
        </w:rPr>
        <w:t>priorité élevée</w:t>
      </w:r>
    </w:p>
    <w:p w14:paraId="508BA67D" w14:textId="77777777" w:rsidR="004F30C2" w:rsidRPr="00853E57" w:rsidRDefault="004F30C2" w:rsidP="00FC1EDB">
      <w:pPr>
        <w:tabs>
          <w:tab w:val="num" w:pos="720"/>
        </w:tabs>
        <w:spacing w:after="0" w:line="240" w:lineRule="auto"/>
        <w:rPr>
          <w:lang w:val="fr-CH"/>
        </w:rPr>
      </w:pPr>
    </w:p>
    <w:p w14:paraId="187EEF77" w14:textId="0953ACA8" w:rsidR="00EC5F3C" w:rsidRPr="00853E57" w:rsidRDefault="006F574D" w:rsidP="00EC0F71">
      <w:pPr>
        <w:spacing w:after="0" w:line="240" w:lineRule="auto"/>
        <w:ind w:left="426"/>
        <w:rPr>
          <w:lang w:val="fr-CH"/>
        </w:rPr>
      </w:pPr>
      <w:r>
        <w:rPr>
          <w:lang w:val="fr-CH"/>
        </w:rPr>
        <w:t xml:space="preserve">Les questions les plus prioritaires sont les éléments que les Parties contractantes intéressées considèrent comme étant de grande importance. </w:t>
      </w:r>
    </w:p>
    <w:p w14:paraId="58B56AD7" w14:textId="77777777" w:rsidR="002F6C06" w:rsidRPr="00853E57" w:rsidRDefault="002F6C06" w:rsidP="00FC1EDB">
      <w:pPr>
        <w:spacing w:after="0" w:line="240" w:lineRule="auto"/>
        <w:rPr>
          <w:lang w:val="fr-CH"/>
        </w:rPr>
      </w:pPr>
    </w:p>
    <w:p w14:paraId="12B28799" w14:textId="2BFC45F3" w:rsidR="004A70ED" w:rsidRPr="00853E57" w:rsidRDefault="00FC1EDB" w:rsidP="00FC1EDB">
      <w:pPr>
        <w:spacing w:after="0" w:line="240" w:lineRule="auto"/>
        <w:ind w:left="426" w:hanging="426"/>
        <w:rPr>
          <w:lang w:val="fr-CH"/>
        </w:rPr>
      </w:pPr>
      <w:r w:rsidRPr="00853E57">
        <w:rPr>
          <w:lang w:val="fr-CH"/>
        </w:rPr>
        <w:t>10.</w:t>
      </w:r>
      <w:r w:rsidRPr="00853E57">
        <w:rPr>
          <w:lang w:val="fr-CH"/>
        </w:rPr>
        <w:tab/>
      </w:r>
      <w:r w:rsidR="00E77111">
        <w:rPr>
          <w:lang w:val="fr-CH"/>
        </w:rPr>
        <w:t>L</w:t>
      </w:r>
      <w:r w:rsidR="006F574D">
        <w:rPr>
          <w:lang w:val="fr-CH"/>
        </w:rPr>
        <w:t xml:space="preserve">es Parties contractantes intéressées ont </w:t>
      </w:r>
      <w:r w:rsidR="00E77111">
        <w:rPr>
          <w:lang w:val="fr-CH"/>
        </w:rPr>
        <w:t xml:space="preserve">non seulement établi les priorités mais aussi </w:t>
      </w:r>
      <w:r w:rsidR="006F574D">
        <w:rPr>
          <w:lang w:val="fr-CH"/>
        </w:rPr>
        <w:t>proposé des recommandations d’action</w:t>
      </w:r>
      <w:r w:rsidR="00E77111">
        <w:rPr>
          <w:lang w:val="fr-CH"/>
        </w:rPr>
        <w:t>, notamment</w:t>
      </w:r>
      <w:r w:rsidR="006F574D">
        <w:rPr>
          <w:lang w:val="fr-CH"/>
        </w:rPr>
        <w:t> :</w:t>
      </w:r>
    </w:p>
    <w:p w14:paraId="350C9577" w14:textId="1AC4C56D" w:rsidR="004A70ED" w:rsidRPr="00853E57" w:rsidRDefault="003E4740" w:rsidP="004A70ED">
      <w:pPr>
        <w:spacing w:after="0" w:line="240" w:lineRule="auto"/>
        <w:ind w:left="851" w:hanging="426"/>
        <w:rPr>
          <w:lang w:val="fr-CH"/>
        </w:rPr>
      </w:pPr>
      <w:r w:rsidRPr="00853E57">
        <w:rPr>
          <w:lang w:val="fr-CH"/>
        </w:rPr>
        <w:t>a</w:t>
      </w:r>
      <w:r w:rsidR="00853E57">
        <w:rPr>
          <w:lang w:val="fr-CH"/>
        </w:rPr>
        <w:t>)</w:t>
      </w:r>
      <w:r w:rsidR="004A70ED" w:rsidRPr="00853E57">
        <w:rPr>
          <w:lang w:val="fr-CH"/>
        </w:rPr>
        <w:tab/>
      </w:r>
      <w:r w:rsidR="00F31894">
        <w:rPr>
          <w:lang w:val="fr-CH"/>
        </w:rPr>
        <w:t xml:space="preserve">la préparation d’un projet de résolution pour examen par le Comité permanent et la COP ; </w:t>
      </w:r>
    </w:p>
    <w:p w14:paraId="22CF41B6" w14:textId="38C0D22E" w:rsidR="004A70ED" w:rsidRPr="00853E57" w:rsidRDefault="004A70ED" w:rsidP="004A70ED">
      <w:pPr>
        <w:spacing w:after="0" w:line="240" w:lineRule="auto"/>
        <w:ind w:left="851" w:hanging="426"/>
        <w:rPr>
          <w:lang w:val="fr-CH"/>
        </w:rPr>
      </w:pPr>
      <w:r w:rsidRPr="00853E57">
        <w:rPr>
          <w:lang w:val="fr-CH"/>
        </w:rPr>
        <w:t>b</w:t>
      </w:r>
      <w:r w:rsidR="00853E57">
        <w:rPr>
          <w:lang w:val="fr-CH"/>
        </w:rPr>
        <w:t>)</w:t>
      </w:r>
      <w:r w:rsidRPr="00853E57">
        <w:rPr>
          <w:lang w:val="fr-CH"/>
        </w:rPr>
        <w:tab/>
      </w:r>
      <w:r w:rsidR="00F31894">
        <w:rPr>
          <w:lang w:val="fr-CH"/>
        </w:rPr>
        <w:t xml:space="preserve">la transition complète du Secrétariat </w:t>
      </w:r>
      <w:r w:rsidR="000E749C">
        <w:rPr>
          <w:lang w:val="fr-CH"/>
        </w:rPr>
        <w:t>vers le</w:t>
      </w:r>
      <w:r w:rsidR="00F31894">
        <w:rPr>
          <w:lang w:val="fr-CH"/>
        </w:rPr>
        <w:t xml:space="preserve"> </w:t>
      </w:r>
      <w:r w:rsidR="00FD353D">
        <w:rPr>
          <w:lang w:val="fr-CH"/>
        </w:rPr>
        <w:t>s</w:t>
      </w:r>
      <w:r w:rsidR="00F31894">
        <w:rPr>
          <w:lang w:val="fr-CH"/>
        </w:rPr>
        <w:t>ystème des Nations Unies ;</w:t>
      </w:r>
    </w:p>
    <w:p w14:paraId="3CB75EF4" w14:textId="22463DAF" w:rsidR="004A70ED" w:rsidRPr="00853E57" w:rsidRDefault="003C7364" w:rsidP="004A70ED">
      <w:pPr>
        <w:spacing w:after="0" w:line="240" w:lineRule="auto"/>
        <w:ind w:left="851" w:hanging="426"/>
        <w:rPr>
          <w:lang w:val="fr-CH"/>
        </w:rPr>
      </w:pPr>
      <w:r w:rsidRPr="00853E57">
        <w:rPr>
          <w:lang w:val="fr-CH"/>
        </w:rPr>
        <w:t>c</w:t>
      </w:r>
      <w:r w:rsidR="00853E57">
        <w:rPr>
          <w:lang w:val="fr-CH"/>
        </w:rPr>
        <w:t>)</w:t>
      </w:r>
      <w:r w:rsidR="004A70ED" w:rsidRPr="00853E57">
        <w:rPr>
          <w:lang w:val="fr-CH"/>
        </w:rPr>
        <w:tab/>
      </w:r>
      <w:r w:rsidR="00F31894">
        <w:rPr>
          <w:lang w:val="fr-CH"/>
        </w:rPr>
        <w:t>l’</w:t>
      </w:r>
      <w:r w:rsidR="008B6927" w:rsidRPr="00853E57">
        <w:rPr>
          <w:lang w:val="fr-CH"/>
        </w:rPr>
        <w:t>identif</w:t>
      </w:r>
      <w:r w:rsidR="00C51332" w:rsidRPr="00853E57">
        <w:rPr>
          <w:lang w:val="fr-CH"/>
        </w:rPr>
        <w:t xml:space="preserve">ication </w:t>
      </w:r>
      <w:r w:rsidR="00F31894">
        <w:rPr>
          <w:lang w:val="fr-CH"/>
        </w:rPr>
        <w:t>de solutions à court et à long terme ;</w:t>
      </w:r>
    </w:p>
    <w:p w14:paraId="2DEE6563" w14:textId="22BFEF90" w:rsidR="004A70ED" w:rsidRPr="00853E57" w:rsidRDefault="003C7364" w:rsidP="004A70ED">
      <w:pPr>
        <w:spacing w:after="0" w:line="240" w:lineRule="auto"/>
        <w:ind w:left="851" w:hanging="426"/>
        <w:rPr>
          <w:lang w:val="fr-CH"/>
        </w:rPr>
      </w:pPr>
      <w:r w:rsidRPr="00853E57">
        <w:rPr>
          <w:lang w:val="fr-CH"/>
        </w:rPr>
        <w:t>d</w:t>
      </w:r>
      <w:r w:rsidR="00853E57">
        <w:rPr>
          <w:lang w:val="fr-CH"/>
        </w:rPr>
        <w:t>)</w:t>
      </w:r>
      <w:r w:rsidR="004A70ED" w:rsidRPr="00853E57">
        <w:rPr>
          <w:lang w:val="fr-CH"/>
        </w:rPr>
        <w:tab/>
      </w:r>
      <w:r w:rsidR="00F31894">
        <w:rPr>
          <w:lang w:val="fr-CH"/>
        </w:rPr>
        <w:t>la participation du Groupe de travail sur la gestion et du Sous</w:t>
      </w:r>
      <w:r w:rsidR="00F31894">
        <w:rPr>
          <w:lang w:val="fr-CH"/>
        </w:rPr>
        <w:noBreakHyphen/>
        <w:t xml:space="preserve">groupe sur les finances ; </w:t>
      </w:r>
    </w:p>
    <w:p w14:paraId="5FEFCCC3" w14:textId="342DE924" w:rsidR="004A70ED" w:rsidRPr="00853E57" w:rsidRDefault="003C7364" w:rsidP="004A70ED">
      <w:pPr>
        <w:spacing w:after="0" w:line="240" w:lineRule="auto"/>
        <w:ind w:left="851" w:hanging="426"/>
        <w:rPr>
          <w:lang w:val="fr-CH"/>
        </w:rPr>
      </w:pPr>
      <w:r w:rsidRPr="00853E57">
        <w:rPr>
          <w:lang w:val="fr-CH"/>
        </w:rPr>
        <w:t>e</w:t>
      </w:r>
      <w:r w:rsidR="00853E57">
        <w:rPr>
          <w:lang w:val="fr-CH"/>
        </w:rPr>
        <w:t>)</w:t>
      </w:r>
      <w:r w:rsidR="004A70ED" w:rsidRPr="00853E57">
        <w:rPr>
          <w:lang w:val="fr-CH"/>
        </w:rPr>
        <w:tab/>
      </w:r>
      <w:r w:rsidR="00F31894">
        <w:rPr>
          <w:lang w:val="fr-CH"/>
        </w:rPr>
        <w:t xml:space="preserve">des réunions bilatérales avec le pays hôte et les Parties contractantes qui ne sont pas </w:t>
      </w:r>
      <w:r w:rsidR="00F31894" w:rsidRPr="00FD353D">
        <w:rPr>
          <w:lang w:val="fr-CH"/>
        </w:rPr>
        <w:t>présent</w:t>
      </w:r>
      <w:r w:rsidR="00FD353D" w:rsidRPr="00FD353D">
        <w:rPr>
          <w:lang w:val="fr-CH"/>
        </w:rPr>
        <w:t>e</w:t>
      </w:r>
      <w:r w:rsidR="00F31894" w:rsidRPr="00FD353D">
        <w:rPr>
          <w:lang w:val="fr-CH"/>
        </w:rPr>
        <w:t>s</w:t>
      </w:r>
      <w:r w:rsidR="00F31894">
        <w:rPr>
          <w:lang w:val="fr-CH"/>
        </w:rPr>
        <w:t xml:space="preserve"> à la réunion ; et </w:t>
      </w:r>
    </w:p>
    <w:p w14:paraId="1590C36D" w14:textId="0043000A" w:rsidR="004A70ED" w:rsidRPr="00853E57" w:rsidRDefault="003C7364" w:rsidP="004A70ED">
      <w:pPr>
        <w:spacing w:after="0" w:line="240" w:lineRule="auto"/>
        <w:ind w:left="851" w:hanging="426"/>
        <w:rPr>
          <w:lang w:val="fr-CH"/>
        </w:rPr>
      </w:pPr>
      <w:r w:rsidRPr="00853E57">
        <w:rPr>
          <w:lang w:val="fr-CH"/>
        </w:rPr>
        <w:t>f</w:t>
      </w:r>
      <w:r w:rsidR="00853E57">
        <w:rPr>
          <w:lang w:val="fr-CH"/>
        </w:rPr>
        <w:t>)</w:t>
      </w:r>
      <w:r w:rsidR="004A70ED" w:rsidRPr="00853E57">
        <w:rPr>
          <w:lang w:val="fr-CH"/>
        </w:rPr>
        <w:tab/>
      </w:r>
      <w:r w:rsidR="00F31894">
        <w:rPr>
          <w:lang w:val="fr-CH"/>
        </w:rPr>
        <w:t xml:space="preserve">la constitution d’un groupe de travail chargé de faire avancer le processus, notamment </w:t>
      </w:r>
      <w:r w:rsidR="000E749C">
        <w:rPr>
          <w:lang w:val="fr-CH"/>
        </w:rPr>
        <w:t>en</w:t>
      </w:r>
      <w:r w:rsidR="00F31894">
        <w:rPr>
          <w:lang w:val="fr-CH"/>
        </w:rPr>
        <w:t xml:space="preserve"> </w:t>
      </w:r>
      <w:r w:rsidR="000E749C">
        <w:rPr>
          <w:lang w:val="fr-CH"/>
        </w:rPr>
        <w:t>préparant un</w:t>
      </w:r>
      <w:r w:rsidR="00F31894">
        <w:rPr>
          <w:lang w:val="fr-CH"/>
        </w:rPr>
        <w:t xml:space="preserve"> projet de résolution.</w:t>
      </w:r>
      <w:r w:rsidR="008B6927" w:rsidRPr="00853E57">
        <w:rPr>
          <w:lang w:val="fr-CH"/>
        </w:rPr>
        <w:t xml:space="preserve"> </w:t>
      </w:r>
    </w:p>
    <w:p w14:paraId="5E4EE7E8" w14:textId="77777777" w:rsidR="004A70ED" w:rsidRPr="00853E57" w:rsidRDefault="004A70ED" w:rsidP="00FC1EDB">
      <w:pPr>
        <w:spacing w:after="0" w:line="240" w:lineRule="auto"/>
        <w:ind w:left="426" w:hanging="426"/>
        <w:rPr>
          <w:lang w:val="fr-CH"/>
        </w:rPr>
      </w:pPr>
    </w:p>
    <w:p w14:paraId="42D0A64D" w14:textId="76B7F2C5" w:rsidR="000B6A49" w:rsidRPr="00853E57" w:rsidRDefault="00F31894" w:rsidP="00EC0F71">
      <w:pPr>
        <w:spacing w:after="0" w:line="240" w:lineRule="auto"/>
        <w:ind w:left="426"/>
        <w:rPr>
          <w:lang w:val="fr-CH"/>
        </w:rPr>
      </w:pPr>
      <w:r>
        <w:rPr>
          <w:lang w:val="fr-CH"/>
        </w:rPr>
        <w:t xml:space="preserve">Les Parties contractantes ont noté </w:t>
      </w:r>
      <w:r w:rsidR="00FC73E2">
        <w:rPr>
          <w:lang w:val="fr-CH"/>
        </w:rPr>
        <w:t>que les avis diffèrent</w:t>
      </w:r>
      <w:r>
        <w:rPr>
          <w:lang w:val="fr-CH"/>
        </w:rPr>
        <w:t xml:space="preserve"> sur la manière dont ces travaux doivent progresser, notamment du point de vue de l’hébergement du Secrétariat, et qu’il conviendrait de prendre en considération aussi bien les avantages d’une application améliorée de la Convention que les risques potentiels. </w:t>
      </w:r>
    </w:p>
    <w:p w14:paraId="5988BCE6" w14:textId="77777777" w:rsidR="00713454" w:rsidRPr="00853E57" w:rsidRDefault="00713454" w:rsidP="00EC0F71">
      <w:pPr>
        <w:spacing w:after="0" w:line="240" w:lineRule="auto"/>
        <w:ind w:left="426" w:hanging="426"/>
        <w:rPr>
          <w:lang w:val="fr-CH"/>
        </w:rPr>
      </w:pPr>
    </w:p>
    <w:p w14:paraId="175192C0" w14:textId="6774D01B" w:rsidR="002F6C06" w:rsidRPr="00853E57" w:rsidRDefault="00C2195B" w:rsidP="00EC0F71">
      <w:pPr>
        <w:spacing w:after="0" w:line="240" w:lineRule="auto"/>
        <w:ind w:left="426" w:hanging="426"/>
        <w:rPr>
          <w:lang w:val="fr-CH"/>
        </w:rPr>
      </w:pPr>
      <w:r w:rsidRPr="00853E57">
        <w:rPr>
          <w:lang w:val="fr-CH"/>
        </w:rPr>
        <w:t>11.</w:t>
      </w:r>
      <w:r w:rsidRPr="00853E57">
        <w:rPr>
          <w:lang w:val="fr-CH"/>
        </w:rPr>
        <w:tab/>
      </w:r>
      <w:r w:rsidR="00F31894">
        <w:rPr>
          <w:lang w:val="fr-CH"/>
        </w:rPr>
        <w:t xml:space="preserve">Outre les recommandations des Parties contractantes intéressées, le Secrétariat a fourni </w:t>
      </w:r>
      <w:r w:rsidR="00EC6F0C">
        <w:rPr>
          <w:lang w:val="fr-CH"/>
        </w:rPr>
        <w:t>s</w:t>
      </w:r>
      <w:r w:rsidR="00F31894">
        <w:rPr>
          <w:lang w:val="fr-CH"/>
        </w:rPr>
        <w:t>es recommandations en vue de parvenir à un renforcement institutionnel pour soutenir l’application de la Convention. Le tableau résumé de l’Annexe 2 du présent document est le reflet de la priorisation et des recommandations proposées par les Parties contractantes intéressées et le Secrétariat.</w:t>
      </w:r>
      <w:r w:rsidR="002F6C06" w:rsidRPr="00853E57">
        <w:rPr>
          <w:lang w:val="fr-CH"/>
        </w:rPr>
        <w:t xml:space="preserve"> </w:t>
      </w:r>
      <w:r w:rsidR="002129DD">
        <w:rPr>
          <w:i/>
          <w:lang w:val="fr-CH"/>
        </w:rPr>
        <w:t xml:space="preserve"> </w:t>
      </w:r>
    </w:p>
    <w:p w14:paraId="2F778BFE" w14:textId="77777777" w:rsidR="00C2195B" w:rsidRPr="00677E58" w:rsidRDefault="00C2195B">
      <w:pPr>
        <w:rPr>
          <w:rFonts w:cstheme="minorHAnsi"/>
          <w:b/>
          <w:bCs/>
          <w:lang w:val="fr-FR"/>
        </w:rPr>
      </w:pPr>
      <w:r w:rsidRPr="00677E58">
        <w:rPr>
          <w:rFonts w:cstheme="minorHAnsi"/>
          <w:b/>
          <w:bCs/>
          <w:lang w:val="fr-FR"/>
        </w:rPr>
        <w:br w:type="page"/>
      </w:r>
    </w:p>
    <w:p w14:paraId="18426A9D" w14:textId="17AAD208" w:rsidR="00C2195B" w:rsidRPr="00F31894" w:rsidRDefault="00C2195B" w:rsidP="00C2195B">
      <w:pPr>
        <w:spacing w:after="0" w:line="240" w:lineRule="auto"/>
        <w:rPr>
          <w:b/>
          <w:sz w:val="24"/>
          <w:szCs w:val="24"/>
          <w:lang w:val="fr-CH"/>
        </w:rPr>
      </w:pPr>
      <w:r w:rsidRPr="00F31894">
        <w:rPr>
          <w:b/>
          <w:sz w:val="24"/>
          <w:lang w:val="fr-CH"/>
        </w:rPr>
        <w:lastRenderedPageBreak/>
        <w:t>Annex</w:t>
      </w:r>
      <w:r w:rsidR="00F31894">
        <w:rPr>
          <w:b/>
          <w:sz w:val="24"/>
          <w:lang w:val="fr-CH"/>
        </w:rPr>
        <w:t>e</w:t>
      </w:r>
      <w:r w:rsidRPr="00F31894">
        <w:rPr>
          <w:b/>
          <w:sz w:val="24"/>
          <w:lang w:val="fr-CH"/>
        </w:rPr>
        <w:t xml:space="preserve"> 1</w:t>
      </w:r>
    </w:p>
    <w:p w14:paraId="4700CC9F" w14:textId="0271887A" w:rsidR="00BD4E4C" w:rsidRPr="00F31894" w:rsidRDefault="00F31894" w:rsidP="00EC0F71">
      <w:pPr>
        <w:spacing w:after="0" w:line="240" w:lineRule="auto"/>
        <w:rPr>
          <w:b/>
          <w:sz w:val="24"/>
          <w:lang w:val="fr-CH"/>
        </w:rPr>
      </w:pPr>
      <w:r>
        <w:rPr>
          <w:b/>
          <w:sz w:val="24"/>
          <w:lang w:val="fr-CH"/>
        </w:rPr>
        <w:t xml:space="preserve">Parties contractantes ayant exprimé leur intérêt à participer au processus de consultation en réponse à la Résolution </w:t>
      </w:r>
      <w:r w:rsidR="00064B3C" w:rsidRPr="00F31894">
        <w:rPr>
          <w:b/>
          <w:sz w:val="24"/>
          <w:szCs w:val="24"/>
          <w:lang w:val="fr-CH"/>
        </w:rPr>
        <w:t>XIV.6, paragraph</w:t>
      </w:r>
      <w:r>
        <w:rPr>
          <w:b/>
          <w:sz w:val="24"/>
          <w:szCs w:val="24"/>
          <w:lang w:val="fr-CH"/>
        </w:rPr>
        <w:t>e</w:t>
      </w:r>
      <w:r w:rsidR="00064B3C" w:rsidRPr="00F31894">
        <w:rPr>
          <w:b/>
          <w:sz w:val="24"/>
          <w:szCs w:val="24"/>
          <w:lang w:val="fr-CH"/>
        </w:rPr>
        <w:t xml:space="preserve"> 22</w:t>
      </w:r>
    </w:p>
    <w:p w14:paraId="04B6C376" w14:textId="0FE2F220" w:rsidR="00BD4E4C" w:rsidRPr="00677E58" w:rsidRDefault="00BD4E4C" w:rsidP="00BD4E4C">
      <w:pPr>
        <w:spacing w:after="0" w:line="240" w:lineRule="auto"/>
        <w:rPr>
          <w:lang w:val="fr-FR"/>
        </w:rPr>
      </w:pPr>
    </w:p>
    <w:p w14:paraId="106F7AB6" w14:textId="77777777" w:rsidR="00064B3C" w:rsidRPr="00677E58" w:rsidRDefault="00064B3C" w:rsidP="00BD4E4C">
      <w:pPr>
        <w:spacing w:after="0" w:line="240" w:lineRule="auto"/>
        <w:rPr>
          <w:lang w:val="fr-FR"/>
        </w:rPr>
      </w:pPr>
    </w:p>
    <w:tbl>
      <w:tblPr>
        <w:tblStyle w:val="TableGrid"/>
        <w:tblW w:w="0" w:type="auto"/>
        <w:tblInd w:w="-5" w:type="dxa"/>
        <w:tblLook w:val="04A0" w:firstRow="1" w:lastRow="0" w:firstColumn="1" w:lastColumn="0" w:noHBand="0" w:noVBand="1"/>
      </w:tblPr>
      <w:tblGrid>
        <w:gridCol w:w="3544"/>
        <w:gridCol w:w="4820"/>
      </w:tblGrid>
      <w:tr w:rsidR="00BD4E4C" w:rsidRPr="00F45F13" w14:paraId="0EBBCB0F" w14:textId="77777777" w:rsidTr="00EC0F71">
        <w:trPr>
          <w:trHeight w:val="290"/>
        </w:trPr>
        <w:tc>
          <w:tcPr>
            <w:tcW w:w="3544" w:type="dxa"/>
            <w:noWrap/>
            <w:hideMark/>
          </w:tcPr>
          <w:p w14:paraId="72753538" w14:textId="12FEDFB1" w:rsidR="00BD4E4C" w:rsidRPr="00F45F13" w:rsidRDefault="00BD4E4C" w:rsidP="00D072D4">
            <w:pPr>
              <w:rPr>
                <w:b/>
                <w:lang w:val="fr-CH"/>
              </w:rPr>
            </w:pPr>
            <w:r w:rsidRPr="00F45F13">
              <w:rPr>
                <w:b/>
                <w:lang w:val="fr-CH"/>
              </w:rPr>
              <w:t>R</w:t>
            </w:r>
            <w:r w:rsidR="00F45F13">
              <w:rPr>
                <w:b/>
                <w:lang w:val="fr-CH"/>
              </w:rPr>
              <w:t>é</w:t>
            </w:r>
            <w:r w:rsidRPr="00F45F13">
              <w:rPr>
                <w:b/>
                <w:lang w:val="fr-CH"/>
              </w:rPr>
              <w:t>gion</w:t>
            </w:r>
          </w:p>
        </w:tc>
        <w:tc>
          <w:tcPr>
            <w:tcW w:w="4820" w:type="dxa"/>
            <w:noWrap/>
            <w:hideMark/>
          </w:tcPr>
          <w:p w14:paraId="15879DC2" w14:textId="37E1F8DB" w:rsidR="00BD4E4C" w:rsidRPr="00F45F13" w:rsidRDefault="00F45F13" w:rsidP="00D072D4">
            <w:pPr>
              <w:rPr>
                <w:b/>
                <w:lang w:val="fr-CH"/>
              </w:rPr>
            </w:pPr>
            <w:r>
              <w:rPr>
                <w:b/>
                <w:lang w:val="fr-CH"/>
              </w:rPr>
              <w:t>Partie contractante</w:t>
            </w:r>
          </w:p>
        </w:tc>
      </w:tr>
      <w:tr w:rsidR="00BD4E4C" w:rsidRPr="00F45F13" w14:paraId="31229BD3" w14:textId="77777777" w:rsidTr="00EC0F71">
        <w:trPr>
          <w:trHeight w:val="290"/>
        </w:trPr>
        <w:tc>
          <w:tcPr>
            <w:tcW w:w="3544" w:type="dxa"/>
            <w:vMerge w:val="restart"/>
            <w:noWrap/>
            <w:hideMark/>
          </w:tcPr>
          <w:p w14:paraId="5569BF09" w14:textId="022E4964" w:rsidR="00BD4E4C" w:rsidRPr="00F45F13" w:rsidRDefault="00BD4E4C" w:rsidP="00D072D4">
            <w:pPr>
              <w:rPr>
                <w:lang w:val="fr-CH"/>
              </w:rPr>
            </w:pPr>
            <w:r w:rsidRPr="00F45F13">
              <w:rPr>
                <w:lang w:val="fr-CH"/>
              </w:rPr>
              <w:t>Afri</w:t>
            </w:r>
            <w:r w:rsidR="00F45F13">
              <w:rPr>
                <w:lang w:val="fr-CH"/>
              </w:rPr>
              <w:t>que</w:t>
            </w:r>
          </w:p>
        </w:tc>
        <w:tc>
          <w:tcPr>
            <w:tcW w:w="4820" w:type="dxa"/>
            <w:noWrap/>
            <w:hideMark/>
          </w:tcPr>
          <w:p w14:paraId="54D2AC23" w14:textId="4CFEDBB4" w:rsidR="00BD4E4C" w:rsidRPr="00F45F13" w:rsidRDefault="00BD4E4C" w:rsidP="00D072D4">
            <w:pPr>
              <w:rPr>
                <w:lang w:val="fr-CH"/>
              </w:rPr>
            </w:pPr>
            <w:r w:rsidRPr="00F45F13">
              <w:rPr>
                <w:lang w:val="fr-CH"/>
              </w:rPr>
              <w:t>Alg</w:t>
            </w:r>
            <w:r w:rsidR="00F45F13">
              <w:rPr>
                <w:lang w:val="fr-CH"/>
              </w:rPr>
              <w:t>érie</w:t>
            </w:r>
          </w:p>
        </w:tc>
      </w:tr>
      <w:tr w:rsidR="00BD4E4C" w:rsidRPr="00F45F13" w14:paraId="28DD760B" w14:textId="77777777" w:rsidTr="00EC0F71">
        <w:trPr>
          <w:trHeight w:val="290"/>
        </w:trPr>
        <w:tc>
          <w:tcPr>
            <w:tcW w:w="3544" w:type="dxa"/>
            <w:vMerge/>
            <w:noWrap/>
            <w:hideMark/>
          </w:tcPr>
          <w:p w14:paraId="17C0B0B7" w14:textId="77777777" w:rsidR="00BD4E4C" w:rsidRPr="00F45F13" w:rsidRDefault="00BD4E4C" w:rsidP="00D072D4">
            <w:pPr>
              <w:rPr>
                <w:lang w:val="fr-CH"/>
              </w:rPr>
            </w:pPr>
          </w:p>
        </w:tc>
        <w:tc>
          <w:tcPr>
            <w:tcW w:w="4820" w:type="dxa"/>
            <w:noWrap/>
            <w:hideMark/>
          </w:tcPr>
          <w:p w14:paraId="564825C2" w14:textId="77777777" w:rsidR="00BD4E4C" w:rsidRPr="00F45F13" w:rsidRDefault="00BD4E4C" w:rsidP="00D072D4">
            <w:pPr>
              <w:rPr>
                <w:lang w:val="fr-CH"/>
              </w:rPr>
            </w:pPr>
            <w:r w:rsidRPr="00F45F13">
              <w:rPr>
                <w:lang w:val="fr-CH"/>
              </w:rPr>
              <w:t>Burkina Faso</w:t>
            </w:r>
          </w:p>
        </w:tc>
      </w:tr>
      <w:tr w:rsidR="00BD4E4C" w:rsidRPr="00F45F13" w14:paraId="0989B919" w14:textId="77777777" w:rsidTr="00EC0F71">
        <w:trPr>
          <w:trHeight w:val="290"/>
        </w:trPr>
        <w:tc>
          <w:tcPr>
            <w:tcW w:w="3544" w:type="dxa"/>
            <w:vMerge/>
            <w:noWrap/>
            <w:hideMark/>
          </w:tcPr>
          <w:p w14:paraId="5306536B" w14:textId="77777777" w:rsidR="00BD4E4C" w:rsidRPr="00F45F13" w:rsidRDefault="00BD4E4C" w:rsidP="00D072D4">
            <w:pPr>
              <w:rPr>
                <w:lang w:val="fr-CH"/>
              </w:rPr>
            </w:pPr>
          </w:p>
        </w:tc>
        <w:tc>
          <w:tcPr>
            <w:tcW w:w="4820" w:type="dxa"/>
            <w:noWrap/>
            <w:hideMark/>
          </w:tcPr>
          <w:p w14:paraId="34BB1E64" w14:textId="7A4C88CB" w:rsidR="00BD4E4C" w:rsidRPr="00F45F13" w:rsidRDefault="00E7739F" w:rsidP="00D072D4">
            <w:pPr>
              <w:rPr>
                <w:lang w:val="fr-CH"/>
              </w:rPr>
            </w:pPr>
            <w:r w:rsidRPr="00F45F13">
              <w:rPr>
                <w:lang w:val="fr-CH"/>
              </w:rPr>
              <w:t>Gambi</w:t>
            </w:r>
            <w:r>
              <w:rPr>
                <w:lang w:val="fr-CH"/>
              </w:rPr>
              <w:t>e</w:t>
            </w:r>
          </w:p>
        </w:tc>
      </w:tr>
      <w:tr w:rsidR="00BD4E4C" w:rsidRPr="00F45F13" w14:paraId="3517A821" w14:textId="77777777" w:rsidTr="00EC0F71">
        <w:trPr>
          <w:trHeight w:val="290"/>
        </w:trPr>
        <w:tc>
          <w:tcPr>
            <w:tcW w:w="3544" w:type="dxa"/>
            <w:vMerge/>
            <w:noWrap/>
          </w:tcPr>
          <w:p w14:paraId="038EB499" w14:textId="77777777" w:rsidR="00BD4E4C" w:rsidRPr="00F45F13" w:rsidRDefault="00BD4E4C" w:rsidP="00D072D4">
            <w:pPr>
              <w:rPr>
                <w:lang w:val="fr-CH"/>
              </w:rPr>
            </w:pPr>
          </w:p>
        </w:tc>
        <w:tc>
          <w:tcPr>
            <w:tcW w:w="4820" w:type="dxa"/>
            <w:noWrap/>
          </w:tcPr>
          <w:p w14:paraId="14B3141F" w14:textId="53DBFEE8" w:rsidR="00BD4E4C" w:rsidRPr="00F45F13" w:rsidRDefault="00E7739F" w:rsidP="00D072D4">
            <w:pPr>
              <w:rPr>
                <w:lang w:val="fr-CH"/>
              </w:rPr>
            </w:pPr>
            <w:r w:rsidRPr="00F45F13">
              <w:rPr>
                <w:lang w:val="fr-CH"/>
              </w:rPr>
              <w:t>Lib</w:t>
            </w:r>
            <w:r>
              <w:rPr>
                <w:lang w:val="fr-CH"/>
              </w:rPr>
              <w:t>é</w:t>
            </w:r>
            <w:r w:rsidRPr="00F45F13">
              <w:rPr>
                <w:lang w:val="fr-CH"/>
              </w:rPr>
              <w:t>ria</w:t>
            </w:r>
          </w:p>
        </w:tc>
      </w:tr>
      <w:tr w:rsidR="00BD4E4C" w:rsidRPr="00F45F13" w14:paraId="532D921C" w14:textId="77777777" w:rsidTr="00EC0F71">
        <w:trPr>
          <w:trHeight w:val="290"/>
        </w:trPr>
        <w:tc>
          <w:tcPr>
            <w:tcW w:w="3544" w:type="dxa"/>
            <w:vMerge/>
            <w:noWrap/>
          </w:tcPr>
          <w:p w14:paraId="6799BCAC" w14:textId="77777777" w:rsidR="00BD4E4C" w:rsidRPr="00F45F13" w:rsidRDefault="00BD4E4C" w:rsidP="00D072D4">
            <w:pPr>
              <w:rPr>
                <w:lang w:val="fr-CH"/>
              </w:rPr>
            </w:pPr>
          </w:p>
        </w:tc>
        <w:tc>
          <w:tcPr>
            <w:tcW w:w="4820" w:type="dxa"/>
            <w:noWrap/>
          </w:tcPr>
          <w:p w14:paraId="0FE805A7" w14:textId="052B6F7E" w:rsidR="00BD4E4C" w:rsidRPr="00F45F13" w:rsidRDefault="00E7739F" w:rsidP="00D072D4">
            <w:pPr>
              <w:rPr>
                <w:lang w:val="fr-CH"/>
              </w:rPr>
            </w:pPr>
            <w:r w:rsidRPr="00F45F13">
              <w:rPr>
                <w:lang w:val="fr-CH"/>
              </w:rPr>
              <w:t>Mali</w:t>
            </w:r>
          </w:p>
        </w:tc>
      </w:tr>
      <w:tr w:rsidR="00BD4E4C" w:rsidRPr="00F45F13" w14:paraId="28FDFE2F" w14:textId="77777777" w:rsidTr="00EC0F71">
        <w:trPr>
          <w:trHeight w:val="290"/>
        </w:trPr>
        <w:tc>
          <w:tcPr>
            <w:tcW w:w="3544" w:type="dxa"/>
            <w:vMerge/>
            <w:noWrap/>
          </w:tcPr>
          <w:p w14:paraId="164B3017" w14:textId="77777777" w:rsidR="00BD4E4C" w:rsidRPr="00F45F13" w:rsidRDefault="00BD4E4C" w:rsidP="00D072D4">
            <w:pPr>
              <w:rPr>
                <w:lang w:val="fr-CH"/>
              </w:rPr>
            </w:pPr>
          </w:p>
        </w:tc>
        <w:tc>
          <w:tcPr>
            <w:tcW w:w="4820" w:type="dxa"/>
            <w:noWrap/>
          </w:tcPr>
          <w:p w14:paraId="5D8095C1" w14:textId="5B2F4920" w:rsidR="00BD4E4C" w:rsidRPr="00F45F13" w:rsidRDefault="00E7739F" w:rsidP="00D072D4">
            <w:pPr>
              <w:rPr>
                <w:lang w:val="fr-CH"/>
              </w:rPr>
            </w:pPr>
            <w:r>
              <w:rPr>
                <w:lang w:val="fr-CH"/>
              </w:rPr>
              <w:t>Ou</w:t>
            </w:r>
            <w:r w:rsidRPr="00F45F13">
              <w:rPr>
                <w:lang w:val="fr-CH"/>
              </w:rPr>
              <w:t>ganda</w:t>
            </w:r>
          </w:p>
        </w:tc>
      </w:tr>
      <w:tr w:rsidR="00BD4E4C" w:rsidRPr="00F45F13" w14:paraId="49167D39" w14:textId="77777777" w:rsidTr="00EC0F71">
        <w:trPr>
          <w:trHeight w:val="290"/>
        </w:trPr>
        <w:tc>
          <w:tcPr>
            <w:tcW w:w="3544" w:type="dxa"/>
            <w:vMerge/>
            <w:noWrap/>
          </w:tcPr>
          <w:p w14:paraId="330D0839" w14:textId="77777777" w:rsidR="00BD4E4C" w:rsidRPr="00F45F13" w:rsidRDefault="00BD4E4C" w:rsidP="00D072D4">
            <w:pPr>
              <w:rPr>
                <w:lang w:val="fr-CH"/>
              </w:rPr>
            </w:pPr>
          </w:p>
        </w:tc>
        <w:tc>
          <w:tcPr>
            <w:tcW w:w="4820" w:type="dxa"/>
            <w:noWrap/>
          </w:tcPr>
          <w:p w14:paraId="1601408F" w14:textId="5DFE0070" w:rsidR="00BD4E4C" w:rsidRPr="00F45F13" w:rsidRDefault="00E7739F" w:rsidP="00D072D4">
            <w:pPr>
              <w:rPr>
                <w:lang w:val="fr-CH"/>
              </w:rPr>
            </w:pPr>
            <w:r>
              <w:rPr>
                <w:lang w:val="fr-CH"/>
              </w:rPr>
              <w:t>République démocratique du Congo</w:t>
            </w:r>
            <w:r w:rsidRPr="00F45F13">
              <w:rPr>
                <w:lang w:val="fr-CH"/>
              </w:rPr>
              <w:t xml:space="preserve"> </w:t>
            </w:r>
          </w:p>
        </w:tc>
      </w:tr>
      <w:tr w:rsidR="00BD4E4C" w:rsidRPr="00F45F13" w14:paraId="702985F4" w14:textId="77777777" w:rsidTr="00EC0F71">
        <w:trPr>
          <w:trHeight w:val="290"/>
        </w:trPr>
        <w:tc>
          <w:tcPr>
            <w:tcW w:w="3544" w:type="dxa"/>
            <w:vMerge/>
            <w:noWrap/>
          </w:tcPr>
          <w:p w14:paraId="7ECED449" w14:textId="77777777" w:rsidR="00BD4E4C" w:rsidRPr="00F45F13" w:rsidRDefault="00BD4E4C" w:rsidP="00D072D4">
            <w:pPr>
              <w:rPr>
                <w:lang w:val="fr-CH"/>
              </w:rPr>
            </w:pPr>
          </w:p>
        </w:tc>
        <w:tc>
          <w:tcPr>
            <w:tcW w:w="4820" w:type="dxa"/>
            <w:noWrap/>
          </w:tcPr>
          <w:p w14:paraId="5FB2F9E4" w14:textId="7463A37F" w:rsidR="00BD4E4C" w:rsidRPr="00F45F13" w:rsidRDefault="00E7739F" w:rsidP="00D072D4">
            <w:pPr>
              <w:rPr>
                <w:lang w:val="fr-CH"/>
              </w:rPr>
            </w:pPr>
            <w:r w:rsidRPr="00F45F13">
              <w:rPr>
                <w:lang w:val="fr-CH"/>
              </w:rPr>
              <w:t>Rwanda</w:t>
            </w:r>
          </w:p>
        </w:tc>
      </w:tr>
      <w:tr w:rsidR="00BD4E4C" w:rsidRPr="00F45F13" w14:paraId="56E454EF" w14:textId="77777777" w:rsidTr="00EC0F71">
        <w:trPr>
          <w:trHeight w:val="290"/>
        </w:trPr>
        <w:tc>
          <w:tcPr>
            <w:tcW w:w="3544" w:type="dxa"/>
            <w:vMerge w:val="restart"/>
            <w:noWrap/>
          </w:tcPr>
          <w:p w14:paraId="0404D196" w14:textId="6787EA7E" w:rsidR="00BD4E4C" w:rsidRPr="00F45F13" w:rsidRDefault="00C2195B" w:rsidP="00D072D4">
            <w:pPr>
              <w:rPr>
                <w:lang w:val="fr-CH"/>
              </w:rPr>
            </w:pPr>
            <w:r w:rsidRPr="00F45F13">
              <w:rPr>
                <w:lang w:val="fr-CH"/>
              </w:rPr>
              <w:t>Asi</w:t>
            </w:r>
            <w:r w:rsidR="00F45F13">
              <w:rPr>
                <w:lang w:val="fr-CH"/>
              </w:rPr>
              <w:t>e</w:t>
            </w:r>
          </w:p>
        </w:tc>
        <w:tc>
          <w:tcPr>
            <w:tcW w:w="4820" w:type="dxa"/>
            <w:noWrap/>
          </w:tcPr>
          <w:p w14:paraId="47E9295B" w14:textId="4AC4F453" w:rsidR="00BD4E4C" w:rsidRPr="00F45F13" w:rsidRDefault="00BD4E4C" w:rsidP="00D072D4">
            <w:pPr>
              <w:rPr>
                <w:lang w:val="fr-CH"/>
              </w:rPr>
            </w:pPr>
            <w:r w:rsidRPr="00F45F13">
              <w:rPr>
                <w:lang w:val="fr-CH"/>
              </w:rPr>
              <w:t>Indon</w:t>
            </w:r>
            <w:r w:rsidR="00F45F13">
              <w:rPr>
                <w:lang w:val="fr-CH"/>
              </w:rPr>
              <w:t>ésie</w:t>
            </w:r>
          </w:p>
        </w:tc>
      </w:tr>
      <w:tr w:rsidR="00BD4E4C" w:rsidRPr="00F45F13" w14:paraId="331EA204" w14:textId="77777777" w:rsidTr="00EC0F71">
        <w:trPr>
          <w:trHeight w:val="290"/>
        </w:trPr>
        <w:tc>
          <w:tcPr>
            <w:tcW w:w="3544" w:type="dxa"/>
            <w:vMerge/>
            <w:noWrap/>
          </w:tcPr>
          <w:p w14:paraId="109B3C9A" w14:textId="77777777" w:rsidR="00BD4E4C" w:rsidRPr="00F45F13" w:rsidRDefault="00BD4E4C" w:rsidP="00D072D4">
            <w:pPr>
              <w:rPr>
                <w:lang w:val="fr-CH"/>
              </w:rPr>
            </w:pPr>
          </w:p>
        </w:tc>
        <w:tc>
          <w:tcPr>
            <w:tcW w:w="4820" w:type="dxa"/>
            <w:noWrap/>
          </w:tcPr>
          <w:p w14:paraId="2E70A960" w14:textId="5765227E" w:rsidR="00BD4E4C" w:rsidRPr="00F45F13" w:rsidRDefault="00F45F13" w:rsidP="00D072D4">
            <w:pPr>
              <w:rPr>
                <w:lang w:val="fr-CH"/>
              </w:rPr>
            </w:pPr>
            <w:r w:rsidRPr="00F45F13">
              <w:rPr>
                <w:lang w:val="fr-CH"/>
              </w:rPr>
              <w:t>Thaïlande</w:t>
            </w:r>
          </w:p>
        </w:tc>
      </w:tr>
      <w:tr w:rsidR="00BD4E4C" w:rsidRPr="00F45F13" w14:paraId="2F239CFD" w14:textId="77777777" w:rsidTr="00EC0F71">
        <w:trPr>
          <w:trHeight w:val="290"/>
        </w:trPr>
        <w:tc>
          <w:tcPr>
            <w:tcW w:w="3544" w:type="dxa"/>
            <w:vMerge w:val="restart"/>
            <w:noWrap/>
            <w:hideMark/>
          </w:tcPr>
          <w:p w14:paraId="393A3AA3" w14:textId="77777777" w:rsidR="00BD4E4C" w:rsidRPr="00F45F13" w:rsidRDefault="00BD4E4C" w:rsidP="00D072D4">
            <w:pPr>
              <w:rPr>
                <w:lang w:val="fr-CH"/>
              </w:rPr>
            </w:pPr>
            <w:r w:rsidRPr="00F45F13">
              <w:rPr>
                <w:lang w:val="fr-CH"/>
              </w:rPr>
              <w:t>Europe</w:t>
            </w:r>
          </w:p>
        </w:tc>
        <w:tc>
          <w:tcPr>
            <w:tcW w:w="4820" w:type="dxa"/>
            <w:noWrap/>
          </w:tcPr>
          <w:p w14:paraId="09E84820" w14:textId="54619D83" w:rsidR="00BD4E4C" w:rsidRPr="00F45F13" w:rsidRDefault="00F45F13" w:rsidP="00D072D4">
            <w:pPr>
              <w:rPr>
                <w:lang w:val="fr-CH"/>
              </w:rPr>
            </w:pPr>
            <w:r w:rsidRPr="00F45F13">
              <w:rPr>
                <w:lang w:val="fr-CH"/>
              </w:rPr>
              <w:t>Albanie</w:t>
            </w:r>
          </w:p>
        </w:tc>
      </w:tr>
      <w:tr w:rsidR="00BD4E4C" w:rsidRPr="00F45F13" w14:paraId="519B83BC" w14:textId="77777777" w:rsidTr="00EC0F71">
        <w:trPr>
          <w:trHeight w:val="290"/>
        </w:trPr>
        <w:tc>
          <w:tcPr>
            <w:tcW w:w="3544" w:type="dxa"/>
            <w:vMerge/>
            <w:noWrap/>
          </w:tcPr>
          <w:p w14:paraId="044A5395" w14:textId="77777777" w:rsidR="00BD4E4C" w:rsidRPr="00F45F13" w:rsidRDefault="00BD4E4C" w:rsidP="00D072D4">
            <w:pPr>
              <w:rPr>
                <w:lang w:val="fr-CH"/>
              </w:rPr>
            </w:pPr>
          </w:p>
        </w:tc>
        <w:tc>
          <w:tcPr>
            <w:tcW w:w="4820" w:type="dxa"/>
            <w:noWrap/>
          </w:tcPr>
          <w:p w14:paraId="32751B0D" w14:textId="77777777" w:rsidR="00BD4E4C" w:rsidRPr="00F45F13" w:rsidRDefault="00BD4E4C" w:rsidP="00D072D4">
            <w:pPr>
              <w:rPr>
                <w:lang w:val="fr-CH"/>
              </w:rPr>
            </w:pPr>
            <w:r w:rsidRPr="00F45F13">
              <w:rPr>
                <w:lang w:val="fr-CH"/>
              </w:rPr>
              <w:t>France</w:t>
            </w:r>
          </w:p>
        </w:tc>
      </w:tr>
      <w:tr w:rsidR="00BD4E4C" w:rsidRPr="00EA3CC7" w14:paraId="5EA424EE" w14:textId="77777777" w:rsidTr="00EC0F71">
        <w:trPr>
          <w:trHeight w:val="290"/>
        </w:trPr>
        <w:tc>
          <w:tcPr>
            <w:tcW w:w="3544" w:type="dxa"/>
            <w:vMerge/>
            <w:noWrap/>
          </w:tcPr>
          <w:p w14:paraId="56199E1C" w14:textId="77777777" w:rsidR="00BD4E4C" w:rsidRPr="00F45F13" w:rsidRDefault="00BD4E4C" w:rsidP="00D072D4">
            <w:pPr>
              <w:rPr>
                <w:lang w:val="fr-CH"/>
              </w:rPr>
            </w:pPr>
          </w:p>
        </w:tc>
        <w:tc>
          <w:tcPr>
            <w:tcW w:w="4820" w:type="dxa"/>
            <w:noWrap/>
          </w:tcPr>
          <w:p w14:paraId="2FD377B5" w14:textId="36D10A89" w:rsidR="00BD4E4C" w:rsidRPr="00F45F13" w:rsidRDefault="00F45F13" w:rsidP="00D072D4">
            <w:pPr>
              <w:rPr>
                <w:lang w:val="fr-CH"/>
              </w:rPr>
            </w:pPr>
            <w:r>
              <w:rPr>
                <w:rFonts w:cstheme="minorHAnsi"/>
                <w:lang w:val="fr-CH"/>
              </w:rPr>
              <w:t>Royaume-Uni de Grande-Bretagne et d’Irlande du Nord</w:t>
            </w:r>
          </w:p>
        </w:tc>
      </w:tr>
      <w:tr w:rsidR="00BD4E4C" w:rsidRPr="00F45F13" w14:paraId="40738831" w14:textId="77777777" w:rsidTr="00EC0F71">
        <w:trPr>
          <w:trHeight w:val="290"/>
        </w:trPr>
        <w:tc>
          <w:tcPr>
            <w:tcW w:w="3544" w:type="dxa"/>
            <w:vMerge/>
            <w:noWrap/>
          </w:tcPr>
          <w:p w14:paraId="5A29B7EB" w14:textId="77777777" w:rsidR="00BD4E4C" w:rsidRPr="00F45F13" w:rsidRDefault="00BD4E4C" w:rsidP="00D072D4">
            <w:pPr>
              <w:rPr>
                <w:lang w:val="fr-CH"/>
              </w:rPr>
            </w:pPr>
          </w:p>
        </w:tc>
        <w:tc>
          <w:tcPr>
            <w:tcW w:w="4820" w:type="dxa"/>
            <w:noWrap/>
          </w:tcPr>
          <w:p w14:paraId="0D819D13" w14:textId="46F20FF2" w:rsidR="00BD4E4C" w:rsidRPr="00F45F13" w:rsidRDefault="00F45F13" w:rsidP="00D072D4">
            <w:pPr>
              <w:rPr>
                <w:lang w:val="fr-CH"/>
              </w:rPr>
            </w:pPr>
            <w:r>
              <w:rPr>
                <w:lang w:val="fr-CH"/>
              </w:rPr>
              <w:t>Suisse</w:t>
            </w:r>
          </w:p>
        </w:tc>
      </w:tr>
      <w:tr w:rsidR="00BD4E4C" w:rsidRPr="00F45F13" w14:paraId="4B9ECACF" w14:textId="77777777" w:rsidTr="00EC0F71">
        <w:trPr>
          <w:trHeight w:val="290"/>
        </w:trPr>
        <w:tc>
          <w:tcPr>
            <w:tcW w:w="3544" w:type="dxa"/>
            <w:vMerge w:val="restart"/>
            <w:noWrap/>
          </w:tcPr>
          <w:p w14:paraId="2B3C92AC" w14:textId="3A0E9942" w:rsidR="00BD4E4C" w:rsidRPr="00F45F13" w:rsidRDefault="00F45F13" w:rsidP="00D072D4">
            <w:pPr>
              <w:rPr>
                <w:lang w:val="fr-CH"/>
              </w:rPr>
            </w:pPr>
            <w:r w:rsidRPr="005C0C9E">
              <w:rPr>
                <w:lang w:val="fr-CH"/>
              </w:rPr>
              <w:t>Amérique latine et Caraïbes</w:t>
            </w:r>
          </w:p>
        </w:tc>
        <w:tc>
          <w:tcPr>
            <w:tcW w:w="4820" w:type="dxa"/>
            <w:noWrap/>
          </w:tcPr>
          <w:p w14:paraId="4DD3A647" w14:textId="1CA80EE7" w:rsidR="00BD4E4C" w:rsidRPr="00F45F13" w:rsidRDefault="00BD4E4C" w:rsidP="00D072D4">
            <w:pPr>
              <w:rPr>
                <w:lang w:val="fr-CH"/>
              </w:rPr>
            </w:pPr>
            <w:r w:rsidRPr="00F45F13">
              <w:rPr>
                <w:lang w:val="fr-CH"/>
              </w:rPr>
              <w:t>Br</w:t>
            </w:r>
            <w:r w:rsidR="00F45F13">
              <w:rPr>
                <w:lang w:val="fr-CH"/>
              </w:rPr>
              <w:t>ésil</w:t>
            </w:r>
          </w:p>
        </w:tc>
      </w:tr>
      <w:tr w:rsidR="00BD4E4C" w:rsidRPr="00F45F13" w14:paraId="299C5389" w14:textId="77777777" w:rsidTr="00EC0F71">
        <w:trPr>
          <w:trHeight w:val="290"/>
        </w:trPr>
        <w:tc>
          <w:tcPr>
            <w:tcW w:w="3544" w:type="dxa"/>
            <w:vMerge/>
            <w:noWrap/>
          </w:tcPr>
          <w:p w14:paraId="25D738F3" w14:textId="77777777" w:rsidR="00BD4E4C" w:rsidRPr="00F45F13" w:rsidRDefault="00BD4E4C" w:rsidP="00D072D4">
            <w:pPr>
              <w:rPr>
                <w:lang w:val="fr-CH"/>
              </w:rPr>
            </w:pPr>
          </w:p>
        </w:tc>
        <w:tc>
          <w:tcPr>
            <w:tcW w:w="4820" w:type="dxa"/>
            <w:noWrap/>
          </w:tcPr>
          <w:p w14:paraId="4CB07C45" w14:textId="08502033" w:rsidR="00BD4E4C" w:rsidRPr="00F45F13" w:rsidRDefault="00BD4E4C" w:rsidP="00D072D4">
            <w:pPr>
              <w:rPr>
                <w:lang w:val="fr-CH"/>
              </w:rPr>
            </w:pPr>
            <w:r w:rsidRPr="00F45F13">
              <w:rPr>
                <w:lang w:val="fr-CH"/>
              </w:rPr>
              <w:t>Chil</w:t>
            </w:r>
            <w:r w:rsidR="00F45F13">
              <w:rPr>
                <w:lang w:val="fr-CH"/>
              </w:rPr>
              <w:t>i</w:t>
            </w:r>
          </w:p>
        </w:tc>
      </w:tr>
      <w:tr w:rsidR="00BD4E4C" w:rsidRPr="00F45F13" w14:paraId="2D0E4971" w14:textId="77777777" w:rsidTr="00EC0F71">
        <w:trPr>
          <w:trHeight w:val="290"/>
        </w:trPr>
        <w:tc>
          <w:tcPr>
            <w:tcW w:w="3544" w:type="dxa"/>
            <w:vMerge/>
            <w:noWrap/>
          </w:tcPr>
          <w:p w14:paraId="6D3D7AE5" w14:textId="77777777" w:rsidR="00BD4E4C" w:rsidRPr="00F45F13" w:rsidRDefault="00BD4E4C" w:rsidP="00D072D4">
            <w:pPr>
              <w:rPr>
                <w:lang w:val="fr-CH"/>
              </w:rPr>
            </w:pPr>
          </w:p>
        </w:tc>
        <w:tc>
          <w:tcPr>
            <w:tcW w:w="4820" w:type="dxa"/>
            <w:noWrap/>
          </w:tcPr>
          <w:p w14:paraId="6AA09202" w14:textId="059F8950" w:rsidR="00BD4E4C" w:rsidRPr="00F45F13" w:rsidRDefault="00BD4E4C" w:rsidP="00D072D4">
            <w:pPr>
              <w:rPr>
                <w:lang w:val="fr-CH"/>
              </w:rPr>
            </w:pPr>
            <w:r w:rsidRPr="00F45F13">
              <w:rPr>
                <w:lang w:val="fr-CH"/>
              </w:rPr>
              <w:t>Colombi</w:t>
            </w:r>
            <w:r w:rsidR="00F45F13">
              <w:rPr>
                <w:lang w:val="fr-CH"/>
              </w:rPr>
              <w:t>e</w:t>
            </w:r>
          </w:p>
        </w:tc>
      </w:tr>
      <w:tr w:rsidR="00BD4E4C" w:rsidRPr="00F45F13" w14:paraId="67E079C0" w14:textId="77777777" w:rsidTr="00EC0F71">
        <w:trPr>
          <w:trHeight w:val="290"/>
        </w:trPr>
        <w:tc>
          <w:tcPr>
            <w:tcW w:w="3544" w:type="dxa"/>
            <w:vMerge/>
            <w:noWrap/>
          </w:tcPr>
          <w:p w14:paraId="1824516A" w14:textId="77777777" w:rsidR="00BD4E4C" w:rsidRPr="00F45F13" w:rsidRDefault="00BD4E4C" w:rsidP="00D072D4">
            <w:pPr>
              <w:rPr>
                <w:lang w:val="fr-CH"/>
              </w:rPr>
            </w:pPr>
          </w:p>
        </w:tc>
        <w:tc>
          <w:tcPr>
            <w:tcW w:w="4820" w:type="dxa"/>
            <w:noWrap/>
          </w:tcPr>
          <w:p w14:paraId="44540F6C" w14:textId="77777777" w:rsidR="00BD4E4C" w:rsidRPr="00F45F13" w:rsidRDefault="00BD4E4C" w:rsidP="00D072D4">
            <w:pPr>
              <w:rPr>
                <w:lang w:val="fr-CH"/>
              </w:rPr>
            </w:pPr>
            <w:r w:rsidRPr="00F45F13">
              <w:rPr>
                <w:lang w:val="fr-CH"/>
              </w:rPr>
              <w:t>Cuba</w:t>
            </w:r>
          </w:p>
        </w:tc>
      </w:tr>
      <w:tr w:rsidR="00BD4E4C" w:rsidRPr="00F45F13" w14:paraId="7FE9C9AF" w14:textId="77777777" w:rsidTr="00EC0F71">
        <w:trPr>
          <w:trHeight w:val="290"/>
        </w:trPr>
        <w:tc>
          <w:tcPr>
            <w:tcW w:w="3544" w:type="dxa"/>
            <w:vMerge/>
            <w:noWrap/>
          </w:tcPr>
          <w:p w14:paraId="29AB9A96" w14:textId="77777777" w:rsidR="00BD4E4C" w:rsidRPr="00F45F13" w:rsidRDefault="00BD4E4C" w:rsidP="00D072D4">
            <w:pPr>
              <w:rPr>
                <w:lang w:val="fr-CH"/>
              </w:rPr>
            </w:pPr>
          </w:p>
        </w:tc>
        <w:tc>
          <w:tcPr>
            <w:tcW w:w="4820" w:type="dxa"/>
            <w:noWrap/>
          </w:tcPr>
          <w:p w14:paraId="37562C2F" w14:textId="77777777" w:rsidR="00BD4E4C" w:rsidRPr="00F45F13" w:rsidRDefault="00BD4E4C" w:rsidP="00D072D4">
            <w:pPr>
              <w:rPr>
                <w:lang w:val="fr-CH"/>
              </w:rPr>
            </w:pPr>
            <w:r w:rsidRPr="00F45F13">
              <w:rPr>
                <w:lang w:val="fr-CH"/>
              </w:rPr>
              <w:t>Paraguay</w:t>
            </w:r>
          </w:p>
        </w:tc>
      </w:tr>
      <w:tr w:rsidR="00BD4E4C" w:rsidRPr="00F45F13" w14:paraId="67EA5150" w14:textId="77777777" w:rsidTr="00EC0F71">
        <w:trPr>
          <w:trHeight w:val="290"/>
        </w:trPr>
        <w:tc>
          <w:tcPr>
            <w:tcW w:w="3544" w:type="dxa"/>
            <w:vMerge/>
            <w:noWrap/>
          </w:tcPr>
          <w:p w14:paraId="46EB2AC5" w14:textId="77777777" w:rsidR="00BD4E4C" w:rsidRPr="00F45F13" w:rsidRDefault="00BD4E4C" w:rsidP="00D072D4">
            <w:pPr>
              <w:rPr>
                <w:lang w:val="fr-CH"/>
              </w:rPr>
            </w:pPr>
          </w:p>
        </w:tc>
        <w:tc>
          <w:tcPr>
            <w:tcW w:w="4820" w:type="dxa"/>
            <w:noWrap/>
          </w:tcPr>
          <w:p w14:paraId="46D4AC7F" w14:textId="457F1860" w:rsidR="00BD4E4C" w:rsidRPr="00F45F13" w:rsidRDefault="00BD4E4C" w:rsidP="00D072D4">
            <w:pPr>
              <w:rPr>
                <w:lang w:val="fr-CH"/>
              </w:rPr>
            </w:pPr>
            <w:r w:rsidRPr="00F45F13">
              <w:rPr>
                <w:lang w:val="fr-CH"/>
              </w:rPr>
              <w:t>P</w:t>
            </w:r>
            <w:r w:rsidR="00F45F13">
              <w:rPr>
                <w:lang w:val="fr-CH"/>
              </w:rPr>
              <w:t>érou</w:t>
            </w:r>
          </w:p>
        </w:tc>
      </w:tr>
      <w:tr w:rsidR="00BD4E4C" w:rsidRPr="00F45F13" w14:paraId="76D96F36" w14:textId="77777777" w:rsidTr="00EC0F71">
        <w:trPr>
          <w:trHeight w:val="290"/>
        </w:trPr>
        <w:tc>
          <w:tcPr>
            <w:tcW w:w="3544" w:type="dxa"/>
            <w:vMerge/>
            <w:noWrap/>
          </w:tcPr>
          <w:p w14:paraId="233E475A" w14:textId="77777777" w:rsidR="00BD4E4C" w:rsidRPr="00F45F13" w:rsidRDefault="00BD4E4C" w:rsidP="00D072D4">
            <w:pPr>
              <w:rPr>
                <w:lang w:val="fr-CH"/>
              </w:rPr>
            </w:pPr>
          </w:p>
        </w:tc>
        <w:tc>
          <w:tcPr>
            <w:tcW w:w="4820" w:type="dxa"/>
            <w:noWrap/>
          </w:tcPr>
          <w:p w14:paraId="274400A5" w14:textId="762553E0" w:rsidR="00BD4E4C" w:rsidRPr="00F45F13" w:rsidRDefault="00BD4E4C" w:rsidP="00D072D4">
            <w:pPr>
              <w:rPr>
                <w:lang w:val="fr-CH"/>
              </w:rPr>
            </w:pPr>
            <w:r w:rsidRPr="00F45F13">
              <w:rPr>
                <w:lang w:val="fr-CH"/>
              </w:rPr>
              <w:t>Saint</w:t>
            </w:r>
            <w:r w:rsidR="00F45F13">
              <w:rPr>
                <w:lang w:val="fr-CH"/>
              </w:rPr>
              <w:t>e-L</w:t>
            </w:r>
            <w:r w:rsidRPr="00F45F13">
              <w:rPr>
                <w:lang w:val="fr-CH"/>
              </w:rPr>
              <w:t>uci</w:t>
            </w:r>
            <w:r w:rsidR="00F45F13">
              <w:rPr>
                <w:lang w:val="fr-CH"/>
              </w:rPr>
              <w:t>e</w:t>
            </w:r>
          </w:p>
        </w:tc>
      </w:tr>
      <w:tr w:rsidR="00BD4E4C" w:rsidRPr="00F45F13" w14:paraId="08463B4D" w14:textId="77777777" w:rsidTr="00EC0F71">
        <w:trPr>
          <w:trHeight w:val="290"/>
        </w:trPr>
        <w:tc>
          <w:tcPr>
            <w:tcW w:w="3544" w:type="dxa"/>
            <w:vMerge/>
            <w:noWrap/>
          </w:tcPr>
          <w:p w14:paraId="0E8C7071" w14:textId="77777777" w:rsidR="00BD4E4C" w:rsidRPr="00F45F13" w:rsidRDefault="00BD4E4C" w:rsidP="00D072D4">
            <w:pPr>
              <w:rPr>
                <w:lang w:val="fr-CH"/>
              </w:rPr>
            </w:pPr>
          </w:p>
        </w:tc>
        <w:tc>
          <w:tcPr>
            <w:tcW w:w="4820" w:type="dxa"/>
            <w:noWrap/>
          </w:tcPr>
          <w:p w14:paraId="3CC26269" w14:textId="77777777" w:rsidR="00BD4E4C" w:rsidRPr="00F45F13" w:rsidRDefault="00BD4E4C" w:rsidP="00D072D4">
            <w:pPr>
              <w:rPr>
                <w:lang w:val="fr-CH"/>
              </w:rPr>
            </w:pPr>
            <w:r w:rsidRPr="00F45F13">
              <w:rPr>
                <w:lang w:val="fr-CH"/>
              </w:rPr>
              <w:t>Uruguay</w:t>
            </w:r>
          </w:p>
        </w:tc>
      </w:tr>
      <w:tr w:rsidR="00BD4E4C" w:rsidRPr="00F45F13" w14:paraId="23C05A24" w14:textId="77777777" w:rsidTr="00EC0F71">
        <w:trPr>
          <w:trHeight w:val="290"/>
        </w:trPr>
        <w:tc>
          <w:tcPr>
            <w:tcW w:w="3544" w:type="dxa"/>
            <w:vMerge w:val="restart"/>
            <w:noWrap/>
          </w:tcPr>
          <w:p w14:paraId="095DB4B2" w14:textId="417AE6F1" w:rsidR="00BD4E4C" w:rsidRPr="00F45F13" w:rsidRDefault="00F45F13" w:rsidP="00D072D4">
            <w:pPr>
              <w:rPr>
                <w:lang w:val="fr-CH"/>
              </w:rPr>
            </w:pPr>
            <w:r>
              <w:rPr>
                <w:lang w:val="fr-CH"/>
              </w:rPr>
              <w:t>Amérique du Nord</w:t>
            </w:r>
          </w:p>
        </w:tc>
        <w:tc>
          <w:tcPr>
            <w:tcW w:w="4820" w:type="dxa"/>
            <w:noWrap/>
          </w:tcPr>
          <w:p w14:paraId="6AE9BB39" w14:textId="77777777" w:rsidR="00BD4E4C" w:rsidRPr="00F45F13" w:rsidRDefault="00BD4E4C" w:rsidP="00D072D4">
            <w:pPr>
              <w:rPr>
                <w:lang w:val="fr-CH"/>
              </w:rPr>
            </w:pPr>
            <w:r w:rsidRPr="00F45F13">
              <w:rPr>
                <w:lang w:val="fr-CH"/>
              </w:rPr>
              <w:t>Canada</w:t>
            </w:r>
          </w:p>
        </w:tc>
      </w:tr>
      <w:tr w:rsidR="00BD4E4C" w:rsidRPr="00F45F13" w14:paraId="471A3912" w14:textId="77777777" w:rsidTr="00EC0F71">
        <w:trPr>
          <w:trHeight w:val="290"/>
        </w:trPr>
        <w:tc>
          <w:tcPr>
            <w:tcW w:w="3544" w:type="dxa"/>
            <w:vMerge/>
            <w:noWrap/>
          </w:tcPr>
          <w:p w14:paraId="254EE83A" w14:textId="77777777" w:rsidR="00BD4E4C" w:rsidRPr="00F45F13" w:rsidRDefault="00BD4E4C" w:rsidP="00D072D4">
            <w:pPr>
              <w:rPr>
                <w:lang w:val="fr-CH"/>
              </w:rPr>
            </w:pPr>
          </w:p>
        </w:tc>
        <w:tc>
          <w:tcPr>
            <w:tcW w:w="4820" w:type="dxa"/>
            <w:noWrap/>
          </w:tcPr>
          <w:p w14:paraId="5F2FC80B" w14:textId="3E17A5FC" w:rsidR="00BD4E4C" w:rsidRPr="00F45F13" w:rsidRDefault="00BD4E4C" w:rsidP="00D072D4">
            <w:pPr>
              <w:rPr>
                <w:lang w:val="fr-CH"/>
              </w:rPr>
            </w:pPr>
            <w:r w:rsidRPr="00F45F13">
              <w:rPr>
                <w:lang w:val="fr-CH"/>
              </w:rPr>
              <w:t>Mexi</w:t>
            </w:r>
            <w:r w:rsidR="00F45F13">
              <w:rPr>
                <w:lang w:val="fr-CH"/>
              </w:rPr>
              <w:t>que</w:t>
            </w:r>
          </w:p>
        </w:tc>
      </w:tr>
      <w:tr w:rsidR="00BD4E4C" w:rsidRPr="00F45F13" w14:paraId="7CC1416A" w14:textId="77777777" w:rsidTr="00EC0F71">
        <w:trPr>
          <w:trHeight w:val="290"/>
        </w:trPr>
        <w:tc>
          <w:tcPr>
            <w:tcW w:w="3544" w:type="dxa"/>
            <w:noWrap/>
          </w:tcPr>
          <w:p w14:paraId="540C30AB" w14:textId="4A93CD84" w:rsidR="00BD4E4C" w:rsidRPr="00F45F13" w:rsidRDefault="00BD4E4C" w:rsidP="00D072D4">
            <w:pPr>
              <w:rPr>
                <w:lang w:val="fr-CH"/>
              </w:rPr>
            </w:pPr>
            <w:r w:rsidRPr="00F45F13">
              <w:rPr>
                <w:lang w:val="fr-CH"/>
              </w:rPr>
              <w:t>Oc</w:t>
            </w:r>
            <w:r w:rsidR="00F45F13">
              <w:rPr>
                <w:lang w:val="fr-CH"/>
              </w:rPr>
              <w:t>éanie</w:t>
            </w:r>
          </w:p>
        </w:tc>
        <w:tc>
          <w:tcPr>
            <w:tcW w:w="4820" w:type="dxa"/>
            <w:noWrap/>
          </w:tcPr>
          <w:p w14:paraId="72B3F4BF" w14:textId="47AC02E8" w:rsidR="00BD4E4C" w:rsidRPr="00F45F13" w:rsidRDefault="00F45F13" w:rsidP="00D072D4">
            <w:pPr>
              <w:rPr>
                <w:lang w:val="fr-CH"/>
              </w:rPr>
            </w:pPr>
            <w:r>
              <w:rPr>
                <w:lang w:val="fr-CH"/>
              </w:rPr>
              <w:t>Nouvelle-Zélande</w:t>
            </w:r>
          </w:p>
        </w:tc>
      </w:tr>
    </w:tbl>
    <w:p w14:paraId="1CF76D6E" w14:textId="77777777" w:rsidR="00BD4E4C" w:rsidRDefault="00BD4E4C">
      <w:pPr>
        <w:rPr>
          <w:lang w:val="en-GB"/>
        </w:rPr>
        <w:sectPr w:rsidR="00BD4E4C" w:rsidSect="00EC0F71">
          <w:headerReference w:type="default" r:id="rId11"/>
          <w:footerReference w:type="default" r:id="rId12"/>
          <w:pgSz w:w="11906" w:h="16838"/>
          <w:pgMar w:top="1440" w:right="1440" w:bottom="1440" w:left="1440" w:header="708" w:footer="708" w:gutter="0"/>
          <w:cols w:space="708"/>
          <w:titlePg/>
          <w:docGrid w:linePitch="360"/>
        </w:sectPr>
      </w:pPr>
    </w:p>
    <w:p w14:paraId="5B2DDA6B" w14:textId="43C748A4" w:rsidR="00C2195B" w:rsidRPr="00C553D7" w:rsidRDefault="00C2195B" w:rsidP="00EC0F71">
      <w:pPr>
        <w:spacing w:after="0" w:line="240" w:lineRule="auto"/>
        <w:rPr>
          <w:b/>
          <w:sz w:val="24"/>
          <w:lang w:val="fr-CH"/>
        </w:rPr>
      </w:pPr>
      <w:r w:rsidRPr="00C553D7">
        <w:rPr>
          <w:b/>
          <w:sz w:val="24"/>
          <w:lang w:val="fr-CH"/>
        </w:rPr>
        <w:lastRenderedPageBreak/>
        <w:t>Annex</w:t>
      </w:r>
      <w:r w:rsidR="00731C4C">
        <w:rPr>
          <w:b/>
          <w:sz w:val="24"/>
          <w:lang w:val="fr-CH"/>
        </w:rPr>
        <w:t>e</w:t>
      </w:r>
      <w:r w:rsidRPr="00C553D7">
        <w:rPr>
          <w:b/>
          <w:sz w:val="24"/>
          <w:lang w:val="fr-CH"/>
        </w:rPr>
        <w:t xml:space="preserve"> 2</w:t>
      </w:r>
    </w:p>
    <w:p w14:paraId="09212353" w14:textId="02952035" w:rsidR="00AE7835" w:rsidRPr="00C553D7" w:rsidRDefault="00492836" w:rsidP="00C2195B">
      <w:pPr>
        <w:spacing w:after="0" w:line="240" w:lineRule="auto"/>
        <w:rPr>
          <w:b/>
          <w:sz w:val="24"/>
          <w:szCs w:val="24"/>
          <w:lang w:val="fr-CH"/>
        </w:rPr>
      </w:pPr>
      <w:r>
        <w:rPr>
          <w:b/>
          <w:sz w:val="24"/>
          <w:szCs w:val="24"/>
          <w:lang w:val="fr-CH"/>
        </w:rPr>
        <w:t xml:space="preserve">Tableau résumé des possibilités de renforcement du Secrétariat, conformément au paragraphe 22 de la Résolution </w:t>
      </w:r>
      <w:r w:rsidR="00C2195B" w:rsidRPr="00C553D7">
        <w:rPr>
          <w:b/>
          <w:sz w:val="24"/>
          <w:szCs w:val="24"/>
          <w:lang w:val="fr-CH"/>
        </w:rPr>
        <w:t>XIV.6</w:t>
      </w:r>
    </w:p>
    <w:p w14:paraId="5754E292" w14:textId="77777777" w:rsidR="00AE7835" w:rsidRPr="00677E58" w:rsidRDefault="00AE7835" w:rsidP="00AE7835">
      <w:pPr>
        <w:snapToGrid w:val="0"/>
        <w:spacing w:after="0" w:line="240" w:lineRule="auto"/>
        <w:rPr>
          <w:rFonts w:eastAsia="Times New Roman" w:cstheme="minorHAnsi"/>
          <w:bCs/>
          <w:lang w:val="fr-FR"/>
        </w:rPr>
      </w:pPr>
    </w:p>
    <w:p w14:paraId="6E84D673" w14:textId="77777777" w:rsidR="00AE7835" w:rsidRPr="00677E58" w:rsidRDefault="00AE7835" w:rsidP="00AE7835">
      <w:pPr>
        <w:snapToGrid w:val="0"/>
        <w:spacing w:after="0" w:line="240" w:lineRule="auto"/>
        <w:rPr>
          <w:rFonts w:eastAsia="Times New Roman" w:cstheme="minorHAnsi"/>
          <w:bCs/>
          <w:lang w:val="fr-FR"/>
        </w:rPr>
      </w:pPr>
    </w:p>
    <w:tbl>
      <w:tblPr>
        <w:tblStyle w:val="TableGrid"/>
        <w:tblW w:w="15168" w:type="dxa"/>
        <w:tblInd w:w="-572" w:type="dxa"/>
        <w:tblLayout w:type="fixed"/>
        <w:tblCellMar>
          <w:top w:w="28" w:type="dxa"/>
          <w:left w:w="57" w:type="dxa"/>
          <w:bottom w:w="28" w:type="dxa"/>
          <w:right w:w="57" w:type="dxa"/>
        </w:tblCellMar>
        <w:tblLook w:val="04A0" w:firstRow="1" w:lastRow="0" w:firstColumn="1" w:lastColumn="0" w:noHBand="0" w:noVBand="1"/>
      </w:tblPr>
      <w:tblGrid>
        <w:gridCol w:w="1418"/>
        <w:gridCol w:w="2031"/>
        <w:gridCol w:w="2032"/>
        <w:gridCol w:w="2032"/>
        <w:gridCol w:w="1418"/>
        <w:gridCol w:w="3118"/>
        <w:gridCol w:w="3119"/>
      </w:tblGrid>
      <w:tr w:rsidR="00A95E5F" w:rsidRPr="00677E58" w14:paraId="5CA3ACCD" w14:textId="77777777" w:rsidTr="00EA3CC7">
        <w:trPr>
          <w:tblHeader/>
        </w:trPr>
        <w:tc>
          <w:tcPr>
            <w:tcW w:w="1418" w:type="dxa"/>
            <w:vAlign w:val="center"/>
          </w:tcPr>
          <w:p w14:paraId="7923EAB1" w14:textId="3BDB480D" w:rsidR="00A95E5F" w:rsidRPr="00C553D7" w:rsidRDefault="00492836" w:rsidP="00EC0F71">
            <w:pPr>
              <w:pStyle w:val="Default"/>
              <w:jc w:val="center"/>
              <w:rPr>
                <w:rFonts w:asciiTheme="minorHAnsi" w:hAnsiTheme="minorHAnsi" w:cstheme="minorHAnsi"/>
                <w:b/>
                <w:bCs/>
                <w:sz w:val="20"/>
                <w:szCs w:val="20"/>
                <w:lang w:val="fr-CH"/>
              </w:rPr>
            </w:pPr>
            <w:r>
              <w:rPr>
                <w:rFonts w:asciiTheme="minorHAnsi" w:hAnsiTheme="minorHAnsi" w:cstheme="minorHAnsi"/>
                <w:b/>
                <w:bCs/>
                <w:sz w:val="20"/>
                <w:szCs w:val="20"/>
                <w:lang w:val="fr-CH"/>
              </w:rPr>
              <w:t>Possibilités</w:t>
            </w:r>
          </w:p>
        </w:tc>
        <w:tc>
          <w:tcPr>
            <w:tcW w:w="6095" w:type="dxa"/>
            <w:gridSpan w:val="3"/>
            <w:vAlign w:val="center"/>
          </w:tcPr>
          <w:p w14:paraId="71EF7E4F" w14:textId="74C666E7" w:rsidR="00A95E5F" w:rsidRPr="00C553D7" w:rsidRDefault="00492836" w:rsidP="00C2195B">
            <w:pPr>
              <w:pStyle w:val="Default"/>
              <w:jc w:val="center"/>
              <w:rPr>
                <w:rFonts w:asciiTheme="minorHAnsi" w:hAnsiTheme="minorHAnsi" w:cstheme="minorHAnsi"/>
                <w:b/>
                <w:bCs/>
                <w:sz w:val="20"/>
                <w:szCs w:val="20"/>
                <w:lang w:val="fr-CH"/>
              </w:rPr>
            </w:pPr>
            <w:r>
              <w:rPr>
                <w:rFonts w:asciiTheme="minorHAnsi" w:hAnsiTheme="minorHAnsi" w:cstheme="minorHAnsi"/>
                <w:b/>
                <w:bCs/>
                <w:sz w:val="20"/>
                <w:szCs w:val="20"/>
                <w:lang w:val="fr-CH"/>
              </w:rPr>
              <w:t>Éléments</w:t>
            </w:r>
          </w:p>
        </w:tc>
        <w:tc>
          <w:tcPr>
            <w:tcW w:w="1418" w:type="dxa"/>
            <w:vAlign w:val="center"/>
          </w:tcPr>
          <w:p w14:paraId="0BCDA034" w14:textId="072C7BB5" w:rsidR="00A95E5F" w:rsidRPr="00C553D7" w:rsidRDefault="00492836" w:rsidP="00EC0F71">
            <w:pPr>
              <w:pStyle w:val="Default"/>
              <w:jc w:val="center"/>
              <w:rPr>
                <w:rFonts w:asciiTheme="minorHAnsi" w:hAnsiTheme="minorHAnsi" w:cstheme="minorHAnsi"/>
                <w:b/>
                <w:bCs/>
                <w:sz w:val="20"/>
                <w:szCs w:val="20"/>
                <w:lang w:val="fr-CH"/>
              </w:rPr>
            </w:pPr>
            <w:r>
              <w:rPr>
                <w:rFonts w:asciiTheme="minorHAnsi" w:hAnsiTheme="minorHAnsi" w:cstheme="minorHAnsi"/>
                <w:b/>
                <w:bCs/>
                <w:sz w:val="20"/>
                <w:szCs w:val="20"/>
                <w:lang w:val="fr-CH"/>
              </w:rPr>
              <w:t>Priori</w:t>
            </w:r>
            <w:r w:rsidR="00D66677">
              <w:rPr>
                <w:rFonts w:asciiTheme="minorHAnsi" w:hAnsiTheme="minorHAnsi" w:cstheme="minorHAnsi"/>
                <w:b/>
                <w:bCs/>
                <w:sz w:val="20"/>
                <w:szCs w:val="20"/>
                <w:lang w:val="fr-CH"/>
              </w:rPr>
              <w:t>té</w:t>
            </w:r>
            <w:r>
              <w:rPr>
                <w:rFonts w:asciiTheme="minorHAnsi" w:hAnsiTheme="minorHAnsi" w:cstheme="minorHAnsi"/>
                <w:b/>
                <w:bCs/>
                <w:sz w:val="20"/>
                <w:szCs w:val="20"/>
                <w:lang w:val="fr-CH"/>
              </w:rPr>
              <w:t xml:space="preserve"> fondée sur l’impact </w:t>
            </w:r>
            <w:r w:rsidR="00A95E5F" w:rsidRPr="00C553D7">
              <w:rPr>
                <w:rFonts w:asciiTheme="minorHAnsi" w:hAnsiTheme="minorHAnsi" w:cstheme="minorHAnsi"/>
                <w:b/>
                <w:bCs/>
                <w:sz w:val="20"/>
                <w:szCs w:val="20"/>
                <w:lang w:val="fr-CH"/>
              </w:rPr>
              <w:t>:</w:t>
            </w:r>
          </w:p>
          <w:p w14:paraId="6A8795F9" w14:textId="3A9294AB" w:rsidR="00A95E5F" w:rsidRPr="00C553D7" w:rsidRDefault="00A95E5F" w:rsidP="00EC0F71">
            <w:pPr>
              <w:pStyle w:val="Default"/>
              <w:jc w:val="center"/>
              <w:rPr>
                <w:rFonts w:asciiTheme="minorHAnsi" w:hAnsiTheme="minorHAnsi" w:cstheme="minorHAnsi"/>
                <w:b/>
                <w:bCs/>
                <w:sz w:val="20"/>
                <w:szCs w:val="20"/>
                <w:lang w:val="fr-CH"/>
              </w:rPr>
            </w:pPr>
            <w:r w:rsidRPr="00C553D7">
              <w:rPr>
                <w:rFonts w:asciiTheme="minorHAnsi" w:hAnsiTheme="minorHAnsi" w:cstheme="minorHAnsi"/>
                <w:b/>
                <w:bCs/>
                <w:sz w:val="20"/>
                <w:szCs w:val="20"/>
                <w:lang w:val="fr-CH"/>
              </w:rPr>
              <w:t>1</w:t>
            </w:r>
            <w:r w:rsidR="00492836">
              <w:rPr>
                <w:rFonts w:asciiTheme="minorHAnsi" w:hAnsiTheme="minorHAnsi" w:cstheme="minorHAnsi"/>
                <w:b/>
                <w:bCs/>
                <w:sz w:val="20"/>
                <w:szCs w:val="20"/>
                <w:lang w:val="fr-CH"/>
              </w:rPr>
              <w:t> </w:t>
            </w:r>
            <w:r w:rsidRPr="00C553D7">
              <w:rPr>
                <w:rFonts w:asciiTheme="minorHAnsi" w:hAnsiTheme="minorHAnsi" w:cstheme="minorHAnsi"/>
                <w:b/>
                <w:bCs/>
                <w:sz w:val="20"/>
                <w:szCs w:val="20"/>
                <w:lang w:val="fr-CH"/>
              </w:rPr>
              <w:t xml:space="preserve">: </w:t>
            </w:r>
            <w:r w:rsidR="00492836">
              <w:rPr>
                <w:rFonts w:asciiTheme="minorHAnsi" w:hAnsiTheme="minorHAnsi" w:cstheme="minorHAnsi"/>
                <w:b/>
                <w:bCs/>
                <w:sz w:val="20"/>
                <w:szCs w:val="20"/>
                <w:lang w:val="fr-CH"/>
              </w:rPr>
              <w:t>faible,</w:t>
            </w:r>
            <w:r w:rsidRPr="00C553D7">
              <w:rPr>
                <w:rFonts w:asciiTheme="minorHAnsi" w:hAnsiTheme="minorHAnsi" w:cstheme="minorHAnsi"/>
                <w:b/>
                <w:bCs/>
                <w:sz w:val="20"/>
                <w:szCs w:val="20"/>
                <w:lang w:val="fr-CH"/>
              </w:rPr>
              <w:t xml:space="preserve"> 3</w:t>
            </w:r>
            <w:r w:rsidR="00492836">
              <w:rPr>
                <w:rFonts w:asciiTheme="minorHAnsi" w:hAnsiTheme="minorHAnsi" w:cstheme="minorHAnsi"/>
                <w:b/>
                <w:bCs/>
                <w:sz w:val="20"/>
                <w:szCs w:val="20"/>
                <w:lang w:val="fr-CH"/>
              </w:rPr>
              <w:t> </w:t>
            </w:r>
            <w:r w:rsidRPr="00C553D7">
              <w:rPr>
                <w:rFonts w:asciiTheme="minorHAnsi" w:hAnsiTheme="minorHAnsi" w:cstheme="minorHAnsi"/>
                <w:b/>
                <w:bCs/>
                <w:sz w:val="20"/>
                <w:szCs w:val="20"/>
                <w:lang w:val="fr-CH"/>
              </w:rPr>
              <w:t>:</w:t>
            </w:r>
            <w:r w:rsidR="00492836">
              <w:rPr>
                <w:rFonts w:asciiTheme="minorHAnsi" w:hAnsiTheme="minorHAnsi" w:cstheme="minorHAnsi"/>
                <w:b/>
                <w:bCs/>
                <w:sz w:val="20"/>
                <w:szCs w:val="20"/>
                <w:lang w:val="fr-CH"/>
              </w:rPr>
              <w:t> moyenne</w:t>
            </w:r>
            <w:r w:rsidRPr="00C553D7">
              <w:rPr>
                <w:rFonts w:asciiTheme="minorHAnsi" w:hAnsiTheme="minorHAnsi" w:cstheme="minorHAnsi"/>
                <w:b/>
                <w:bCs/>
                <w:sz w:val="20"/>
                <w:szCs w:val="20"/>
                <w:lang w:val="fr-CH"/>
              </w:rPr>
              <w:t>, 5</w:t>
            </w:r>
            <w:r w:rsidR="00492836">
              <w:rPr>
                <w:rFonts w:asciiTheme="minorHAnsi" w:hAnsiTheme="minorHAnsi" w:cstheme="minorHAnsi"/>
                <w:b/>
                <w:bCs/>
                <w:sz w:val="20"/>
                <w:szCs w:val="20"/>
                <w:lang w:val="fr-CH"/>
              </w:rPr>
              <w:t> </w:t>
            </w:r>
            <w:r w:rsidRPr="00C553D7">
              <w:rPr>
                <w:rFonts w:asciiTheme="minorHAnsi" w:hAnsiTheme="minorHAnsi" w:cstheme="minorHAnsi"/>
                <w:b/>
                <w:bCs/>
                <w:sz w:val="20"/>
                <w:szCs w:val="20"/>
                <w:lang w:val="fr-CH"/>
              </w:rPr>
              <w:t>:</w:t>
            </w:r>
            <w:r w:rsidR="00492836">
              <w:rPr>
                <w:rFonts w:asciiTheme="minorHAnsi" w:hAnsiTheme="minorHAnsi" w:cstheme="minorHAnsi"/>
                <w:b/>
                <w:bCs/>
                <w:sz w:val="20"/>
                <w:szCs w:val="20"/>
                <w:lang w:val="fr-CH"/>
              </w:rPr>
              <w:t> élevée</w:t>
            </w:r>
          </w:p>
        </w:tc>
        <w:tc>
          <w:tcPr>
            <w:tcW w:w="3118" w:type="dxa"/>
            <w:vAlign w:val="center"/>
          </w:tcPr>
          <w:p w14:paraId="6E915C4D" w14:textId="467A33FB" w:rsidR="00A95E5F" w:rsidRPr="00C553D7" w:rsidRDefault="00A95E5F" w:rsidP="00EC0F71">
            <w:pPr>
              <w:pStyle w:val="Default"/>
              <w:jc w:val="center"/>
              <w:rPr>
                <w:rFonts w:asciiTheme="minorHAnsi" w:hAnsiTheme="minorHAnsi" w:cstheme="minorHAnsi"/>
                <w:b/>
                <w:bCs/>
                <w:sz w:val="20"/>
                <w:szCs w:val="20"/>
                <w:lang w:val="fr-CH"/>
              </w:rPr>
            </w:pPr>
            <w:r w:rsidRPr="00C553D7">
              <w:rPr>
                <w:rFonts w:asciiTheme="minorHAnsi" w:hAnsiTheme="minorHAnsi" w:cstheme="minorHAnsi"/>
                <w:b/>
                <w:bCs/>
                <w:sz w:val="20"/>
                <w:szCs w:val="20"/>
                <w:lang w:val="fr-CH"/>
              </w:rPr>
              <w:t>Recomm</w:t>
            </w:r>
            <w:r w:rsidR="00492836">
              <w:rPr>
                <w:rFonts w:asciiTheme="minorHAnsi" w:hAnsiTheme="minorHAnsi" w:cstheme="minorHAnsi"/>
                <w:b/>
                <w:bCs/>
                <w:sz w:val="20"/>
                <w:szCs w:val="20"/>
                <w:lang w:val="fr-CH"/>
              </w:rPr>
              <w:t>a</w:t>
            </w:r>
            <w:r w:rsidRPr="00C553D7">
              <w:rPr>
                <w:rFonts w:asciiTheme="minorHAnsi" w:hAnsiTheme="minorHAnsi" w:cstheme="minorHAnsi"/>
                <w:b/>
                <w:bCs/>
                <w:sz w:val="20"/>
                <w:szCs w:val="20"/>
                <w:lang w:val="fr-CH"/>
              </w:rPr>
              <w:t xml:space="preserve">ndations </w:t>
            </w:r>
            <w:r w:rsidR="00E461FB">
              <w:rPr>
                <w:rFonts w:asciiTheme="minorHAnsi" w:hAnsiTheme="minorHAnsi" w:cstheme="minorHAnsi"/>
                <w:b/>
                <w:bCs/>
                <w:sz w:val="20"/>
                <w:szCs w:val="20"/>
                <w:lang w:val="fr-CH"/>
              </w:rPr>
              <w:t>des</w:t>
            </w:r>
            <w:r w:rsidR="00492836">
              <w:rPr>
                <w:rFonts w:asciiTheme="minorHAnsi" w:hAnsiTheme="minorHAnsi" w:cstheme="minorHAnsi"/>
                <w:b/>
                <w:bCs/>
                <w:sz w:val="20"/>
                <w:szCs w:val="20"/>
                <w:lang w:val="fr-CH"/>
              </w:rPr>
              <w:t xml:space="preserve"> Parties contractantes intéressées</w:t>
            </w:r>
          </w:p>
        </w:tc>
        <w:tc>
          <w:tcPr>
            <w:tcW w:w="3119" w:type="dxa"/>
            <w:vAlign w:val="center"/>
          </w:tcPr>
          <w:p w14:paraId="598EF6EC" w14:textId="4824BAC9" w:rsidR="00A95E5F" w:rsidRPr="00C553D7" w:rsidRDefault="00492836" w:rsidP="00EC0F71">
            <w:pPr>
              <w:pStyle w:val="Default"/>
              <w:jc w:val="center"/>
              <w:rPr>
                <w:rFonts w:asciiTheme="minorHAnsi" w:hAnsiTheme="minorHAnsi" w:cstheme="minorHAnsi"/>
                <w:b/>
                <w:bCs/>
                <w:sz w:val="20"/>
                <w:szCs w:val="20"/>
                <w:lang w:val="fr-CH"/>
              </w:rPr>
            </w:pPr>
            <w:r w:rsidRPr="00C553D7">
              <w:rPr>
                <w:rFonts w:asciiTheme="minorHAnsi" w:hAnsiTheme="minorHAnsi" w:cstheme="minorHAnsi"/>
                <w:b/>
                <w:bCs/>
                <w:sz w:val="20"/>
                <w:szCs w:val="20"/>
                <w:lang w:val="fr-CH"/>
              </w:rPr>
              <w:t>Recommandations</w:t>
            </w:r>
            <w:r w:rsidR="006A69DF" w:rsidRPr="00C553D7">
              <w:rPr>
                <w:rFonts w:asciiTheme="minorHAnsi" w:hAnsiTheme="minorHAnsi" w:cstheme="minorHAnsi"/>
                <w:b/>
                <w:bCs/>
                <w:sz w:val="20"/>
                <w:szCs w:val="20"/>
                <w:lang w:val="fr-CH"/>
              </w:rPr>
              <w:t xml:space="preserve"> </w:t>
            </w:r>
            <w:r w:rsidR="00E461FB">
              <w:rPr>
                <w:rFonts w:asciiTheme="minorHAnsi" w:hAnsiTheme="minorHAnsi" w:cstheme="minorHAnsi"/>
                <w:b/>
                <w:bCs/>
                <w:sz w:val="20"/>
                <w:szCs w:val="20"/>
                <w:lang w:val="fr-CH"/>
              </w:rPr>
              <w:t>du</w:t>
            </w:r>
            <w:r>
              <w:rPr>
                <w:rFonts w:asciiTheme="minorHAnsi" w:hAnsiTheme="minorHAnsi" w:cstheme="minorHAnsi"/>
                <w:b/>
                <w:bCs/>
                <w:sz w:val="20"/>
                <w:szCs w:val="20"/>
                <w:lang w:val="fr-CH"/>
              </w:rPr>
              <w:t xml:space="preserve"> Secrétariat</w:t>
            </w:r>
          </w:p>
        </w:tc>
      </w:tr>
      <w:tr w:rsidR="00EC0F71" w:rsidRPr="00EA3CC7" w14:paraId="48C4D067" w14:textId="77777777" w:rsidTr="00ED6197">
        <w:tc>
          <w:tcPr>
            <w:tcW w:w="1418" w:type="dxa"/>
          </w:tcPr>
          <w:p w14:paraId="0E2911FD" w14:textId="6265B1F2" w:rsidR="00A95E5F" w:rsidRPr="00C553D7" w:rsidRDefault="0086199D" w:rsidP="008E7036">
            <w:pPr>
              <w:pStyle w:val="Default"/>
              <w:rPr>
                <w:rFonts w:asciiTheme="minorHAnsi" w:hAnsiTheme="minorHAnsi"/>
                <w:sz w:val="20"/>
                <w:lang w:val="fr-CH"/>
              </w:rPr>
            </w:pPr>
            <w:r w:rsidRPr="00C553D7">
              <w:rPr>
                <w:rFonts w:asciiTheme="minorHAnsi" w:hAnsiTheme="minorHAnsi"/>
                <w:sz w:val="20"/>
                <w:lang w:val="fr-CH"/>
              </w:rPr>
              <w:t>1.</w:t>
            </w:r>
            <w:r w:rsidR="00A95E5F" w:rsidRPr="00C553D7">
              <w:rPr>
                <w:rFonts w:asciiTheme="minorHAnsi" w:hAnsiTheme="minorHAnsi"/>
                <w:sz w:val="20"/>
                <w:lang w:val="fr-CH"/>
              </w:rPr>
              <w:t xml:space="preserve"> </w:t>
            </w:r>
            <w:r w:rsidR="00492836">
              <w:rPr>
                <w:rFonts w:asciiTheme="minorHAnsi" w:hAnsiTheme="minorHAnsi"/>
                <w:sz w:val="20"/>
                <w:lang w:val="fr-CH"/>
              </w:rPr>
              <w:t>Dispositions administratives</w:t>
            </w:r>
          </w:p>
        </w:tc>
        <w:tc>
          <w:tcPr>
            <w:tcW w:w="2031" w:type="dxa"/>
            <w:shd w:val="clear" w:color="auto" w:fill="auto"/>
          </w:tcPr>
          <w:p w14:paraId="58A3BE65" w14:textId="2C515736" w:rsidR="00A95E5F" w:rsidRPr="00C553D7" w:rsidRDefault="00A95E5F" w:rsidP="008E7036">
            <w:pPr>
              <w:rPr>
                <w:sz w:val="20"/>
                <w:u w:val="single"/>
                <w:lang w:val="fr-CH"/>
              </w:rPr>
            </w:pPr>
            <w:r w:rsidRPr="00C553D7">
              <w:rPr>
                <w:sz w:val="20"/>
                <w:u w:val="single"/>
                <w:lang w:val="fr-CH"/>
              </w:rPr>
              <w:t>D</w:t>
            </w:r>
            <w:r w:rsidR="00976DDA">
              <w:rPr>
                <w:sz w:val="20"/>
                <w:u w:val="single"/>
                <w:lang w:val="fr-CH"/>
              </w:rPr>
              <w:t xml:space="preserve">élégation </w:t>
            </w:r>
            <w:r w:rsidR="00BA7BAC">
              <w:rPr>
                <w:sz w:val="20"/>
                <w:u w:val="single"/>
                <w:lang w:val="fr-CH"/>
              </w:rPr>
              <w:t>de pouvoirs</w:t>
            </w:r>
            <w:r w:rsidR="00976DDA">
              <w:rPr>
                <w:sz w:val="20"/>
                <w:u w:val="single"/>
                <w:lang w:val="fr-CH"/>
              </w:rPr>
              <w:t xml:space="preserve"> (Do</w:t>
            </w:r>
            <w:r w:rsidR="00BA7BAC">
              <w:rPr>
                <w:sz w:val="20"/>
                <w:u w:val="single"/>
                <w:lang w:val="fr-CH"/>
              </w:rPr>
              <w:t>P</w:t>
            </w:r>
            <w:r w:rsidR="00976DDA">
              <w:rPr>
                <w:sz w:val="20"/>
                <w:u w:val="single"/>
                <w:lang w:val="fr-CH"/>
              </w:rPr>
              <w:t>) et Lettre d’accord (LoA).</w:t>
            </w:r>
            <w:r w:rsidR="002129DD">
              <w:rPr>
                <w:sz w:val="20"/>
                <w:u w:val="single"/>
                <w:lang w:val="fr-CH"/>
              </w:rPr>
              <w:t xml:space="preserve"> </w:t>
            </w:r>
          </w:p>
          <w:p w14:paraId="1CCC1E55" w14:textId="77777777" w:rsidR="00A95E5F" w:rsidRPr="00C553D7" w:rsidRDefault="00A95E5F" w:rsidP="008E7036">
            <w:pPr>
              <w:rPr>
                <w:sz w:val="20"/>
                <w:lang w:val="fr-CH"/>
              </w:rPr>
            </w:pPr>
          </w:p>
          <w:p w14:paraId="5DB45D19" w14:textId="581F6E0B" w:rsidR="00A95E5F" w:rsidRPr="00C553D7" w:rsidRDefault="00976DDA" w:rsidP="00BF07F3">
            <w:pPr>
              <w:rPr>
                <w:sz w:val="20"/>
                <w:lang w:val="fr-CH"/>
              </w:rPr>
            </w:pPr>
            <w:r>
              <w:rPr>
                <w:sz w:val="20"/>
                <w:lang w:val="fr-CH"/>
              </w:rPr>
              <w:t>Le Secrétariat est habilité à signer des contrats de manière autonome vis</w:t>
            </w:r>
            <w:r>
              <w:rPr>
                <w:sz w:val="20"/>
                <w:lang w:val="fr-CH"/>
              </w:rPr>
              <w:noBreakHyphen/>
              <w:t>à</w:t>
            </w:r>
            <w:r>
              <w:rPr>
                <w:sz w:val="20"/>
                <w:lang w:val="fr-CH"/>
              </w:rPr>
              <w:noBreakHyphen/>
              <w:t>vis de l’UICN (c’est</w:t>
            </w:r>
            <w:r>
              <w:rPr>
                <w:sz w:val="20"/>
                <w:lang w:val="fr-CH"/>
              </w:rPr>
              <w:noBreakHyphen/>
              <w:t>à</w:t>
            </w:r>
            <w:r>
              <w:rPr>
                <w:sz w:val="20"/>
                <w:lang w:val="fr-CH"/>
              </w:rPr>
              <w:noBreakHyphen/>
              <w:t xml:space="preserve">dire sans que l’UICN ait besoin de signer au nom du Secrétariat ou </w:t>
            </w:r>
            <w:r w:rsidR="00BA7BAC">
              <w:rPr>
                <w:sz w:val="20"/>
                <w:lang w:val="fr-CH"/>
              </w:rPr>
              <w:t>conjointement</w:t>
            </w:r>
            <w:r>
              <w:rPr>
                <w:sz w:val="20"/>
                <w:lang w:val="fr-CH"/>
              </w:rPr>
              <w:t xml:space="preserve"> avec lui). Toutefois, la capacité du Secrétariat de signer directement des contrats avec des donateurs, des partenaires dans l’</w:t>
            </w:r>
            <w:r w:rsidR="00BA7BAC">
              <w:rPr>
                <w:sz w:val="20"/>
                <w:lang w:val="fr-CH"/>
              </w:rPr>
              <w:t>exécution des tâches</w:t>
            </w:r>
            <w:r>
              <w:rPr>
                <w:sz w:val="20"/>
                <w:lang w:val="fr-CH"/>
              </w:rPr>
              <w:t xml:space="preserve"> et des tiers </w:t>
            </w:r>
            <w:r w:rsidR="00BA7BAC">
              <w:rPr>
                <w:sz w:val="20"/>
                <w:lang w:val="fr-CH"/>
              </w:rPr>
              <w:t xml:space="preserve">est limitée et il y a </w:t>
            </w:r>
            <w:r>
              <w:rPr>
                <w:sz w:val="20"/>
                <w:lang w:val="fr-CH"/>
              </w:rPr>
              <w:t xml:space="preserve">des </w:t>
            </w:r>
            <w:r w:rsidR="00BA7BAC">
              <w:rPr>
                <w:sz w:val="20"/>
                <w:lang w:val="fr-CH"/>
              </w:rPr>
              <w:t>problèmes</w:t>
            </w:r>
            <w:r>
              <w:rPr>
                <w:sz w:val="20"/>
                <w:lang w:val="fr-CH"/>
              </w:rPr>
              <w:t xml:space="preserve"> de gestion des projets </w:t>
            </w:r>
            <w:r w:rsidR="00BA7BAC">
              <w:rPr>
                <w:sz w:val="20"/>
                <w:lang w:val="fr-CH"/>
              </w:rPr>
              <w:t>dus à</w:t>
            </w:r>
            <w:r>
              <w:rPr>
                <w:sz w:val="20"/>
                <w:lang w:val="fr-CH"/>
              </w:rPr>
              <w:t xml:space="preserve"> la capacité juridique de signer des contrats, en particulier </w:t>
            </w:r>
            <w:r>
              <w:rPr>
                <w:sz w:val="20"/>
                <w:lang w:val="fr-CH"/>
              </w:rPr>
              <w:lastRenderedPageBreak/>
              <w:t xml:space="preserve">lorsque les donateurs n’acceptent pas la délégation </w:t>
            </w:r>
            <w:r w:rsidR="00BA7BAC">
              <w:rPr>
                <w:sz w:val="20"/>
                <w:lang w:val="fr-CH"/>
              </w:rPr>
              <w:t>de pouvoirs</w:t>
            </w:r>
            <w:r>
              <w:rPr>
                <w:sz w:val="20"/>
                <w:lang w:val="fr-CH"/>
              </w:rPr>
              <w:t xml:space="preserve"> au Secrétaire général et demandent que les projets soient signés par l’UICN.</w:t>
            </w:r>
            <w:r w:rsidR="002129DD">
              <w:rPr>
                <w:sz w:val="20"/>
                <w:lang w:val="fr-CH"/>
              </w:rPr>
              <w:t xml:space="preserve"> </w:t>
            </w:r>
          </w:p>
        </w:tc>
        <w:tc>
          <w:tcPr>
            <w:tcW w:w="2032" w:type="dxa"/>
            <w:shd w:val="clear" w:color="auto" w:fill="auto"/>
          </w:tcPr>
          <w:p w14:paraId="6B646717" w14:textId="59AD9AAC" w:rsidR="00A95E5F" w:rsidRPr="00C553D7" w:rsidRDefault="00A95E5F" w:rsidP="008E7036">
            <w:pPr>
              <w:rPr>
                <w:sz w:val="20"/>
                <w:u w:val="single"/>
                <w:lang w:val="fr-CH"/>
              </w:rPr>
            </w:pPr>
            <w:r w:rsidRPr="00C553D7">
              <w:rPr>
                <w:sz w:val="20"/>
                <w:u w:val="single"/>
                <w:lang w:val="fr-CH"/>
              </w:rPr>
              <w:lastRenderedPageBreak/>
              <w:t xml:space="preserve">Provisions </w:t>
            </w:r>
            <w:r w:rsidR="00E37341">
              <w:rPr>
                <w:sz w:val="20"/>
                <w:u w:val="single"/>
                <w:lang w:val="fr-CH"/>
              </w:rPr>
              <w:t>pour contributions non payées</w:t>
            </w:r>
          </w:p>
          <w:p w14:paraId="05D3C37D" w14:textId="77777777" w:rsidR="00A95E5F" w:rsidRPr="00C553D7" w:rsidRDefault="00A95E5F" w:rsidP="008E7036">
            <w:pPr>
              <w:rPr>
                <w:rStyle w:val="cf01"/>
                <w:rFonts w:asciiTheme="minorHAnsi" w:hAnsiTheme="minorHAnsi"/>
                <w:sz w:val="20"/>
                <w:u w:val="single"/>
                <w:lang w:val="fr-CH"/>
              </w:rPr>
            </w:pPr>
          </w:p>
          <w:p w14:paraId="27FF35B4" w14:textId="3F6706A2" w:rsidR="00A95E5F" w:rsidRPr="00C553D7" w:rsidRDefault="0050604B" w:rsidP="008E7036">
            <w:pPr>
              <w:rPr>
                <w:sz w:val="20"/>
                <w:lang w:val="fr-CH"/>
              </w:rPr>
            </w:pPr>
            <w:r>
              <w:rPr>
                <w:sz w:val="20"/>
                <w:lang w:val="fr-CH"/>
              </w:rPr>
              <w:t>Pour se mettre en</w:t>
            </w:r>
            <w:r w:rsidR="00260623">
              <w:rPr>
                <w:sz w:val="20"/>
                <w:lang w:val="fr-CH"/>
              </w:rPr>
              <w:t xml:space="preserve"> conformité</w:t>
            </w:r>
            <w:r w:rsidR="00C34AA2">
              <w:rPr>
                <w:sz w:val="20"/>
                <w:lang w:val="fr-CH"/>
              </w:rPr>
              <w:t xml:space="preserve"> avec le droit suisse, le Comité permanent, dans la Décision </w:t>
            </w:r>
            <w:r w:rsidR="00A95E5F" w:rsidRPr="00C553D7">
              <w:rPr>
                <w:sz w:val="20"/>
                <w:lang w:val="fr-CH"/>
              </w:rPr>
              <w:t>SC57</w:t>
            </w:r>
            <w:r w:rsidR="00C34AA2">
              <w:rPr>
                <w:sz w:val="20"/>
                <w:lang w:val="fr-CH"/>
              </w:rPr>
              <w:noBreakHyphen/>
            </w:r>
            <w:r w:rsidR="00A95E5F" w:rsidRPr="00C553D7">
              <w:rPr>
                <w:sz w:val="20"/>
                <w:lang w:val="fr-CH"/>
              </w:rPr>
              <w:t>39 (</w:t>
            </w:r>
            <w:r w:rsidR="00C34AA2">
              <w:rPr>
                <w:sz w:val="20"/>
                <w:lang w:val="fr-CH"/>
              </w:rPr>
              <w:t>juin </w:t>
            </w:r>
            <w:r w:rsidR="00A95E5F" w:rsidRPr="00C553D7">
              <w:rPr>
                <w:sz w:val="20"/>
                <w:lang w:val="fr-CH"/>
              </w:rPr>
              <w:t>2019)</w:t>
            </w:r>
            <w:r w:rsidR="00C34AA2">
              <w:rPr>
                <w:sz w:val="20"/>
                <w:lang w:val="fr-CH"/>
              </w:rPr>
              <w:t>,</w:t>
            </w:r>
            <w:r w:rsidR="00A95E5F" w:rsidRPr="00C553D7">
              <w:rPr>
                <w:sz w:val="20"/>
                <w:lang w:val="fr-CH"/>
              </w:rPr>
              <w:t xml:space="preserve"> </w:t>
            </w:r>
            <w:r w:rsidR="00C34AA2">
              <w:rPr>
                <w:sz w:val="20"/>
                <w:lang w:val="fr-CH"/>
              </w:rPr>
              <w:t>a convenu d’augmenter la provision à 100 % pour tous les soldes à payer</w:t>
            </w:r>
            <w:r>
              <w:rPr>
                <w:sz w:val="20"/>
                <w:lang w:val="fr-CH"/>
              </w:rPr>
              <w:t>,</w:t>
            </w:r>
            <w:r w:rsidR="00C34AA2">
              <w:rPr>
                <w:sz w:val="20"/>
                <w:lang w:val="fr-CH"/>
              </w:rPr>
              <w:t xml:space="preserve"> pour les Parties contractantes n’ayant pas versé leur </w:t>
            </w:r>
            <w:r>
              <w:rPr>
                <w:sz w:val="20"/>
                <w:lang w:val="fr-CH"/>
              </w:rPr>
              <w:t>contribution</w:t>
            </w:r>
            <w:r w:rsidR="00C34AA2">
              <w:rPr>
                <w:sz w:val="20"/>
                <w:lang w:val="fr-CH"/>
              </w:rPr>
              <w:t xml:space="preserve"> depuis quatre ans. Le droit suisse exige de la Convention qu’elle réserve un</w:t>
            </w:r>
            <w:r>
              <w:rPr>
                <w:sz w:val="20"/>
                <w:lang w:val="fr-CH"/>
              </w:rPr>
              <w:t>e</w:t>
            </w:r>
            <w:r w:rsidR="00C34AA2">
              <w:rPr>
                <w:sz w:val="20"/>
                <w:lang w:val="fr-CH"/>
              </w:rPr>
              <w:t xml:space="preserve"> provision pour contributions non payées </w:t>
            </w:r>
            <w:r>
              <w:rPr>
                <w:sz w:val="20"/>
                <w:lang w:val="fr-CH"/>
              </w:rPr>
              <w:t>supérieure à celle</w:t>
            </w:r>
            <w:r w:rsidR="00C34AA2">
              <w:rPr>
                <w:sz w:val="20"/>
                <w:lang w:val="fr-CH"/>
              </w:rPr>
              <w:t xml:space="preserve"> </w:t>
            </w:r>
            <w:r>
              <w:rPr>
                <w:sz w:val="20"/>
                <w:lang w:val="fr-CH"/>
              </w:rPr>
              <w:t>d</w:t>
            </w:r>
            <w:r w:rsidR="00C34AA2">
              <w:rPr>
                <w:sz w:val="20"/>
                <w:lang w:val="fr-CH"/>
              </w:rPr>
              <w:t xml:space="preserve">es Conventions </w:t>
            </w:r>
            <w:r>
              <w:rPr>
                <w:sz w:val="20"/>
                <w:lang w:val="fr-CH"/>
              </w:rPr>
              <w:t>du système des Nations Unies</w:t>
            </w:r>
            <w:r w:rsidR="00C34AA2">
              <w:rPr>
                <w:sz w:val="20"/>
                <w:lang w:val="fr-CH"/>
              </w:rPr>
              <w:t xml:space="preserve"> qui </w:t>
            </w:r>
            <w:r>
              <w:rPr>
                <w:sz w:val="20"/>
                <w:lang w:val="fr-CH"/>
              </w:rPr>
              <w:lastRenderedPageBreak/>
              <w:t>appliquent</w:t>
            </w:r>
            <w:r w:rsidR="00C34AA2">
              <w:rPr>
                <w:sz w:val="20"/>
                <w:lang w:val="fr-CH"/>
              </w:rPr>
              <w:t xml:space="preserve"> les </w:t>
            </w:r>
            <w:r>
              <w:rPr>
                <w:sz w:val="20"/>
                <w:lang w:val="fr-CH"/>
              </w:rPr>
              <w:t>normes</w:t>
            </w:r>
            <w:r w:rsidR="00C34AA2">
              <w:rPr>
                <w:sz w:val="20"/>
                <w:lang w:val="fr-CH"/>
              </w:rPr>
              <w:t xml:space="preserve"> </w:t>
            </w:r>
            <w:r w:rsidR="00A95E5F" w:rsidRPr="00C553D7">
              <w:rPr>
                <w:sz w:val="20"/>
                <w:lang w:val="fr-CH"/>
              </w:rPr>
              <w:t>IPSAS.</w:t>
            </w:r>
            <w:r w:rsidR="002129DD">
              <w:rPr>
                <w:sz w:val="20"/>
                <w:lang w:val="fr-CH"/>
              </w:rPr>
              <w:t xml:space="preserve"> </w:t>
            </w:r>
          </w:p>
        </w:tc>
        <w:tc>
          <w:tcPr>
            <w:tcW w:w="2032" w:type="dxa"/>
            <w:shd w:val="clear" w:color="auto" w:fill="auto"/>
          </w:tcPr>
          <w:p w14:paraId="04BC0313" w14:textId="688009A6" w:rsidR="00A95E5F" w:rsidRPr="00C553D7" w:rsidRDefault="007125BA" w:rsidP="008E7036">
            <w:pPr>
              <w:pStyle w:val="Default"/>
              <w:rPr>
                <w:rFonts w:asciiTheme="minorHAnsi" w:hAnsiTheme="minorHAnsi"/>
                <w:sz w:val="20"/>
                <w:u w:val="single"/>
                <w:lang w:val="fr-CH"/>
              </w:rPr>
            </w:pPr>
            <w:r>
              <w:rPr>
                <w:rFonts w:asciiTheme="minorHAnsi" w:hAnsiTheme="minorHAnsi"/>
                <w:sz w:val="20"/>
                <w:u w:val="single"/>
                <w:lang w:val="fr-CH"/>
              </w:rPr>
              <w:lastRenderedPageBreak/>
              <w:t xml:space="preserve">Manque d’accès du personnel en mission à l’assistance logistique et sécuritaire des Nations Unies </w:t>
            </w:r>
          </w:p>
          <w:p w14:paraId="3BCEAAB9" w14:textId="77777777" w:rsidR="00A95E5F" w:rsidRPr="00C553D7" w:rsidRDefault="00A95E5F" w:rsidP="008E7036">
            <w:pPr>
              <w:pStyle w:val="Default"/>
              <w:rPr>
                <w:rFonts w:asciiTheme="minorHAnsi" w:hAnsiTheme="minorHAnsi"/>
                <w:sz w:val="20"/>
                <w:u w:val="single"/>
                <w:lang w:val="fr-CH"/>
              </w:rPr>
            </w:pPr>
          </w:p>
          <w:p w14:paraId="0278453E" w14:textId="400F9DEA" w:rsidR="00A95E5F" w:rsidRPr="00C553D7" w:rsidRDefault="007125BA" w:rsidP="00C647D0">
            <w:pPr>
              <w:pStyle w:val="Default"/>
              <w:rPr>
                <w:rFonts w:asciiTheme="minorHAnsi" w:hAnsiTheme="minorHAnsi"/>
                <w:sz w:val="20"/>
                <w:lang w:val="fr-CH"/>
              </w:rPr>
            </w:pPr>
            <w:r>
              <w:rPr>
                <w:rFonts w:asciiTheme="minorHAnsi" w:hAnsiTheme="minorHAnsi"/>
                <w:sz w:val="20"/>
                <w:lang w:val="fr-CH"/>
              </w:rPr>
              <w:t xml:space="preserve">Le personnel du Secrétariat n’a pas accès à un réseau d’aide logistique et sécuritaire, comme le personnel des Nations Unies dans les pays où il </w:t>
            </w:r>
            <w:r w:rsidR="00E461FB">
              <w:rPr>
                <w:rFonts w:asciiTheme="minorHAnsi" w:hAnsiTheme="minorHAnsi"/>
                <w:sz w:val="20"/>
                <w:lang w:val="fr-CH"/>
              </w:rPr>
              <w:t>y a</w:t>
            </w:r>
            <w:r>
              <w:rPr>
                <w:rFonts w:asciiTheme="minorHAnsi" w:hAnsiTheme="minorHAnsi"/>
                <w:sz w:val="20"/>
                <w:lang w:val="fr-CH"/>
              </w:rPr>
              <w:t xml:space="preserve"> un risque </w:t>
            </w:r>
            <w:r w:rsidR="00E461FB">
              <w:rPr>
                <w:rFonts w:asciiTheme="minorHAnsi" w:hAnsiTheme="minorHAnsi"/>
                <w:sz w:val="20"/>
                <w:lang w:val="fr-CH"/>
              </w:rPr>
              <w:t>en matière de</w:t>
            </w:r>
            <w:r>
              <w:rPr>
                <w:rFonts w:asciiTheme="minorHAnsi" w:hAnsiTheme="minorHAnsi"/>
                <w:sz w:val="20"/>
                <w:lang w:val="fr-CH"/>
              </w:rPr>
              <w:t xml:space="preserve"> sécurité et </w:t>
            </w:r>
            <w:r w:rsidR="00E461FB">
              <w:rPr>
                <w:rFonts w:asciiTheme="minorHAnsi" w:hAnsiTheme="minorHAnsi"/>
                <w:sz w:val="20"/>
                <w:lang w:val="fr-CH"/>
              </w:rPr>
              <w:t>de</w:t>
            </w:r>
            <w:r>
              <w:rPr>
                <w:rFonts w:asciiTheme="minorHAnsi" w:hAnsiTheme="minorHAnsi"/>
                <w:sz w:val="20"/>
                <w:lang w:val="fr-CH"/>
              </w:rPr>
              <w:t xml:space="preserve"> bien</w:t>
            </w:r>
            <w:r>
              <w:rPr>
                <w:rFonts w:asciiTheme="minorHAnsi" w:hAnsiTheme="minorHAnsi"/>
                <w:sz w:val="20"/>
                <w:lang w:val="fr-CH"/>
              </w:rPr>
              <w:noBreakHyphen/>
              <w:t xml:space="preserve">être du personnel. </w:t>
            </w:r>
          </w:p>
          <w:p w14:paraId="5B04FA51" w14:textId="77777777" w:rsidR="00A95E5F" w:rsidRPr="00C553D7" w:rsidRDefault="00A95E5F" w:rsidP="00C647D0">
            <w:pPr>
              <w:pStyle w:val="Default"/>
              <w:rPr>
                <w:rFonts w:asciiTheme="minorHAnsi" w:hAnsiTheme="minorHAnsi"/>
                <w:sz w:val="20"/>
                <w:u w:val="single"/>
                <w:lang w:val="fr-CH"/>
              </w:rPr>
            </w:pPr>
          </w:p>
        </w:tc>
        <w:tc>
          <w:tcPr>
            <w:tcW w:w="1418" w:type="dxa"/>
          </w:tcPr>
          <w:p w14:paraId="6903E85E" w14:textId="41D02681" w:rsidR="00A95E5F" w:rsidRPr="00C553D7" w:rsidRDefault="00A95E5F" w:rsidP="008E7036">
            <w:pPr>
              <w:pStyle w:val="Default"/>
              <w:rPr>
                <w:rFonts w:asciiTheme="minorHAnsi" w:hAnsiTheme="minorHAnsi"/>
                <w:b/>
                <w:sz w:val="20"/>
                <w:lang w:val="fr-CH"/>
              </w:rPr>
            </w:pPr>
            <w:r w:rsidRPr="00C553D7">
              <w:rPr>
                <w:rFonts w:asciiTheme="minorHAnsi" w:hAnsiTheme="minorHAnsi"/>
                <w:b/>
                <w:sz w:val="20"/>
                <w:lang w:val="fr-CH"/>
              </w:rPr>
              <w:t>5</w:t>
            </w:r>
          </w:p>
        </w:tc>
        <w:tc>
          <w:tcPr>
            <w:tcW w:w="3118" w:type="dxa"/>
          </w:tcPr>
          <w:p w14:paraId="55F6410E" w14:textId="53F052CC" w:rsidR="00A95E5F" w:rsidRPr="00C553D7" w:rsidRDefault="00FD353D" w:rsidP="00EC0F71">
            <w:pPr>
              <w:pStyle w:val="Default"/>
              <w:numPr>
                <w:ilvl w:val="0"/>
                <w:numId w:val="7"/>
              </w:numPr>
              <w:ind w:left="180" w:hanging="180"/>
              <w:rPr>
                <w:rFonts w:asciiTheme="minorHAnsi" w:hAnsiTheme="minorHAnsi"/>
                <w:sz w:val="20"/>
                <w:lang w:val="fr-CH"/>
              </w:rPr>
            </w:pPr>
            <w:r>
              <w:rPr>
                <w:rFonts w:asciiTheme="minorHAnsi" w:hAnsiTheme="minorHAnsi"/>
                <w:sz w:val="20"/>
                <w:lang w:val="fr-CH"/>
              </w:rPr>
              <w:t xml:space="preserve">Établir un Groupe de travail pour piloter le processus </w:t>
            </w:r>
            <w:r w:rsidR="00E461FB">
              <w:rPr>
                <w:rFonts w:asciiTheme="minorHAnsi" w:hAnsiTheme="minorHAnsi"/>
                <w:sz w:val="20"/>
                <w:lang w:val="fr-CH"/>
              </w:rPr>
              <w:t>visant au</w:t>
            </w:r>
            <w:r>
              <w:rPr>
                <w:rFonts w:asciiTheme="minorHAnsi" w:hAnsiTheme="minorHAnsi"/>
                <w:sz w:val="20"/>
                <w:lang w:val="fr-CH"/>
              </w:rPr>
              <w:t xml:space="preserve"> renforcement institutionnel pour soutenir l’application de la Convention, y compris par la préparation d’un projet de résolution pour examen à la 63</w:t>
            </w:r>
            <w:r w:rsidRPr="00FD353D">
              <w:rPr>
                <w:rFonts w:asciiTheme="minorHAnsi" w:hAnsiTheme="minorHAnsi"/>
                <w:sz w:val="20"/>
                <w:vertAlign w:val="superscript"/>
                <w:lang w:val="fr-CH"/>
              </w:rPr>
              <w:t>e</w:t>
            </w:r>
            <w:r>
              <w:rPr>
                <w:rFonts w:asciiTheme="minorHAnsi" w:hAnsiTheme="minorHAnsi"/>
                <w:sz w:val="20"/>
                <w:lang w:val="fr-CH"/>
              </w:rPr>
              <w:t> Réunion du Comité permanent et à la COP15.</w:t>
            </w:r>
          </w:p>
          <w:p w14:paraId="632A86EF" w14:textId="33C828DC" w:rsidR="00A52174" w:rsidRPr="00C553D7" w:rsidRDefault="00FD353D" w:rsidP="00EC0F71">
            <w:pPr>
              <w:pStyle w:val="Default"/>
              <w:numPr>
                <w:ilvl w:val="0"/>
                <w:numId w:val="7"/>
              </w:numPr>
              <w:ind w:left="180" w:hanging="180"/>
              <w:rPr>
                <w:rFonts w:asciiTheme="minorHAnsi" w:hAnsiTheme="minorHAnsi"/>
                <w:sz w:val="20"/>
                <w:lang w:val="fr-CH"/>
              </w:rPr>
            </w:pPr>
            <w:r>
              <w:rPr>
                <w:rFonts w:asciiTheme="minorHAnsi" w:hAnsiTheme="minorHAnsi"/>
                <w:sz w:val="20"/>
                <w:lang w:val="fr-CH"/>
              </w:rPr>
              <w:t xml:space="preserve">Transition intégrale du Secrétariat vers le système des Nations Unies. </w:t>
            </w:r>
          </w:p>
          <w:p w14:paraId="71875849" w14:textId="3E21AC83" w:rsidR="00A95E5F" w:rsidRPr="00C553D7" w:rsidRDefault="00FD353D" w:rsidP="00EC0F71">
            <w:pPr>
              <w:pStyle w:val="ListParagraph"/>
              <w:numPr>
                <w:ilvl w:val="0"/>
                <w:numId w:val="7"/>
              </w:numPr>
              <w:ind w:left="180" w:hanging="180"/>
              <w:contextualSpacing w:val="0"/>
              <w:rPr>
                <w:color w:val="000000"/>
                <w:sz w:val="20"/>
                <w:lang w:val="fr-CH"/>
              </w:rPr>
            </w:pPr>
            <w:r>
              <w:rPr>
                <w:color w:val="000000"/>
                <w:sz w:val="20"/>
                <w:lang w:val="fr-CH"/>
              </w:rPr>
              <w:t xml:space="preserve">Les questions pourraient bénéficier d’une approche diverse et d’une considération de solutions à court terme, plus simples sur le plan administratif dans le cadre des recommandations. </w:t>
            </w:r>
            <w:r w:rsidR="00E461FB">
              <w:rPr>
                <w:color w:val="000000"/>
                <w:sz w:val="20"/>
                <w:lang w:val="fr-CH"/>
              </w:rPr>
              <w:t xml:space="preserve">Il pourrait y avoir une </w:t>
            </w:r>
            <w:r>
              <w:rPr>
                <w:color w:val="000000"/>
                <w:sz w:val="20"/>
                <w:lang w:val="fr-CH"/>
              </w:rPr>
              <w:t>renégociation de la Lo</w:t>
            </w:r>
            <w:r w:rsidR="00E461FB">
              <w:rPr>
                <w:color w:val="000000"/>
                <w:sz w:val="20"/>
                <w:lang w:val="fr-CH"/>
              </w:rPr>
              <w:t>A</w:t>
            </w:r>
            <w:r>
              <w:rPr>
                <w:color w:val="000000"/>
                <w:sz w:val="20"/>
                <w:lang w:val="fr-CH"/>
              </w:rPr>
              <w:t xml:space="preserve"> avec l’UICN ou un dialogue semblable. </w:t>
            </w:r>
          </w:p>
          <w:p w14:paraId="7052E413" w14:textId="3D92FBE1" w:rsidR="00A95E5F" w:rsidRPr="00C553D7" w:rsidRDefault="00FD353D" w:rsidP="00EC0F71">
            <w:pPr>
              <w:pStyle w:val="ListParagraph"/>
              <w:numPr>
                <w:ilvl w:val="0"/>
                <w:numId w:val="7"/>
              </w:numPr>
              <w:ind w:left="180" w:hanging="180"/>
              <w:contextualSpacing w:val="0"/>
              <w:rPr>
                <w:color w:val="000000"/>
                <w:sz w:val="20"/>
                <w:lang w:val="fr-CH"/>
              </w:rPr>
            </w:pPr>
            <w:r>
              <w:rPr>
                <w:color w:val="000000"/>
                <w:sz w:val="20"/>
                <w:lang w:val="fr-CH"/>
              </w:rPr>
              <w:t xml:space="preserve">Le Secrétariat doit rencontrer bilatéralement d’autres Parties intéressées qui ne sont pas présentes aux réunions afin d’obtenir leur </w:t>
            </w:r>
            <w:r w:rsidR="00E461FB">
              <w:rPr>
                <w:color w:val="000000"/>
                <w:sz w:val="20"/>
                <w:lang w:val="fr-CH"/>
              </w:rPr>
              <w:t xml:space="preserve">avis </w:t>
            </w:r>
            <w:r>
              <w:rPr>
                <w:color w:val="000000"/>
                <w:sz w:val="20"/>
                <w:lang w:val="fr-CH"/>
              </w:rPr>
              <w:t xml:space="preserve">pour que le </w:t>
            </w:r>
            <w:r>
              <w:rPr>
                <w:color w:val="000000"/>
                <w:sz w:val="20"/>
                <w:lang w:val="fr-CH"/>
              </w:rPr>
              <w:lastRenderedPageBreak/>
              <w:t>document bénéficie de perspectives diverses et pour faciliter les discussions à la 62</w:t>
            </w:r>
            <w:r w:rsidRPr="00FD353D">
              <w:rPr>
                <w:color w:val="000000"/>
                <w:sz w:val="20"/>
                <w:vertAlign w:val="superscript"/>
                <w:lang w:val="fr-CH"/>
              </w:rPr>
              <w:t>e</w:t>
            </w:r>
            <w:r>
              <w:rPr>
                <w:color w:val="000000"/>
                <w:sz w:val="20"/>
                <w:lang w:val="fr-CH"/>
              </w:rPr>
              <w:t> Réunion du Comité permanent.</w:t>
            </w:r>
          </w:p>
          <w:p w14:paraId="37049AF9" w14:textId="2915B7F3" w:rsidR="00A95E5F" w:rsidRPr="00C553D7" w:rsidRDefault="00CE16D8" w:rsidP="00EC0F71">
            <w:pPr>
              <w:pStyle w:val="Default"/>
              <w:numPr>
                <w:ilvl w:val="0"/>
                <w:numId w:val="7"/>
              </w:numPr>
              <w:ind w:left="180" w:hanging="180"/>
              <w:rPr>
                <w:rFonts w:asciiTheme="minorHAnsi" w:hAnsiTheme="minorHAnsi"/>
                <w:sz w:val="20"/>
                <w:lang w:val="fr-CH"/>
              </w:rPr>
            </w:pPr>
            <w:r>
              <w:rPr>
                <w:rFonts w:asciiTheme="minorHAnsi" w:hAnsiTheme="minorHAnsi"/>
                <w:sz w:val="20"/>
                <w:lang w:val="fr-CH"/>
              </w:rPr>
              <w:t xml:space="preserve">Lors de l’élaboration des recommandations, il serait bon de tenir compte de la manière dont elles amélioreront l’application de la Convention ainsi que des risques potentiels </w:t>
            </w:r>
            <w:r w:rsidR="00E461FB">
              <w:rPr>
                <w:rFonts w:asciiTheme="minorHAnsi" w:hAnsiTheme="minorHAnsi"/>
                <w:sz w:val="20"/>
                <w:lang w:val="fr-CH"/>
              </w:rPr>
              <w:t>liés</w:t>
            </w:r>
            <w:r>
              <w:rPr>
                <w:rFonts w:asciiTheme="minorHAnsi" w:hAnsiTheme="minorHAnsi"/>
                <w:sz w:val="20"/>
                <w:lang w:val="fr-CH"/>
              </w:rPr>
              <w:t xml:space="preserve"> à la voie recommandée.</w:t>
            </w:r>
          </w:p>
          <w:p w14:paraId="46BA15DA" w14:textId="336EACDA" w:rsidR="00A95E5F" w:rsidRPr="00EA3CC7" w:rsidRDefault="00033257" w:rsidP="00EC0F71">
            <w:pPr>
              <w:pStyle w:val="Default"/>
              <w:numPr>
                <w:ilvl w:val="0"/>
                <w:numId w:val="7"/>
              </w:numPr>
              <w:ind w:left="180" w:hanging="180"/>
              <w:rPr>
                <w:rFonts w:asciiTheme="minorHAnsi" w:hAnsiTheme="minorHAnsi"/>
                <w:spacing w:val="-2"/>
                <w:sz w:val="20"/>
                <w:lang w:val="fr-CH"/>
              </w:rPr>
            </w:pPr>
            <w:r w:rsidRPr="00EA3CC7">
              <w:rPr>
                <w:rFonts w:asciiTheme="minorHAnsi" w:hAnsiTheme="minorHAnsi"/>
                <w:spacing w:val="-2"/>
                <w:sz w:val="20"/>
                <w:lang w:val="fr-CH"/>
              </w:rPr>
              <w:t>Participation du Groupe de travail sur la gestion et du Sous</w:t>
            </w:r>
            <w:r w:rsidRPr="00EA3CC7">
              <w:rPr>
                <w:rFonts w:asciiTheme="minorHAnsi" w:hAnsiTheme="minorHAnsi"/>
                <w:spacing w:val="-2"/>
                <w:sz w:val="20"/>
                <w:lang w:val="fr-CH"/>
              </w:rPr>
              <w:noBreakHyphen/>
              <w:t>groupe sur les finances pour évaluer la faisabilité</w:t>
            </w:r>
            <w:r w:rsidR="00E461FB" w:rsidRPr="00EA3CC7">
              <w:rPr>
                <w:rFonts w:asciiTheme="minorHAnsi" w:hAnsiTheme="minorHAnsi"/>
                <w:spacing w:val="-2"/>
                <w:sz w:val="20"/>
                <w:lang w:val="fr-CH"/>
              </w:rPr>
              <w:t>,</w:t>
            </w:r>
            <w:r w:rsidRPr="00EA3CC7">
              <w:rPr>
                <w:rFonts w:asciiTheme="minorHAnsi" w:hAnsiTheme="minorHAnsi"/>
                <w:spacing w:val="-2"/>
                <w:sz w:val="20"/>
                <w:lang w:val="fr-CH"/>
              </w:rPr>
              <w:t xml:space="preserve"> </w:t>
            </w:r>
            <w:r w:rsidR="00E461FB" w:rsidRPr="00EA3CC7">
              <w:rPr>
                <w:rFonts w:asciiTheme="minorHAnsi" w:hAnsiTheme="minorHAnsi"/>
                <w:spacing w:val="-2"/>
                <w:sz w:val="20"/>
                <w:lang w:val="fr-CH"/>
              </w:rPr>
              <w:t xml:space="preserve">pour le Secrétariat, </w:t>
            </w:r>
            <w:r w:rsidRPr="00EA3CC7">
              <w:rPr>
                <w:rFonts w:asciiTheme="minorHAnsi" w:hAnsiTheme="minorHAnsi"/>
                <w:spacing w:val="-2"/>
                <w:sz w:val="20"/>
                <w:lang w:val="fr-CH"/>
              </w:rPr>
              <w:t>de sign</w:t>
            </w:r>
            <w:r w:rsidR="00E461FB" w:rsidRPr="00EA3CC7">
              <w:rPr>
                <w:rFonts w:asciiTheme="minorHAnsi" w:hAnsiTheme="minorHAnsi"/>
                <w:spacing w:val="-2"/>
                <w:sz w:val="20"/>
                <w:lang w:val="fr-CH"/>
              </w:rPr>
              <w:t>er directement</w:t>
            </w:r>
            <w:r w:rsidRPr="00EA3CC7">
              <w:rPr>
                <w:rFonts w:asciiTheme="minorHAnsi" w:hAnsiTheme="minorHAnsi"/>
                <w:spacing w:val="-2"/>
                <w:sz w:val="20"/>
                <w:lang w:val="fr-CH"/>
              </w:rPr>
              <w:t xml:space="preserve"> de</w:t>
            </w:r>
            <w:r w:rsidR="00E461FB" w:rsidRPr="00EA3CC7">
              <w:rPr>
                <w:rFonts w:asciiTheme="minorHAnsi" w:hAnsiTheme="minorHAnsi"/>
                <w:spacing w:val="-2"/>
                <w:sz w:val="20"/>
                <w:lang w:val="fr-CH"/>
              </w:rPr>
              <w:t>s</w:t>
            </w:r>
            <w:r w:rsidRPr="00EA3CC7">
              <w:rPr>
                <w:rFonts w:asciiTheme="minorHAnsi" w:hAnsiTheme="minorHAnsi"/>
                <w:spacing w:val="-2"/>
                <w:sz w:val="20"/>
                <w:lang w:val="fr-CH"/>
              </w:rPr>
              <w:t xml:space="preserve"> contrats </w:t>
            </w:r>
            <w:r w:rsidR="00E461FB" w:rsidRPr="00EA3CC7">
              <w:rPr>
                <w:rFonts w:asciiTheme="minorHAnsi" w:hAnsiTheme="minorHAnsi"/>
                <w:spacing w:val="-2"/>
                <w:sz w:val="20"/>
                <w:lang w:val="fr-CH"/>
              </w:rPr>
              <w:t>avec</w:t>
            </w:r>
            <w:r w:rsidRPr="00EA3CC7">
              <w:rPr>
                <w:rFonts w:asciiTheme="minorHAnsi" w:hAnsiTheme="minorHAnsi"/>
                <w:spacing w:val="-2"/>
                <w:sz w:val="20"/>
                <w:lang w:val="fr-CH"/>
              </w:rPr>
              <w:t xml:space="preserve"> les donateurs et partenaires pour la mise en œuvre des projets.</w:t>
            </w:r>
          </w:p>
          <w:p w14:paraId="6BE52C67" w14:textId="4613C8AA" w:rsidR="00A95E5F" w:rsidRPr="00C553D7" w:rsidRDefault="00A95E5F" w:rsidP="00E37013">
            <w:pPr>
              <w:pStyle w:val="Default"/>
              <w:numPr>
                <w:ilvl w:val="0"/>
                <w:numId w:val="7"/>
              </w:numPr>
              <w:ind w:left="180" w:hanging="180"/>
              <w:rPr>
                <w:rFonts w:asciiTheme="minorHAnsi" w:hAnsiTheme="minorHAnsi"/>
                <w:sz w:val="20"/>
                <w:lang w:val="fr-CH"/>
              </w:rPr>
            </w:pPr>
            <w:r w:rsidRPr="00C553D7">
              <w:rPr>
                <w:rFonts w:asciiTheme="minorHAnsi" w:hAnsiTheme="minorHAnsi"/>
                <w:sz w:val="20"/>
                <w:lang w:val="fr-CH"/>
              </w:rPr>
              <w:t>V</w:t>
            </w:r>
            <w:r w:rsidR="00033257">
              <w:rPr>
                <w:rFonts w:asciiTheme="minorHAnsi" w:hAnsiTheme="minorHAnsi"/>
                <w:sz w:val="20"/>
                <w:lang w:val="fr-CH"/>
              </w:rPr>
              <w:t>érifier auprès du Gouvernement suisse les solutions possibles concernant les risques dus au non</w:t>
            </w:r>
            <w:r w:rsidR="00033257">
              <w:rPr>
                <w:rFonts w:asciiTheme="minorHAnsi" w:hAnsiTheme="minorHAnsi"/>
                <w:sz w:val="20"/>
                <w:lang w:val="fr-CH"/>
              </w:rPr>
              <w:noBreakHyphen/>
              <w:t xml:space="preserve">paiement des </w:t>
            </w:r>
            <w:r w:rsidRPr="00C553D7">
              <w:rPr>
                <w:rFonts w:asciiTheme="minorHAnsi" w:hAnsiTheme="minorHAnsi"/>
                <w:sz w:val="20"/>
                <w:lang w:val="fr-CH"/>
              </w:rPr>
              <w:t>contributions.</w:t>
            </w:r>
          </w:p>
          <w:p w14:paraId="51E54DF3" w14:textId="4C75BC3B" w:rsidR="00A95E5F" w:rsidRPr="00C553D7" w:rsidRDefault="00246C7D" w:rsidP="00E37013">
            <w:pPr>
              <w:pStyle w:val="Default"/>
              <w:numPr>
                <w:ilvl w:val="0"/>
                <w:numId w:val="7"/>
              </w:numPr>
              <w:ind w:left="180" w:hanging="180"/>
              <w:rPr>
                <w:rFonts w:asciiTheme="minorHAnsi" w:hAnsiTheme="minorHAnsi"/>
                <w:sz w:val="20"/>
                <w:lang w:val="fr-CH"/>
              </w:rPr>
            </w:pPr>
            <w:r>
              <w:rPr>
                <w:rFonts w:asciiTheme="minorHAnsi" w:hAnsiTheme="minorHAnsi"/>
                <w:sz w:val="20"/>
                <w:lang w:val="fr-CH"/>
              </w:rPr>
              <w:t xml:space="preserve">Accords possibles avec des pays </w:t>
            </w:r>
            <w:r w:rsidR="00E461FB">
              <w:rPr>
                <w:rFonts w:asciiTheme="minorHAnsi" w:hAnsiTheme="minorHAnsi"/>
                <w:sz w:val="20"/>
                <w:lang w:val="fr-CH"/>
              </w:rPr>
              <w:t xml:space="preserve">qui </w:t>
            </w:r>
            <w:r>
              <w:rPr>
                <w:rFonts w:asciiTheme="minorHAnsi" w:hAnsiTheme="minorHAnsi"/>
                <w:sz w:val="20"/>
                <w:lang w:val="fr-CH"/>
              </w:rPr>
              <w:t xml:space="preserve">ont </w:t>
            </w:r>
            <w:r w:rsidR="00E461FB">
              <w:rPr>
                <w:rFonts w:asciiTheme="minorHAnsi" w:hAnsiTheme="minorHAnsi"/>
                <w:sz w:val="20"/>
                <w:lang w:val="fr-CH"/>
              </w:rPr>
              <w:t>d</w:t>
            </w:r>
            <w:r>
              <w:rPr>
                <w:rFonts w:asciiTheme="minorHAnsi" w:hAnsiTheme="minorHAnsi"/>
                <w:sz w:val="20"/>
                <w:lang w:val="fr-CH"/>
              </w:rPr>
              <w:t>es</w:t>
            </w:r>
            <w:r w:rsidR="00E461FB">
              <w:rPr>
                <w:rFonts w:asciiTheme="minorHAnsi" w:hAnsiTheme="minorHAnsi"/>
                <w:sz w:val="20"/>
                <w:lang w:val="fr-CH"/>
              </w:rPr>
              <w:t xml:space="preserve"> arriérés de</w:t>
            </w:r>
            <w:r>
              <w:rPr>
                <w:rFonts w:asciiTheme="minorHAnsi" w:hAnsiTheme="minorHAnsi"/>
                <w:sz w:val="20"/>
                <w:lang w:val="fr-CH"/>
              </w:rPr>
              <w:t xml:space="preserve"> contributions et examen de l’expérience d’autres conventions comme les Conventions </w:t>
            </w:r>
            <w:r w:rsidR="00E461FB">
              <w:rPr>
                <w:rFonts w:asciiTheme="minorHAnsi" w:hAnsiTheme="minorHAnsi"/>
                <w:sz w:val="20"/>
                <w:lang w:val="fr-CH"/>
              </w:rPr>
              <w:t>BRS (</w:t>
            </w:r>
            <w:r>
              <w:rPr>
                <w:rFonts w:asciiTheme="minorHAnsi" w:hAnsiTheme="minorHAnsi"/>
                <w:sz w:val="20"/>
                <w:lang w:val="fr-CH"/>
              </w:rPr>
              <w:t xml:space="preserve">Bâle, </w:t>
            </w:r>
            <w:r w:rsidR="00582923" w:rsidRPr="00C553D7">
              <w:rPr>
                <w:rFonts w:asciiTheme="minorHAnsi" w:hAnsiTheme="minorHAnsi" w:cstheme="minorHAnsi"/>
                <w:bCs/>
                <w:sz w:val="20"/>
                <w:szCs w:val="20"/>
                <w:lang w:val="fr-CH"/>
              </w:rPr>
              <w:t xml:space="preserve">Rotterdam </w:t>
            </w:r>
            <w:r>
              <w:rPr>
                <w:rFonts w:asciiTheme="minorHAnsi" w:hAnsiTheme="minorHAnsi" w:cstheme="minorHAnsi"/>
                <w:bCs/>
                <w:sz w:val="20"/>
                <w:szCs w:val="20"/>
                <w:lang w:val="fr-CH"/>
              </w:rPr>
              <w:t xml:space="preserve">et </w:t>
            </w:r>
            <w:r w:rsidR="00582923" w:rsidRPr="00C553D7">
              <w:rPr>
                <w:rFonts w:asciiTheme="minorHAnsi" w:hAnsiTheme="minorHAnsi" w:cstheme="minorHAnsi"/>
                <w:bCs/>
                <w:sz w:val="20"/>
                <w:szCs w:val="20"/>
                <w:lang w:val="fr-CH"/>
              </w:rPr>
              <w:t xml:space="preserve">Stockholm) </w:t>
            </w:r>
            <w:r w:rsidR="00A95E5F" w:rsidRPr="00C553D7">
              <w:rPr>
                <w:rFonts w:asciiTheme="minorHAnsi" w:hAnsiTheme="minorHAnsi"/>
                <w:sz w:val="20"/>
                <w:lang w:val="fr-CH"/>
              </w:rPr>
              <w:t>(</w:t>
            </w:r>
            <w:r>
              <w:rPr>
                <w:rFonts w:asciiTheme="minorHAnsi" w:hAnsiTheme="minorHAnsi"/>
                <w:sz w:val="20"/>
                <w:lang w:val="fr-CH"/>
              </w:rPr>
              <w:t xml:space="preserve">par exemple, plans de paiement, etc.). </w:t>
            </w:r>
          </w:p>
        </w:tc>
        <w:tc>
          <w:tcPr>
            <w:tcW w:w="3119" w:type="dxa"/>
          </w:tcPr>
          <w:p w14:paraId="64EC37B8" w14:textId="19C4EFF2" w:rsidR="005F0771" w:rsidRPr="00C553D7" w:rsidRDefault="00A11E59" w:rsidP="00EC0F71">
            <w:pPr>
              <w:pStyle w:val="ListParagraph"/>
              <w:numPr>
                <w:ilvl w:val="0"/>
                <w:numId w:val="7"/>
              </w:numPr>
              <w:ind w:left="174" w:hanging="174"/>
              <w:contextualSpacing w:val="0"/>
              <w:rPr>
                <w:sz w:val="20"/>
                <w:lang w:val="fr-CH"/>
              </w:rPr>
            </w:pPr>
            <w:r w:rsidRPr="00C553D7">
              <w:rPr>
                <w:sz w:val="20"/>
                <w:lang w:val="fr-CH"/>
              </w:rPr>
              <w:lastRenderedPageBreak/>
              <w:t>S</w:t>
            </w:r>
            <w:r w:rsidR="008B7CBC">
              <w:rPr>
                <w:sz w:val="20"/>
                <w:lang w:val="fr-CH"/>
              </w:rPr>
              <w:t xml:space="preserve">outenir les décisions des Parties contractantes sur d’autres </w:t>
            </w:r>
            <w:r w:rsidR="00C53B07">
              <w:rPr>
                <w:sz w:val="20"/>
                <w:lang w:val="fr-CH"/>
              </w:rPr>
              <w:t>dispositions</w:t>
            </w:r>
            <w:r w:rsidR="008B7CBC">
              <w:rPr>
                <w:sz w:val="20"/>
                <w:lang w:val="fr-CH"/>
              </w:rPr>
              <w:t xml:space="preserve"> d’hébergement </w:t>
            </w:r>
            <w:r w:rsidR="00C53B07">
              <w:rPr>
                <w:sz w:val="20"/>
                <w:lang w:val="fr-CH"/>
              </w:rPr>
              <w:t>visant</w:t>
            </w:r>
            <w:r w:rsidR="008B7CBC">
              <w:rPr>
                <w:sz w:val="20"/>
                <w:lang w:val="fr-CH"/>
              </w:rPr>
              <w:t xml:space="preserve"> à un renforcement institutionnel pour soutenir l’application de la Convention.</w:t>
            </w:r>
            <w:r w:rsidR="002129DD">
              <w:rPr>
                <w:sz w:val="20"/>
                <w:lang w:val="fr-CH"/>
              </w:rPr>
              <w:t xml:space="preserve"> </w:t>
            </w:r>
          </w:p>
          <w:p w14:paraId="552282E1" w14:textId="684EA28F" w:rsidR="00803964" w:rsidRPr="00C553D7" w:rsidRDefault="007D55D4" w:rsidP="00EC0F71">
            <w:pPr>
              <w:pStyle w:val="ListParagraph"/>
              <w:numPr>
                <w:ilvl w:val="0"/>
                <w:numId w:val="7"/>
              </w:numPr>
              <w:ind w:left="174" w:hanging="174"/>
              <w:contextualSpacing w:val="0"/>
              <w:rPr>
                <w:sz w:val="20"/>
                <w:lang w:val="fr-CH"/>
              </w:rPr>
            </w:pPr>
            <w:r w:rsidRPr="00C553D7">
              <w:rPr>
                <w:sz w:val="20"/>
                <w:lang w:val="fr-CH"/>
              </w:rPr>
              <w:t>E</w:t>
            </w:r>
            <w:r w:rsidR="00803964" w:rsidRPr="00C553D7">
              <w:rPr>
                <w:sz w:val="20"/>
                <w:lang w:val="fr-CH"/>
              </w:rPr>
              <w:t>xplore</w:t>
            </w:r>
            <w:r w:rsidR="00392C8A">
              <w:rPr>
                <w:sz w:val="20"/>
                <w:lang w:val="fr-CH"/>
              </w:rPr>
              <w:t>r, avec l’UICN, pour de futurs projets où l’UICN est le représentant légal, l’élaboration d’une procédure révisée comprenant l’évaluation de projets et l’examen de contrats, ad</w:t>
            </w:r>
            <w:r w:rsidR="00C53B07">
              <w:rPr>
                <w:sz w:val="20"/>
                <w:lang w:val="fr-CH"/>
              </w:rPr>
              <w:t>a</w:t>
            </w:r>
            <w:r w:rsidR="00392C8A">
              <w:rPr>
                <w:sz w:val="20"/>
                <w:lang w:val="fr-CH"/>
              </w:rPr>
              <w:t xml:space="preserve">ptée </w:t>
            </w:r>
            <w:r w:rsidR="00C53B07">
              <w:rPr>
                <w:sz w:val="20"/>
                <w:lang w:val="fr-CH"/>
              </w:rPr>
              <w:t>au</w:t>
            </w:r>
            <w:r w:rsidR="00392C8A">
              <w:rPr>
                <w:sz w:val="20"/>
                <w:lang w:val="fr-CH"/>
              </w:rPr>
              <w:t xml:space="preserve"> Secrétariat de la Convention dans le contexte des Do</w:t>
            </w:r>
            <w:r w:rsidR="00C53B07">
              <w:rPr>
                <w:sz w:val="20"/>
                <w:lang w:val="fr-CH"/>
              </w:rPr>
              <w:t>P</w:t>
            </w:r>
            <w:r w:rsidR="00392C8A">
              <w:rPr>
                <w:sz w:val="20"/>
                <w:lang w:val="fr-CH"/>
              </w:rPr>
              <w:t>/LoA existantes.</w:t>
            </w:r>
            <w:r w:rsidR="002129DD">
              <w:rPr>
                <w:sz w:val="20"/>
                <w:lang w:val="fr-CH"/>
              </w:rPr>
              <w:t xml:space="preserve"> </w:t>
            </w:r>
          </w:p>
          <w:p w14:paraId="2803E74D" w14:textId="30A48FEF" w:rsidR="007718EA" w:rsidRPr="00C553D7" w:rsidRDefault="00392C8A" w:rsidP="00EC0F71">
            <w:pPr>
              <w:pStyle w:val="ListParagraph"/>
              <w:numPr>
                <w:ilvl w:val="0"/>
                <w:numId w:val="7"/>
              </w:numPr>
              <w:ind w:left="174" w:hanging="174"/>
              <w:contextualSpacing w:val="0"/>
              <w:rPr>
                <w:sz w:val="20"/>
                <w:lang w:val="fr-CH"/>
              </w:rPr>
            </w:pPr>
            <w:r>
              <w:rPr>
                <w:sz w:val="20"/>
                <w:lang w:val="fr-CH"/>
              </w:rPr>
              <w:t>Collaborer avec le Groupe de travail sur la gestion et le Sous</w:t>
            </w:r>
            <w:r>
              <w:rPr>
                <w:sz w:val="20"/>
                <w:lang w:val="fr-CH"/>
              </w:rPr>
              <w:noBreakHyphen/>
              <w:t>groupe sur les finances pour évaluer la faisabilité</w:t>
            </w:r>
            <w:r w:rsidR="00C53B07">
              <w:rPr>
                <w:sz w:val="20"/>
                <w:lang w:val="fr-CH"/>
              </w:rPr>
              <w:t>, pour le</w:t>
            </w:r>
            <w:r>
              <w:rPr>
                <w:sz w:val="20"/>
                <w:lang w:val="fr-CH"/>
              </w:rPr>
              <w:t xml:space="preserve"> Secrétariat</w:t>
            </w:r>
            <w:r w:rsidR="00C53B07">
              <w:rPr>
                <w:sz w:val="20"/>
                <w:lang w:val="fr-CH"/>
              </w:rPr>
              <w:t>,</w:t>
            </w:r>
            <w:r>
              <w:rPr>
                <w:sz w:val="20"/>
                <w:lang w:val="fr-CH"/>
              </w:rPr>
              <w:t xml:space="preserve"> </w:t>
            </w:r>
            <w:r w:rsidR="00C53B07">
              <w:rPr>
                <w:sz w:val="20"/>
                <w:lang w:val="fr-CH"/>
              </w:rPr>
              <w:t>de signer</w:t>
            </w:r>
            <w:r>
              <w:rPr>
                <w:sz w:val="20"/>
                <w:lang w:val="fr-CH"/>
              </w:rPr>
              <w:t xml:space="preserve"> directement </w:t>
            </w:r>
            <w:r w:rsidR="00C53B07">
              <w:rPr>
                <w:sz w:val="20"/>
                <w:lang w:val="fr-CH"/>
              </w:rPr>
              <w:t xml:space="preserve">des contrats </w:t>
            </w:r>
            <w:r>
              <w:rPr>
                <w:sz w:val="20"/>
                <w:lang w:val="fr-CH"/>
              </w:rPr>
              <w:t xml:space="preserve">avec les donateurs et partenaires </w:t>
            </w:r>
            <w:r w:rsidR="00C53B07">
              <w:rPr>
                <w:sz w:val="20"/>
                <w:lang w:val="fr-CH"/>
              </w:rPr>
              <w:t xml:space="preserve">d’exécution </w:t>
            </w:r>
            <w:r>
              <w:rPr>
                <w:sz w:val="20"/>
                <w:lang w:val="fr-CH"/>
              </w:rPr>
              <w:t>de projets.</w:t>
            </w:r>
          </w:p>
          <w:p w14:paraId="38CD4E96" w14:textId="124DB1A9" w:rsidR="005F7E7A" w:rsidRPr="00C553D7" w:rsidRDefault="005441CA" w:rsidP="00EC0F71">
            <w:pPr>
              <w:pStyle w:val="ListParagraph"/>
              <w:numPr>
                <w:ilvl w:val="0"/>
                <w:numId w:val="7"/>
              </w:numPr>
              <w:ind w:left="174" w:hanging="174"/>
              <w:contextualSpacing w:val="0"/>
              <w:rPr>
                <w:sz w:val="20"/>
                <w:lang w:val="fr-CH"/>
              </w:rPr>
            </w:pPr>
            <w:r w:rsidRPr="00C553D7">
              <w:rPr>
                <w:sz w:val="20"/>
                <w:lang w:val="fr-CH"/>
              </w:rPr>
              <w:t>Inform</w:t>
            </w:r>
            <w:r w:rsidR="0020024A">
              <w:rPr>
                <w:sz w:val="20"/>
                <w:lang w:val="fr-CH"/>
              </w:rPr>
              <w:t>er les Parties contractantes</w:t>
            </w:r>
            <w:r w:rsidR="00C53B07">
              <w:rPr>
                <w:sz w:val="20"/>
                <w:lang w:val="fr-CH"/>
              </w:rPr>
              <w:t>,</w:t>
            </w:r>
            <w:r w:rsidR="0020024A">
              <w:rPr>
                <w:sz w:val="20"/>
                <w:lang w:val="fr-CH"/>
              </w:rPr>
              <w:t xml:space="preserve"> dans le cadre de réunions régionales</w:t>
            </w:r>
            <w:r w:rsidR="00C53B07">
              <w:rPr>
                <w:sz w:val="20"/>
                <w:lang w:val="fr-CH"/>
              </w:rPr>
              <w:t>,</w:t>
            </w:r>
            <w:r w:rsidR="0020024A">
              <w:rPr>
                <w:sz w:val="20"/>
                <w:lang w:val="fr-CH"/>
              </w:rPr>
              <w:t xml:space="preserve"> du processus de </w:t>
            </w:r>
            <w:r w:rsidR="0020024A">
              <w:rPr>
                <w:sz w:val="20"/>
                <w:lang w:val="fr-CH"/>
              </w:rPr>
              <w:lastRenderedPageBreak/>
              <w:t xml:space="preserve">consultation en cours pour la préparation du rapport sur le renforcement institutionnel, conformément à la Résolution </w:t>
            </w:r>
            <w:r w:rsidR="00692B18" w:rsidRPr="00C553D7">
              <w:rPr>
                <w:sz w:val="20"/>
                <w:lang w:val="fr-CH"/>
              </w:rPr>
              <w:t>XIV.6</w:t>
            </w:r>
            <w:r w:rsidR="0020024A">
              <w:rPr>
                <w:sz w:val="20"/>
                <w:lang w:val="fr-CH"/>
              </w:rPr>
              <w:t>,</w:t>
            </w:r>
            <w:r w:rsidR="00692B18" w:rsidRPr="00C553D7">
              <w:rPr>
                <w:sz w:val="20"/>
                <w:lang w:val="fr-CH"/>
              </w:rPr>
              <w:t xml:space="preserve"> paragraph</w:t>
            </w:r>
            <w:r w:rsidR="0020024A">
              <w:rPr>
                <w:sz w:val="20"/>
                <w:lang w:val="fr-CH"/>
              </w:rPr>
              <w:t>e</w:t>
            </w:r>
            <w:r w:rsidR="00692B18" w:rsidRPr="00C553D7">
              <w:rPr>
                <w:sz w:val="20"/>
                <w:lang w:val="fr-CH"/>
              </w:rPr>
              <w:t xml:space="preserve"> 22</w:t>
            </w:r>
            <w:r w:rsidR="00582923" w:rsidRPr="00C553D7">
              <w:rPr>
                <w:rFonts w:eastAsia="Times New Roman" w:cstheme="minorHAnsi"/>
                <w:sz w:val="20"/>
                <w:szCs w:val="20"/>
                <w:lang w:val="fr-CH"/>
              </w:rPr>
              <w:t>,</w:t>
            </w:r>
            <w:r w:rsidR="00692B18" w:rsidRPr="00C553D7">
              <w:rPr>
                <w:sz w:val="20"/>
                <w:lang w:val="fr-CH"/>
              </w:rPr>
              <w:t xml:space="preserve"> </w:t>
            </w:r>
            <w:r w:rsidR="0020024A">
              <w:rPr>
                <w:sz w:val="20"/>
                <w:lang w:val="fr-CH"/>
              </w:rPr>
              <w:t>et encourager un engagement actif de toutes les Parties dans le processus.</w:t>
            </w:r>
            <w:r w:rsidR="002129DD">
              <w:rPr>
                <w:sz w:val="20"/>
                <w:lang w:val="fr-CH"/>
              </w:rPr>
              <w:t xml:space="preserve"> </w:t>
            </w:r>
            <w:r w:rsidR="007F630F" w:rsidRPr="00C553D7">
              <w:rPr>
                <w:sz w:val="20"/>
                <w:lang w:val="fr-CH"/>
              </w:rPr>
              <w:t xml:space="preserve"> </w:t>
            </w:r>
          </w:p>
          <w:p w14:paraId="374CB3A0" w14:textId="11ECAAF8" w:rsidR="007A5662" w:rsidRPr="00C553D7" w:rsidRDefault="004E1709" w:rsidP="00EC0F71">
            <w:pPr>
              <w:pStyle w:val="ListParagraph"/>
              <w:numPr>
                <w:ilvl w:val="0"/>
                <w:numId w:val="7"/>
              </w:numPr>
              <w:ind w:left="174" w:hanging="174"/>
              <w:contextualSpacing w:val="0"/>
              <w:rPr>
                <w:sz w:val="20"/>
                <w:lang w:val="fr-CH"/>
              </w:rPr>
            </w:pPr>
            <w:r w:rsidRPr="00C553D7">
              <w:rPr>
                <w:sz w:val="20"/>
                <w:lang w:val="fr-CH"/>
              </w:rPr>
              <w:t>Explore</w:t>
            </w:r>
            <w:r w:rsidR="0020024A">
              <w:rPr>
                <w:sz w:val="20"/>
                <w:lang w:val="fr-CH"/>
              </w:rPr>
              <w:t xml:space="preserve">r </w:t>
            </w:r>
            <w:r w:rsidR="00F072CD">
              <w:rPr>
                <w:sz w:val="20"/>
                <w:lang w:val="fr-CH"/>
              </w:rPr>
              <w:t>avec le nouvel auditeur des solutions alternatives possibles pour gérer les risques dus au non</w:t>
            </w:r>
            <w:r w:rsidR="00F072CD">
              <w:rPr>
                <w:sz w:val="20"/>
                <w:lang w:val="fr-CH"/>
              </w:rPr>
              <w:noBreakHyphen/>
              <w:t>paiement des contributions.</w:t>
            </w:r>
            <w:r w:rsidR="002129DD">
              <w:rPr>
                <w:sz w:val="20"/>
                <w:lang w:val="fr-CH"/>
              </w:rPr>
              <w:t xml:space="preserve"> </w:t>
            </w:r>
          </w:p>
          <w:p w14:paraId="1493C084" w14:textId="7B71370E" w:rsidR="00F16992" w:rsidRPr="00C553D7" w:rsidRDefault="00834ED4" w:rsidP="00EC0F71">
            <w:pPr>
              <w:pStyle w:val="ListParagraph"/>
              <w:numPr>
                <w:ilvl w:val="0"/>
                <w:numId w:val="7"/>
              </w:numPr>
              <w:ind w:left="174" w:hanging="174"/>
              <w:contextualSpacing w:val="0"/>
              <w:rPr>
                <w:sz w:val="20"/>
                <w:lang w:val="fr-CH"/>
              </w:rPr>
            </w:pPr>
            <w:r w:rsidRPr="00C553D7">
              <w:rPr>
                <w:sz w:val="20"/>
                <w:lang w:val="fr-CH"/>
              </w:rPr>
              <w:t>Continue</w:t>
            </w:r>
            <w:r w:rsidR="00F072CD">
              <w:rPr>
                <w:sz w:val="20"/>
                <w:lang w:val="fr-CH"/>
              </w:rPr>
              <w:t xml:space="preserve">r d’inviter les Parties ayant des </w:t>
            </w:r>
            <w:r w:rsidR="00C53B07">
              <w:rPr>
                <w:sz w:val="20"/>
                <w:lang w:val="fr-CH"/>
              </w:rPr>
              <w:t xml:space="preserve">arriérés de </w:t>
            </w:r>
            <w:r w:rsidR="00F072CD">
              <w:rPr>
                <w:sz w:val="20"/>
                <w:lang w:val="fr-CH"/>
              </w:rPr>
              <w:t xml:space="preserve">contributions à convenir d’un plan de paiement conforme à la Décision </w:t>
            </w:r>
            <w:r w:rsidR="00110E39" w:rsidRPr="00C553D7">
              <w:rPr>
                <w:sz w:val="20"/>
                <w:lang w:val="fr-CH"/>
              </w:rPr>
              <w:t>SC58-15</w:t>
            </w:r>
            <w:r w:rsidR="00D92B57" w:rsidRPr="00C553D7">
              <w:rPr>
                <w:sz w:val="20"/>
                <w:lang w:val="fr-CH"/>
              </w:rPr>
              <w:t>.</w:t>
            </w:r>
            <w:r w:rsidR="002129DD">
              <w:rPr>
                <w:sz w:val="20"/>
                <w:lang w:val="fr-CH"/>
              </w:rPr>
              <w:t xml:space="preserve"> </w:t>
            </w:r>
          </w:p>
          <w:p w14:paraId="034D550F" w14:textId="11027571" w:rsidR="003B6D90" w:rsidRPr="00C553D7" w:rsidRDefault="00C53B07" w:rsidP="00EC0F71">
            <w:pPr>
              <w:pStyle w:val="ListParagraph"/>
              <w:numPr>
                <w:ilvl w:val="0"/>
                <w:numId w:val="7"/>
              </w:numPr>
              <w:ind w:left="174" w:hanging="174"/>
              <w:contextualSpacing w:val="0"/>
              <w:rPr>
                <w:sz w:val="20"/>
                <w:lang w:val="fr-CH"/>
              </w:rPr>
            </w:pPr>
            <w:r>
              <w:rPr>
                <w:sz w:val="20"/>
                <w:lang w:val="fr-CH"/>
              </w:rPr>
              <w:t>Examiner l’</w:t>
            </w:r>
            <w:r w:rsidR="00F072CD">
              <w:rPr>
                <w:sz w:val="20"/>
                <w:lang w:val="fr-CH"/>
              </w:rPr>
              <w:t xml:space="preserve">expérience d’autres conventions telles que les Conventions BRS et les Conventions relatives à la biodiversité pour faciliter le paiement de contributions en </w:t>
            </w:r>
            <w:r>
              <w:rPr>
                <w:sz w:val="20"/>
                <w:lang w:val="fr-CH"/>
              </w:rPr>
              <w:t>s’appuyant sur le</w:t>
            </w:r>
            <w:r w:rsidR="00F072CD">
              <w:rPr>
                <w:sz w:val="20"/>
                <w:lang w:val="fr-CH"/>
              </w:rPr>
              <w:t xml:space="preserve"> document </w:t>
            </w:r>
            <w:r w:rsidR="00A708A0" w:rsidRPr="00C553D7">
              <w:rPr>
                <w:sz w:val="20"/>
                <w:lang w:val="fr-CH"/>
              </w:rPr>
              <w:t>SC58</w:t>
            </w:r>
            <w:r w:rsidR="00582923" w:rsidRPr="00C553D7">
              <w:rPr>
                <w:rFonts w:eastAsia="Times New Roman" w:cstheme="minorHAnsi"/>
                <w:sz w:val="20"/>
                <w:szCs w:val="20"/>
                <w:lang w:val="fr-CH"/>
              </w:rPr>
              <w:t xml:space="preserve"> Doc. </w:t>
            </w:r>
            <w:r w:rsidR="008A36B5" w:rsidRPr="00C553D7">
              <w:rPr>
                <w:sz w:val="20"/>
                <w:lang w:val="fr-CH"/>
              </w:rPr>
              <w:t>8.</w:t>
            </w:r>
            <w:r w:rsidR="00A708A0" w:rsidRPr="00C553D7">
              <w:rPr>
                <w:sz w:val="20"/>
                <w:lang w:val="fr-CH"/>
              </w:rPr>
              <w:t>3</w:t>
            </w:r>
            <w:r w:rsidR="0086199D" w:rsidRPr="00C553D7">
              <w:rPr>
                <w:rFonts w:eastAsia="Times New Roman" w:cstheme="minorHAnsi"/>
                <w:sz w:val="20"/>
                <w:szCs w:val="20"/>
                <w:lang w:val="fr-CH"/>
              </w:rPr>
              <w:t>.</w:t>
            </w:r>
          </w:p>
        </w:tc>
      </w:tr>
      <w:tr w:rsidR="00EC0F71" w:rsidRPr="00EA3CC7" w14:paraId="22959BEF" w14:textId="77777777" w:rsidTr="00ED6197">
        <w:tc>
          <w:tcPr>
            <w:tcW w:w="1418" w:type="dxa"/>
          </w:tcPr>
          <w:p w14:paraId="417BE2DA" w14:textId="0EC2173F" w:rsidR="00A95E5F" w:rsidRPr="00C553D7" w:rsidRDefault="00A95E5F" w:rsidP="008E7036">
            <w:pPr>
              <w:pStyle w:val="Default"/>
              <w:rPr>
                <w:rFonts w:asciiTheme="minorHAnsi" w:hAnsiTheme="minorHAnsi"/>
                <w:sz w:val="20"/>
                <w:lang w:val="fr-CH"/>
              </w:rPr>
            </w:pPr>
            <w:r w:rsidRPr="00C553D7">
              <w:rPr>
                <w:rFonts w:asciiTheme="minorHAnsi" w:hAnsiTheme="minorHAnsi"/>
                <w:sz w:val="20"/>
                <w:lang w:val="fr-CH"/>
              </w:rPr>
              <w:lastRenderedPageBreak/>
              <w:t xml:space="preserve">2. </w:t>
            </w:r>
            <w:r w:rsidR="00F072CD" w:rsidRPr="00C553D7">
              <w:rPr>
                <w:rFonts w:asciiTheme="minorHAnsi" w:hAnsiTheme="minorHAnsi"/>
                <w:sz w:val="20"/>
                <w:lang w:val="fr-CH"/>
              </w:rPr>
              <w:t>Gouvernance</w:t>
            </w:r>
          </w:p>
        </w:tc>
        <w:tc>
          <w:tcPr>
            <w:tcW w:w="2031" w:type="dxa"/>
            <w:shd w:val="clear" w:color="auto" w:fill="auto"/>
          </w:tcPr>
          <w:p w14:paraId="48BA9119" w14:textId="4555CA89" w:rsidR="00A95E5F" w:rsidRPr="00732F70" w:rsidRDefault="00F072CD" w:rsidP="008E7036">
            <w:pPr>
              <w:snapToGrid w:val="0"/>
              <w:rPr>
                <w:sz w:val="20"/>
                <w:u w:val="single"/>
                <w:lang w:val="fr-CH"/>
              </w:rPr>
            </w:pPr>
            <w:r w:rsidRPr="00732F70">
              <w:rPr>
                <w:sz w:val="20"/>
                <w:u w:val="single"/>
                <w:lang w:val="fr-CH"/>
              </w:rPr>
              <w:t>Résolution</w:t>
            </w:r>
            <w:r w:rsidR="00A95E5F" w:rsidRPr="00732F70">
              <w:rPr>
                <w:sz w:val="20"/>
                <w:u w:val="single"/>
                <w:lang w:val="fr-CH"/>
              </w:rPr>
              <w:t xml:space="preserve"> XIV.3</w:t>
            </w:r>
          </w:p>
          <w:p w14:paraId="385D45FF" w14:textId="2BE49EE7" w:rsidR="00A95E5F" w:rsidRPr="00732F70" w:rsidRDefault="00032364" w:rsidP="008E7036">
            <w:pPr>
              <w:ind w:right="16"/>
              <w:rPr>
                <w:sz w:val="20"/>
                <w:u w:val="single"/>
                <w:lang w:val="fr-CH"/>
              </w:rPr>
            </w:pPr>
            <w:r w:rsidRPr="00032364">
              <w:rPr>
                <w:sz w:val="20"/>
                <w:u w:val="single"/>
                <w:lang w:val="fr-CH"/>
              </w:rPr>
              <w:t>L’efficacité et l’efficience de la Convention sur les zones humides</w:t>
            </w:r>
            <w:r w:rsidR="00A95E5F" w:rsidRPr="00732F70">
              <w:rPr>
                <w:sz w:val="20"/>
                <w:u w:val="single"/>
                <w:lang w:val="fr-CH"/>
              </w:rPr>
              <w:t>.</w:t>
            </w:r>
          </w:p>
          <w:p w14:paraId="6D532046" w14:textId="77777777" w:rsidR="00A95E5F" w:rsidRPr="00732F70" w:rsidRDefault="00A95E5F" w:rsidP="008E7036">
            <w:pPr>
              <w:rPr>
                <w:sz w:val="20"/>
                <w:lang w:val="fr-CH"/>
              </w:rPr>
            </w:pPr>
          </w:p>
          <w:p w14:paraId="290A1910" w14:textId="552A86F5" w:rsidR="00A95E5F" w:rsidRPr="00732F70" w:rsidRDefault="00760B6D" w:rsidP="00EC0F71">
            <w:pPr>
              <w:snapToGrid w:val="0"/>
              <w:rPr>
                <w:sz w:val="20"/>
                <w:lang w:val="fr-CH"/>
              </w:rPr>
            </w:pPr>
            <w:r>
              <w:rPr>
                <w:sz w:val="20"/>
                <w:lang w:val="fr-CH"/>
              </w:rPr>
              <w:t>Sur</w:t>
            </w:r>
            <w:r w:rsidR="00732F70" w:rsidRPr="00732F70">
              <w:rPr>
                <w:sz w:val="20"/>
                <w:lang w:val="fr-CH"/>
              </w:rPr>
              <w:t xml:space="preserve"> instruction de la Résolution</w:t>
            </w:r>
            <w:r>
              <w:rPr>
                <w:sz w:val="20"/>
                <w:lang w:val="fr-CH"/>
              </w:rPr>
              <w:t xml:space="preserve"> XIV.3</w:t>
            </w:r>
            <w:r w:rsidR="00732F70" w:rsidRPr="00732F70">
              <w:rPr>
                <w:sz w:val="20"/>
                <w:lang w:val="fr-CH"/>
              </w:rPr>
              <w:t>, le Secrétariat a préparé un rapport sur son examen et so</w:t>
            </w:r>
            <w:r w:rsidR="00A95E5F" w:rsidRPr="00732F70">
              <w:rPr>
                <w:sz w:val="20"/>
                <w:lang w:val="fr-CH"/>
              </w:rPr>
              <w:t xml:space="preserve">n </w:t>
            </w:r>
            <w:r w:rsidR="00732F70" w:rsidRPr="00732F70">
              <w:rPr>
                <w:sz w:val="20"/>
                <w:lang w:val="fr-CH"/>
              </w:rPr>
              <w:t>analyse des approches et systèmes possibles en ligne pour faciliter la collaboration entre les Parties contractantes dans la période intersessions</w:t>
            </w:r>
            <w:r>
              <w:rPr>
                <w:sz w:val="20"/>
                <w:lang w:val="fr-CH"/>
              </w:rPr>
              <w:t> ;</w:t>
            </w:r>
            <w:r w:rsidR="00732F70" w:rsidRPr="00732F70">
              <w:rPr>
                <w:sz w:val="20"/>
                <w:lang w:val="fr-CH"/>
              </w:rPr>
              <w:t xml:space="preserve"> d’après les commentaires reçus et les décisions de la 62</w:t>
            </w:r>
            <w:r w:rsidR="00732F70" w:rsidRPr="00732F70">
              <w:rPr>
                <w:sz w:val="20"/>
                <w:vertAlign w:val="superscript"/>
                <w:lang w:val="fr-CH"/>
              </w:rPr>
              <w:t>e</w:t>
            </w:r>
            <w:r w:rsidR="00732F70" w:rsidRPr="00732F70">
              <w:rPr>
                <w:sz w:val="20"/>
                <w:lang w:val="fr-CH"/>
              </w:rPr>
              <w:t xml:space="preserve"> Réunion du Comité permanent, le Secrétariat prendra d’autres mesures pour explorer puis mettre en œuvre </w:t>
            </w:r>
            <w:r w:rsidR="00732F70" w:rsidRPr="00732F70">
              <w:rPr>
                <w:rStyle w:val="cf01"/>
                <w:lang w:val="fr-CH"/>
              </w:rPr>
              <w:t xml:space="preserve">les systèmes et outils requis. </w:t>
            </w:r>
          </w:p>
        </w:tc>
        <w:tc>
          <w:tcPr>
            <w:tcW w:w="2032" w:type="dxa"/>
            <w:shd w:val="clear" w:color="auto" w:fill="auto"/>
          </w:tcPr>
          <w:p w14:paraId="03704991" w14:textId="77777777" w:rsidR="00A95E5F" w:rsidRPr="00C553D7" w:rsidRDefault="00A95E5F" w:rsidP="008E7036">
            <w:pPr>
              <w:rPr>
                <w:rFonts w:cstheme="minorHAnsi"/>
                <w:sz w:val="20"/>
                <w:szCs w:val="20"/>
                <w:lang w:val="fr-CH"/>
              </w:rPr>
            </w:pPr>
          </w:p>
        </w:tc>
        <w:tc>
          <w:tcPr>
            <w:tcW w:w="2032" w:type="dxa"/>
            <w:shd w:val="clear" w:color="auto" w:fill="auto"/>
          </w:tcPr>
          <w:p w14:paraId="05C2EF7C" w14:textId="77777777" w:rsidR="00A95E5F" w:rsidRPr="00C553D7" w:rsidRDefault="00A95E5F" w:rsidP="008E7036">
            <w:pPr>
              <w:pStyle w:val="Default"/>
              <w:rPr>
                <w:rFonts w:asciiTheme="minorHAnsi" w:hAnsiTheme="minorHAnsi" w:cstheme="minorHAnsi"/>
                <w:sz w:val="20"/>
                <w:szCs w:val="20"/>
                <w:lang w:val="fr-CH"/>
              </w:rPr>
            </w:pPr>
          </w:p>
        </w:tc>
        <w:tc>
          <w:tcPr>
            <w:tcW w:w="1418" w:type="dxa"/>
          </w:tcPr>
          <w:p w14:paraId="226A172E" w14:textId="77777777" w:rsidR="00A95E5F" w:rsidRPr="00C553D7" w:rsidRDefault="00A95E5F" w:rsidP="008E7036">
            <w:pPr>
              <w:pStyle w:val="Default"/>
              <w:rPr>
                <w:rFonts w:asciiTheme="minorHAnsi" w:hAnsiTheme="minorHAnsi" w:cstheme="minorHAnsi"/>
                <w:b/>
                <w:sz w:val="20"/>
                <w:szCs w:val="20"/>
                <w:lang w:val="fr-CH"/>
              </w:rPr>
            </w:pPr>
            <w:r w:rsidRPr="00C553D7">
              <w:rPr>
                <w:rFonts w:asciiTheme="minorHAnsi" w:hAnsiTheme="minorHAnsi" w:cstheme="minorHAnsi"/>
                <w:b/>
                <w:sz w:val="20"/>
                <w:szCs w:val="20"/>
                <w:lang w:val="fr-CH"/>
              </w:rPr>
              <w:t>1</w:t>
            </w:r>
          </w:p>
        </w:tc>
        <w:tc>
          <w:tcPr>
            <w:tcW w:w="3118" w:type="dxa"/>
          </w:tcPr>
          <w:p w14:paraId="5B07FCDA" w14:textId="0EC480A9" w:rsidR="00A95E5F" w:rsidRPr="00C553D7" w:rsidRDefault="00BE2B7A" w:rsidP="00817B26">
            <w:pPr>
              <w:pStyle w:val="Default"/>
              <w:numPr>
                <w:ilvl w:val="0"/>
                <w:numId w:val="16"/>
              </w:numPr>
              <w:ind w:left="180" w:hanging="180"/>
              <w:rPr>
                <w:rFonts w:asciiTheme="minorHAnsi" w:hAnsiTheme="minorHAnsi" w:cstheme="minorHAnsi"/>
                <w:b/>
                <w:sz w:val="20"/>
                <w:szCs w:val="20"/>
                <w:lang w:val="fr-CH"/>
              </w:rPr>
            </w:pPr>
            <w:r>
              <w:rPr>
                <w:rFonts w:asciiTheme="minorHAnsi" w:hAnsiTheme="minorHAnsi"/>
                <w:sz w:val="20"/>
                <w:lang w:val="fr-CH"/>
              </w:rPr>
              <w:t>Participation du Groupe de travail sur la gestion et du Sous</w:t>
            </w:r>
            <w:r>
              <w:rPr>
                <w:rFonts w:asciiTheme="minorHAnsi" w:hAnsiTheme="minorHAnsi"/>
                <w:sz w:val="20"/>
                <w:lang w:val="fr-CH"/>
              </w:rPr>
              <w:noBreakHyphen/>
              <w:t>groupe sur les finances.</w:t>
            </w:r>
          </w:p>
          <w:p w14:paraId="5C7C196D" w14:textId="2C38D4F7" w:rsidR="00A95E5F" w:rsidRPr="00C553D7" w:rsidRDefault="00BE2B7A" w:rsidP="00817B26">
            <w:pPr>
              <w:pStyle w:val="Default"/>
              <w:numPr>
                <w:ilvl w:val="0"/>
                <w:numId w:val="16"/>
              </w:numPr>
              <w:ind w:left="180" w:hanging="180"/>
              <w:rPr>
                <w:rFonts w:asciiTheme="minorHAnsi" w:hAnsiTheme="minorHAnsi"/>
                <w:sz w:val="20"/>
                <w:lang w:val="fr-CH"/>
              </w:rPr>
            </w:pPr>
            <w:r>
              <w:rPr>
                <w:rFonts w:asciiTheme="minorHAnsi" w:hAnsiTheme="minorHAnsi"/>
                <w:sz w:val="20"/>
                <w:lang w:val="fr-CH"/>
              </w:rPr>
              <w:t>La poursuite des travaux</w:t>
            </w:r>
            <w:r w:rsidR="00BE1182">
              <w:rPr>
                <w:rFonts w:asciiTheme="minorHAnsi" w:hAnsiTheme="minorHAnsi"/>
                <w:sz w:val="20"/>
                <w:lang w:val="fr-CH"/>
              </w:rPr>
              <w:t>,</w:t>
            </w:r>
            <w:r>
              <w:rPr>
                <w:rFonts w:asciiTheme="minorHAnsi" w:hAnsiTheme="minorHAnsi"/>
                <w:sz w:val="20"/>
                <w:lang w:val="fr-CH"/>
              </w:rPr>
              <w:t xml:space="preserve"> pour </w:t>
            </w:r>
            <w:r w:rsidR="00BE1182">
              <w:rPr>
                <w:rFonts w:asciiTheme="minorHAnsi" w:hAnsiTheme="minorHAnsi"/>
                <w:sz w:val="20"/>
                <w:lang w:val="fr-CH"/>
              </w:rPr>
              <w:t>s’assurer que la</w:t>
            </w:r>
            <w:r>
              <w:rPr>
                <w:rFonts w:asciiTheme="minorHAnsi" w:hAnsiTheme="minorHAnsi"/>
                <w:sz w:val="20"/>
                <w:lang w:val="fr-CH"/>
              </w:rPr>
              <w:t xml:space="preserve"> communication </w:t>
            </w:r>
            <w:r w:rsidR="00BE1182">
              <w:rPr>
                <w:rFonts w:asciiTheme="minorHAnsi" w:hAnsiTheme="minorHAnsi"/>
                <w:sz w:val="20"/>
                <w:lang w:val="fr-CH"/>
              </w:rPr>
              <w:t xml:space="preserve">est </w:t>
            </w:r>
            <w:r>
              <w:rPr>
                <w:rFonts w:asciiTheme="minorHAnsi" w:hAnsiTheme="minorHAnsi"/>
                <w:sz w:val="20"/>
                <w:lang w:val="fr-CH"/>
              </w:rPr>
              <w:t>forte et efficace</w:t>
            </w:r>
            <w:r w:rsidR="00BE1182">
              <w:rPr>
                <w:rFonts w:asciiTheme="minorHAnsi" w:hAnsiTheme="minorHAnsi"/>
                <w:sz w:val="20"/>
                <w:lang w:val="fr-CH"/>
              </w:rPr>
              <w:t>,</w:t>
            </w:r>
            <w:r>
              <w:rPr>
                <w:rFonts w:asciiTheme="minorHAnsi" w:hAnsiTheme="minorHAnsi"/>
                <w:sz w:val="20"/>
                <w:lang w:val="fr-CH"/>
              </w:rPr>
              <w:t xml:space="preserve"> est essentielle pour partager les informations et les meilleures pratiques et encourager la collaboration entre Parties contractantes. </w:t>
            </w:r>
            <w:r w:rsidR="006F06A0">
              <w:rPr>
                <w:rFonts w:asciiTheme="minorHAnsi" w:hAnsiTheme="minorHAnsi"/>
                <w:sz w:val="20"/>
                <w:lang w:val="fr-CH"/>
              </w:rPr>
              <w:t>En améliorant les canaux de communication, la Convention est en mesure de mieux soutenir les Parties et de susciter un meilleur sens de communauté entre tous les acteurs.</w:t>
            </w:r>
          </w:p>
          <w:p w14:paraId="1FE84976" w14:textId="24CA6A5E" w:rsidR="00A95E5F" w:rsidRPr="00C553D7" w:rsidRDefault="00002CE6" w:rsidP="00C647D0">
            <w:pPr>
              <w:pStyle w:val="Default"/>
              <w:numPr>
                <w:ilvl w:val="0"/>
                <w:numId w:val="16"/>
              </w:numPr>
              <w:ind w:left="180" w:hanging="180"/>
              <w:rPr>
                <w:rFonts w:asciiTheme="minorHAnsi" w:hAnsiTheme="minorHAnsi"/>
                <w:sz w:val="20"/>
                <w:lang w:val="fr-CH"/>
              </w:rPr>
            </w:pPr>
            <w:r>
              <w:rPr>
                <w:rFonts w:asciiTheme="minorHAnsi" w:hAnsiTheme="minorHAnsi"/>
                <w:sz w:val="20"/>
                <w:lang w:val="fr-CH"/>
              </w:rPr>
              <w:t>Fournir</w:t>
            </w:r>
            <w:r w:rsidR="006F06A0">
              <w:rPr>
                <w:rFonts w:asciiTheme="minorHAnsi" w:hAnsiTheme="minorHAnsi"/>
                <w:sz w:val="20"/>
                <w:lang w:val="fr-CH"/>
              </w:rPr>
              <w:t xml:space="preserve"> des plateformes aux Parties pour qu’elles travaillent ensemble dans la période intersessions, échangent des idées et soumett</w:t>
            </w:r>
            <w:r w:rsidR="00BE1182">
              <w:rPr>
                <w:rFonts w:asciiTheme="minorHAnsi" w:hAnsiTheme="minorHAnsi"/>
                <w:sz w:val="20"/>
                <w:lang w:val="fr-CH"/>
              </w:rPr>
              <w:t>e</w:t>
            </w:r>
            <w:r w:rsidR="006F06A0">
              <w:rPr>
                <w:rFonts w:asciiTheme="minorHAnsi" w:hAnsiTheme="minorHAnsi"/>
                <w:sz w:val="20"/>
                <w:lang w:val="fr-CH"/>
              </w:rPr>
              <w:t>nt des commentaires sur les projets de résolutions, la Convention peut encourager des discussions plus productives et, en fin de compte, des décisions mieux informées durant les réunions formelles.</w:t>
            </w:r>
          </w:p>
          <w:p w14:paraId="2D56E5B2" w14:textId="2EB4FE6C" w:rsidR="00A95E5F" w:rsidRPr="00C553D7" w:rsidRDefault="006F06A0" w:rsidP="00C647D0">
            <w:pPr>
              <w:pStyle w:val="Default"/>
              <w:numPr>
                <w:ilvl w:val="0"/>
                <w:numId w:val="16"/>
              </w:numPr>
              <w:ind w:left="180" w:hanging="180"/>
              <w:rPr>
                <w:rFonts w:asciiTheme="minorHAnsi" w:hAnsiTheme="minorHAnsi" w:cstheme="minorHAnsi"/>
                <w:bCs/>
                <w:sz w:val="20"/>
                <w:szCs w:val="20"/>
                <w:lang w:val="fr-CH"/>
              </w:rPr>
            </w:pPr>
            <w:r>
              <w:rPr>
                <w:rFonts w:asciiTheme="minorHAnsi" w:hAnsiTheme="minorHAnsi" w:cstheme="minorHAnsi"/>
                <w:bCs/>
                <w:sz w:val="20"/>
                <w:szCs w:val="20"/>
                <w:lang w:val="fr-CH"/>
              </w:rPr>
              <w:t xml:space="preserve">Le rôle du Secrétariat du point de vue du renforcement des outils de formation tels que les ateliers </w:t>
            </w:r>
            <w:r>
              <w:rPr>
                <w:rFonts w:asciiTheme="minorHAnsi" w:hAnsiTheme="minorHAnsi" w:cstheme="minorHAnsi"/>
                <w:bCs/>
                <w:sz w:val="20"/>
                <w:szCs w:val="20"/>
                <w:lang w:val="fr-CH"/>
              </w:rPr>
              <w:lastRenderedPageBreak/>
              <w:t xml:space="preserve">virtuels et le matériel de formation est crucial pour les Parties contractantes </w:t>
            </w:r>
            <w:r w:rsidR="00BE1182">
              <w:rPr>
                <w:rFonts w:asciiTheme="minorHAnsi" w:hAnsiTheme="minorHAnsi" w:cstheme="minorHAnsi"/>
                <w:bCs/>
                <w:sz w:val="20"/>
                <w:szCs w:val="20"/>
                <w:lang w:val="fr-CH"/>
              </w:rPr>
              <w:t>et leur permettent</w:t>
            </w:r>
            <w:r>
              <w:rPr>
                <w:rFonts w:asciiTheme="minorHAnsi" w:hAnsiTheme="minorHAnsi" w:cstheme="minorHAnsi"/>
                <w:bCs/>
                <w:sz w:val="20"/>
                <w:szCs w:val="20"/>
                <w:lang w:val="fr-CH"/>
              </w:rPr>
              <w:t xml:space="preserve"> </w:t>
            </w:r>
            <w:r w:rsidR="00BE1182">
              <w:rPr>
                <w:rFonts w:asciiTheme="minorHAnsi" w:hAnsiTheme="minorHAnsi" w:cstheme="minorHAnsi"/>
                <w:bCs/>
                <w:sz w:val="20"/>
                <w:szCs w:val="20"/>
                <w:lang w:val="fr-CH"/>
              </w:rPr>
              <w:t>d’</w:t>
            </w:r>
            <w:r>
              <w:rPr>
                <w:rFonts w:asciiTheme="minorHAnsi" w:hAnsiTheme="minorHAnsi" w:cstheme="minorHAnsi"/>
                <w:bCs/>
                <w:sz w:val="20"/>
                <w:szCs w:val="20"/>
                <w:lang w:val="fr-CH"/>
              </w:rPr>
              <w:t>appliquer efficacement les dispositions de la Convention au niveau national.</w:t>
            </w:r>
          </w:p>
        </w:tc>
        <w:tc>
          <w:tcPr>
            <w:tcW w:w="3119" w:type="dxa"/>
          </w:tcPr>
          <w:p w14:paraId="79B6AF7C" w14:textId="638801F9" w:rsidR="00A62B4D" w:rsidRPr="00C553D7" w:rsidRDefault="00DB33F4" w:rsidP="00472062">
            <w:pPr>
              <w:pStyle w:val="ListParagraph"/>
              <w:numPr>
                <w:ilvl w:val="0"/>
                <w:numId w:val="16"/>
              </w:numPr>
              <w:snapToGrid w:val="0"/>
              <w:ind w:left="170" w:hanging="142"/>
              <w:rPr>
                <w:rStyle w:val="cf01"/>
                <w:rFonts w:asciiTheme="minorHAnsi" w:hAnsiTheme="minorHAnsi"/>
                <w:color w:val="000000"/>
                <w:sz w:val="20"/>
                <w:lang w:val="fr-CH"/>
              </w:rPr>
            </w:pPr>
            <w:r>
              <w:rPr>
                <w:rStyle w:val="cf01"/>
                <w:rFonts w:asciiTheme="minorHAnsi" w:hAnsiTheme="minorHAnsi"/>
                <w:sz w:val="20"/>
                <w:lang w:val="fr-CH"/>
              </w:rPr>
              <w:lastRenderedPageBreak/>
              <w:t>D’après les décisions de la 62</w:t>
            </w:r>
            <w:r w:rsidRPr="00DB33F4">
              <w:rPr>
                <w:rStyle w:val="cf01"/>
                <w:rFonts w:asciiTheme="minorHAnsi" w:hAnsiTheme="minorHAnsi"/>
                <w:sz w:val="20"/>
                <w:vertAlign w:val="superscript"/>
                <w:lang w:val="fr-CH"/>
              </w:rPr>
              <w:t>e</w:t>
            </w:r>
            <w:r>
              <w:rPr>
                <w:rStyle w:val="cf01"/>
                <w:rFonts w:asciiTheme="minorHAnsi" w:hAnsiTheme="minorHAnsi"/>
                <w:sz w:val="20"/>
                <w:lang w:val="fr-CH"/>
              </w:rPr>
              <w:t xml:space="preserve"> Réunion du Comité permanent, le Secrétariat prendra d’autres mesures pour explorer et appliquer ultérieurement les systèmes et outils requis afin de faciliter la collaboration entre les Parties. </w:t>
            </w:r>
          </w:p>
          <w:p w14:paraId="70770F5F" w14:textId="77777777" w:rsidR="00A95E5F" w:rsidRPr="00C553D7" w:rsidRDefault="00A95E5F" w:rsidP="00F12F54">
            <w:pPr>
              <w:pStyle w:val="Default"/>
              <w:rPr>
                <w:rFonts w:asciiTheme="minorHAnsi" w:hAnsiTheme="minorHAnsi"/>
                <w:sz w:val="20"/>
                <w:lang w:val="fr-CH"/>
              </w:rPr>
            </w:pPr>
          </w:p>
        </w:tc>
      </w:tr>
      <w:tr w:rsidR="00EC0F71" w:rsidRPr="00EA3CC7" w14:paraId="7977D4E7" w14:textId="77777777" w:rsidTr="00ED6197">
        <w:trPr>
          <w:cantSplit/>
        </w:trPr>
        <w:tc>
          <w:tcPr>
            <w:tcW w:w="1418" w:type="dxa"/>
          </w:tcPr>
          <w:p w14:paraId="608BF35E" w14:textId="25B32326" w:rsidR="00A95E5F" w:rsidRPr="00C553D7" w:rsidRDefault="0086199D" w:rsidP="008E7036">
            <w:pPr>
              <w:pStyle w:val="Default"/>
              <w:rPr>
                <w:rFonts w:asciiTheme="minorHAnsi" w:hAnsiTheme="minorHAnsi"/>
                <w:sz w:val="20"/>
                <w:lang w:val="fr-CH"/>
              </w:rPr>
            </w:pPr>
            <w:r w:rsidRPr="00C553D7">
              <w:rPr>
                <w:rFonts w:asciiTheme="minorHAnsi" w:hAnsiTheme="minorHAnsi"/>
                <w:sz w:val="20"/>
                <w:lang w:val="fr-CH"/>
              </w:rPr>
              <w:t>3. Leadership</w:t>
            </w:r>
          </w:p>
        </w:tc>
        <w:tc>
          <w:tcPr>
            <w:tcW w:w="2031" w:type="dxa"/>
            <w:shd w:val="clear" w:color="auto" w:fill="auto"/>
          </w:tcPr>
          <w:p w14:paraId="74044B4A" w14:textId="042E96FB" w:rsidR="00A95E5F" w:rsidRPr="00C553D7" w:rsidRDefault="00732F70" w:rsidP="008E7036">
            <w:pPr>
              <w:snapToGrid w:val="0"/>
              <w:rPr>
                <w:sz w:val="20"/>
                <w:lang w:val="fr-CH"/>
              </w:rPr>
            </w:pPr>
            <w:r w:rsidRPr="00C553D7">
              <w:rPr>
                <w:sz w:val="20"/>
                <w:u w:val="single"/>
                <w:lang w:val="fr-CH"/>
              </w:rPr>
              <w:t>Décision</w:t>
            </w:r>
            <w:r w:rsidR="00A95E5F" w:rsidRPr="00C553D7">
              <w:rPr>
                <w:sz w:val="20"/>
                <w:u w:val="single"/>
                <w:lang w:val="fr-CH"/>
              </w:rPr>
              <w:t xml:space="preserve"> SC59-40</w:t>
            </w:r>
          </w:p>
          <w:p w14:paraId="63C95688" w14:textId="77777777" w:rsidR="00A95E5F" w:rsidRPr="00C553D7" w:rsidRDefault="00A95E5F" w:rsidP="008E7036">
            <w:pPr>
              <w:snapToGrid w:val="0"/>
              <w:rPr>
                <w:sz w:val="20"/>
                <w:lang w:val="fr-CH"/>
              </w:rPr>
            </w:pPr>
          </w:p>
          <w:p w14:paraId="3E099AF7" w14:textId="2A822D1C" w:rsidR="00A95E5F" w:rsidRPr="00C553D7" w:rsidRDefault="00732F70" w:rsidP="00EC0F71">
            <w:pPr>
              <w:snapToGrid w:val="0"/>
              <w:rPr>
                <w:sz w:val="20"/>
                <w:lang w:val="fr-CH"/>
              </w:rPr>
            </w:pPr>
            <w:r>
              <w:rPr>
                <w:sz w:val="20"/>
                <w:lang w:val="fr-CH"/>
              </w:rPr>
              <w:t>Dans la Décision</w:t>
            </w:r>
            <w:r w:rsidR="00A95E5F" w:rsidRPr="00C553D7">
              <w:rPr>
                <w:sz w:val="20"/>
                <w:lang w:val="fr-CH"/>
              </w:rPr>
              <w:t xml:space="preserve"> SC59</w:t>
            </w:r>
            <w:r>
              <w:rPr>
                <w:sz w:val="20"/>
                <w:lang w:val="fr-CH"/>
              </w:rPr>
              <w:noBreakHyphen/>
            </w:r>
            <w:r w:rsidR="00A95E5F" w:rsidRPr="00C553D7">
              <w:rPr>
                <w:sz w:val="20"/>
                <w:lang w:val="fr-CH"/>
              </w:rPr>
              <w:t xml:space="preserve">40, </w:t>
            </w:r>
            <w:r>
              <w:rPr>
                <w:sz w:val="20"/>
                <w:lang w:val="fr-CH"/>
              </w:rPr>
              <w:t>le Comité permanent charg</w:t>
            </w:r>
            <w:r w:rsidR="00E91B0A">
              <w:rPr>
                <w:sz w:val="20"/>
                <w:lang w:val="fr-CH"/>
              </w:rPr>
              <w:t>e</w:t>
            </w:r>
            <w:r>
              <w:rPr>
                <w:sz w:val="20"/>
                <w:lang w:val="fr-CH"/>
              </w:rPr>
              <w:t xml:space="preserve"> le Groupe de travail sur la gestion d’élaborer un projet de résolution pour guider le processus de recrutement d’un nouveau Secrétaire général. Sur cette question, aucun projet de résolution n’a été soumis à la reprise de la </w:t>
            </w:r>
            <w:r w:rsidR="00E91B0A">
              <w:rPr>
                <w:sz w:val="20"/>
                <w:lang w:val="fr-CH"/>
              </w:rPr>
              <w:t>59</w:t>
            </w:r>
            <w:r w:rsidR="00E91B0A" w:rsidRPr="00E91B0A">
              <w:rPr>
                <w:sz w:val="20"/>
                <w:vertAlign w:val="superscript"/>
                <w:lang w:val="fr-CH"/>
              </w:rPr>
              <w:t>e</w:t>
            </w:r>
            <w:r w:rsidR="00E91B0A">
              <w:rPr>
                <w:sz w:val="20"/>
                <w:lang w:val="fr-CH"/>
              </w:rPr>
              <w:t xml:space="preserve"> </w:t>
            </w:r>
            <w:r>
              <w:rPr>
                <w:sz w:val="20"/>
                <w:lang w:val="fr-CH"/>
              </w:rPr>
              <w:t>réunion</w:t>
            </w:r>
            <w:r w:rsidR="00E91B0A">
              <w:rPr>
                <w:sz w:val="20"/>
                <w:lang w:val="fr-CH"/>
              </w:rPr>
              <w:t>,</w:t>
            </w:r>
            <w:r>
              <w:rPr>
                <w:sz w:val="20"/>
                <w:lang w:val="fr-CH"/>
              </w:rPr>
              <w:t xml:space="preserve"> en mai </w:t>
            </w:r>
            <w:r w:rsidR="0086199D" w:rsidRPr="00C553D7">
              <w:rPr>
                <w:sz w:val="20"/>
                <w:lang w:val="fr-CH"/>
              </w:rPr>
              <w:t>2022.</w:t>
            </w:r>
          </w:p>
        </w:tc>
        <w:tc>
          <w:tcPr>
            <w:tcW w:w="2032" w:type="dxa"/>
            <w:shd w:val="clear" w:color="auto" w:fill="auto"/>
          </w:tcPr>
          <w:p w14:paraId="118ABD5D" w14:textId="77777777" w:rsidR="00A95E5F" w:rsidRPr="00C553D7" w:rsidRDefault="00A95E5F" w:rsidP="008E7036">
            <w:pPr>
              <w:rPr>
                <w:sz w:val="20"/>
                <w:lang w:val="fr-CH"/>
              </w:rPr>
            </w:pPr>
          </w:p>
        </w:tc>
        <w:tc>
          <w:tcPr>
            <w:tcW w:w="2032" w:type="dxa"/>
            <w:shd w:val="clear" w:color="auto" w:fill="auto"/>
          </w:tcPr>
          <w:p w14:paraId="128F6524" w14:textId="77777777" w:rsidR="00A95E5F" w:rsidRPr="00C553D7" w:rsidRDefault="00A95E5F" w:rsidP="008E7036">
            <w:pPr>
              <w:pStyle w:val="Default"/>
              <w:rPr>
                <w:rFonts w:asciiTheme="minorHAnsi" w:hAnsiTheme="minorHAnsi" w:cstheme="minorHAnsi"/>
                <w:sz w:val="20"/>
                <w:szCs w:val="20"/>
                <w:lang w:val="fr-CH"/>
              </w:rPr>
            </w:pPr>
          </w:p>
        </w:tc>
        <w:tc>
          <w:tcPr>
            <w:tcW w:w="1418" w:type="dxa"/>
          </w:tcPr>
          <w:p w14:paraId="2227CD14" w14:textId="77777777" w:rsidR="00A95E5F" w:rsidRPr="00C553D7" w:rsidRDefault="00A95E5F" w:rsidP="008E7036">
            <w:pPr>
              <w:pStyle w:val="Default"/>
              <w:rPr>
                <w:rFonts w:asciiTheme="minorHAnsi" w:hAnsiTheme="minorHAnsi" w:cstheme="minorHAnsi"/>
                <w:b/>
                <w:sz w:val="20"/>
                <w:szCs w:val="20"/>
                <w:lang w:val="fr-CH"/>
              </w:rPr>
            </w:pPr>
            <w:r w:rsidRPr="00C553D7">
              <w:rPr>
                <w:rFonts w:asciiTheme="minorHAnsi" w:hAnsiTheme="minorHAnsi" w:cstheme="minorHAnsi"/>
                <w:b/>
                <w:sz w:val="20"/>
                <w:szCs w:val="20"/>
                <w:lang w:val="fr-CH"/>
              </w:rPr>
              <w:t>3</w:t>
            </w:r>
          </w:p>
        </w:tc>
        <w:tc>
          <w:tcPr>
            <w:tcW w:w="3118" w:type="dxa"/>
          </w:tcPr>
          <w:p w14:paraId="6BF3382D" w14:textId="58F8D2DF" w:rsidR="00A95E5F" w:rsidRPr="00C553D7" w:rsidRDefault="00BE1182" w:rsidP="00EC0F71">
            <w:pPr>
              <w:pStyle w:val="Default"/>
              <w:numPr>
                <w:ilvl w:val="0"/>
                <w:numId w:val="10"/>
              </w:numPr>
              <w:ind w:left="174" w:hanging="174"/>
              <w:rPr>
                <w:rFonts w:asciiTheme="minorHAnsi" w:hAnsiTheme="minorHAnsi"/>
                <w:sz w:val="20"/>
                <w:lang w:val="fr-CH"/>
              </w:rPr>
            </w:pPr>
            <w:r>
              <w:rPr>
                <w:rFonts w:asciiTheme="minorHAnsi" w:hAnsiTheme="minorHAnsi"/>
                <w:sz w:val="20"/>
                <w:lang w:val="fr-CH"/>
              </w:rPr>
              <w:t>L</w:t>
            </w:r>
            <w:r w:rsidR="006F06A0">
              <w:rPr>
                <w:rFonts w:asciiTheme="minorHAnsi" w:hAnsiTheme="minorHAnsi"/>
                <w:sz w:val="20"/>
                <w:lang w:val="fr-CH"/>
              </w:rPr>
              <w:t xml:space="preserve">e Groupe de travail sur la gestion </w:t>
            </w:r>
            <w:r>
              <w:rPr>
                <w:rFonts w:asciiTheme="minorHAnsi" w:hAnsiTheme="minorHAnsi"/>
                <w:sz w:val="20"/>
                <w:lang w:val="fr-CH"/>
              </w:rPr>
              <w:t xml:space="preserve">est prié de </w:t>
            </w:r>
            <w:r w:rsidR="006F06A0">
              <w:rPr>
                <w:rFonts w:asciiTheme="minorHAnsi" w:hAnsiTheme="minorHAnsi"/>
                <w:sz w:val="20"/>
                <w:lang w:val="fr-CH"/>
              </w:rPr>
              <w:t>prépare</w:t>
            </w:r>
            <w:r>
              <w:rPr>
                <w:rFonts w:asciiTheme="minorHAnsi" w:hAnsiTheme="minorHAnsi"/>
                <w:sz w:val="20"/>
                <w:lang w:val="fr-CH"/>
              </w:rPr>
              <w:t>r</w:t>
            </w:r>
            <w:r w:rsidR="006F06A0">
              <w:rPr>
                <w:rFonts w:asciiTheme="minorHAnsi" w:hAnsiTheme="minorHAnsi"/>
                <w:sz w:val="20"/>
                <w:lang w:val="fr-CH"/>
              </w:rPr>
              <w:t xml:space="preserve"> un projet de résolution pour examen à la </w:t>
            </w:r>
            <w:r w:rsidR="00002CE6">
              <w:rPr>
                <w:rFonts w:asciiTheme="minorHAnsi" w:hAnsiTheme="minorHAnsi"/>
                <w:sz w:val="20"/>
                <w:lang w:val="fr-CH"/>
              </w:rPr>
              <w:t>6</w:t>
            </w:r>
            <w:r w:rsidR="006F06A0">
              <w:rPr>
                <w:rFonts w:asciiTheme="minorHAnsi" w:hAnsiTheme="minorHAnsi"/>
                <w:sz w:val="20"/>
                <w:lang w:val="fr-CH"/>
              </w:rPr>
              <w:t>3</w:t>
            </w:r>
            <w:r w:rsidR="006F06A0" w:rsidRPr="006F06A0">
              <w:rPr>
                <w:rFonts w:asciiTheme="minorHAnsi" w:hAnsiTheme="minorHAnsi"/>
                <w:sz w:val="20"/>
                <w:vertAlign w:val="superscript"/>
                <w:lang w:val="fr-CH"/>
              </w:rPr>
              <w:t>e</w:t>
            </w:r>
            <w:r w:rsidR="006F06A0">
              <w:rPr>
                <w:rFonts w:asciiTheme="minorHAnsi" w:hAnsiTheme="minorHAnsi"/>
                <w:sz w:val="20"/>
                <w:lang w:val="fr-CH"/>
              </w:rPr>
              <w:t> Réunion du Comité permanent</w:t>
            </w:r>
            <w:r>
              <w:rPr>
                <w:rFonts w:asciiTheme="minorHAnsi" w:hAnsiTheme="minorHAnsi"/>
                <w:sz w:val="20"/>
                <w:lang w:val="fr-CH"/>
              </w:rPr>
              <w:t>,</w:t>
            </w:r>
            <w:r w:rsidR="006F06A0">
              <w:rPr>
                <w:rFonts w:asciiTheme="minorHAnsi" w:hAnsiTheme="minorHAnsi"/>
                <w:sz w:val="20"/>
                <w:lang w:val="fr-CH"/>
              </w:rPr>
              <w:t xml:space="preserve"> établissant le processus de recrutement d’un nouveau Secrétaire général pour répondre à la Décision </w:t>
            </w:r>
            <w:r w:rsidR="00A95E5F" w:rsidRPr="00C553D7">
              <w:rPr>
                <w:rFonts w:asciiTheme="minorHAnsi" w:hAnsiTheme="minorHAnsi"/>
                <w:sz w:val="20"/>
                <w:lang w:val="fr-CH"/>
              </w:rPr>
              <w:t>SC59-40.</w:t>
            </w:r>
          </w:p>
        </w:tc>
        <w:tc>
          <w:tcPr>
            <w:tcW w:w="3119" w:type="dxa"/>
          </w:tcPr>
          <w:p w14:paraId="6CBF143A" w14:textId="7E422589" w:rsidR="00A95E5F" w:rsidRPr="00C553D7" w:rsidRDefault="0061754A" w:rsidP="00EC0F71">
            <w:pPr>
              <w:pStyle w:val="Default"/>
              <w:numPr>
                <w:ilvl w:val="0"/>
                <w:numId w:val="10"/>
              </w:numPr>
              <w:ind w:left="174" w:hanging="174"/>
              <w:rPr>
                <w:rFonts w:asciiTheme="minorHAnsi" w:hAnsiTheme="minorHAnsi"/>
                <w:sz w:val="20"/>
                <w:lang w:val="fr-CH"/>
              </w:rPr>
            </w:pPr>
            <w:r>
              <w:rPr>
                <w:rFonts w:asciiTheme="minorHAnsi" w:hAnsiTheme="minorHAnsi"/>
                <w:sz w:val="20"/>
                <w:lang w:val="fr-CH"/>
              </w:rPr>
              <w:t xml:space="preserve">Soutenir le Groupe de travail sur la gestion </w:t>
            </w:r>
            <w:r w:rsidR="00C53B07">
              <w:rPr>
                <w:rFonts w:asciiTheme="minorHAnsi" w:hAnsiTheme="minorHAnsi"/>
                <w:sz w:val="20"/>
                <w:lang w:val="fr-CH"/>
              </w:rPr>
              <w:t>dans sa préparation d’</w:t>
            </w:r>
            <w:r>
              <w:rPr>
                <w:rFonts w:asciiTheme="minorHAnsi" w:hAnsiTheme="minorHAnsi"/>
                <w:sz w:val="20"/>
                <w:lang w:val="fr-CH"/>
              </w:rPr>
              <w:t xml:space="preserve">un projet de résolution en réponse à la Décision </w:t>
            </w:r>
            <w:r w:rsidR="00421EF9" w:rsidRPr="00C553D7">
              <w:rPr>
                <w:rFonts w:asciiTheme="minorHAnsi" w:hAnsiTheme="minorHAnsi"/>
                <w:sz w:val="20"/>
                <w:lang w:val="fr-CH"/>
              </w:rPr>
              <w:t>SC59-40</w:t>
            </w:r>
            <w:r w:rsidR="003832FD" w:rsidRPr="00C553D7">
              <w:rPr>
                <w:rFonts w:asciiTheme="minorHAnsi" w:hAnsiTheme="minorHAnsi" w:cstheme="minorHAnsi"/>
                <w:bCs/>
                <w:sz w:val="20"/>
                <w:szCs w:val="20"/>
                <w:lang w:val="fr-CH"/>
              </w:rPr>
              <w:t>.</w:t>
            </w:r>
          </w:p>
        </w:tc>
      </w:tr>
      <w:tr w:rsidR="00EC0F71" w:rsidRPr="00EA3CC7" w14:paraId="04997A53" w14:textId="77777777" w:rsidTr="00ED6197">
        <w:trPr>
          <w:cantSplit/>
        </w:trPr>
        <w:tc>
          <w:tcPr>
            <w:tcW w:w="1418" w:type="dxa"/>
          </w:tcPr>
          <w:p w14:paraId="052F880D" w14:textId="4C8BCA84" w:rsidR="00A95E5F" w:rsidRPr="00C553D7" w:rsidRDefault="00A95E5F" w:rsidP="008E7036">
            <w:pPr>
              <w:pStyle w:val="Default"/>
              <w:rPr>
                <w:rFonts w:asciiTheme="minorHAnsi" w:hAnsiTheme="minorHAnsi"/>
                <w:sz w:val="20"/>
                <w:lang w:val="fr-CH"/>
              </w:rPr>
            </w:pPr>
            <w:r w:rsidRPr="00C553D7">
              <w:rPr>
                <w:rFonts w:asciiTheme="minorHAnsi" w:hAnsiTheme="minorHAnsi"/>
                <w:sz w:val="20"/>
                <w:lang w:val="fr-CH"/>
              </w:rPr>
              <w:lastRenderedPageBreak/>
              <w:t xml:space="preserve">4. </w:t>
            </w:r>
            <w:r w:rsidR="00BB33B2">
              <w:rPr>
                <w:rFonts w:asciiTheme="minorHAnsi" w:hAnsiTheme="minorHAnsi"/>
                <w:sz w:val="20"/>
                <w:lang w:val="fr-CH"/>
              </w:rPr>
              <w:t xml:space="preserve">Indépendance </w:t>
            </w:r>
            <w:r w:rsidR="00F27AB3">
              <w:rPr>
                <w:rFonts w:asciiTheme="minorHAnsi" w:hAnsiTheme="minorHAnsi"/>
                <w:sz w:val="20"/>
                <w:lang w:val="fr-CH"/>
              </w:rPr>
              <w:t>d</w:t>
            </w:r>
            <w:r w:rsidR="00BB33B2">
              <w:rPr>
                <w:rFonts w:asciiTheme="minorHAnsi" w:hAnsiTheme="minorHAnsi"/>
                <w:sz w:val="20"/>
                <w:lang w:val="fr-CH"/>
              </w:rPr>
              <w:t>es ressources humaines</w:t>
            </w:r>
          </w:p>
        </w:tc>
        <w:tc>
          <w:tcPr>
            <w:tcW w:w="2031" w:type="dxa"/>
            <w:shd w:val="clear" w:color="auto" w:fill="auto"/>
          </w:tcPr>
          <w:p w14:paraId="0B82FE04" w14:textId="1624AB3D" w:rsidR="00A95E5F" w:rsidRPr="00C553D7" w:rsidRDefault="00002CE6" w:rsidP="008E7036">
            <w:pPr>
              <w:pStyle w:val="Default"/>
              <w:rPr>
                <w:rFonts w:asciiTheme="minorHAnsi" w:hAnsiTheme="minorHAnsi"/>
                <w:sz w:val="20"/>
                <w:lang w:val="fr-CH"/>
              </w:rPr>
            </w:pPr>
            <w:r>
              <w:rPr>
                <w:rFonts w:asciiTheme="minorHAnsi" w:hAnsiTheme="minorHAnsi"/>
                <w:sz w:val="20"/>
                <w:lang w:val="fr-CH"/>
              </w:rPr>
              <w:t>L</w:t>
            </w:r>
            <w:r w:rsidR="00B774A2">
              <w:rPr>
                <w:rFonts w:asciiTheme="minorHAnsi" w:hAnsiTheme="minorHAnsi"/>
                <w:sz w:val="20"/>
                <w:lang w:val="fr-CH"/>
              </w:rPr>
              <w:t xml:space="preserve">imites ressenties par le Secrétariat </w:t>
            </w:r>
            <w:r w:rsidR="00E91B0A">
              <w:rPr>
                <w:rFonts w:asciiTheme="minorHAnsi" w:hAnsiTheme="minorHAnsi"/>
                <w:sz w:val="20"/>
                <w:lang w:val="fr-CH"/>
              </w:rPr>
              <w:t>faute</w:t>
            </w:r>
            <w:r w:rsidR="00B774A2">
              <w:rPr>
                <w:rFonts w:asciiTheme="minorHAnsi" w:hAnsiTheme="minorHAnsi"/>
                <w:sz w:val="20"/>
                <w:lang w:val="fr-CH"/>
              </w:rPr>
              <w:t xml:space="preserve"> de personnalité juridique :</w:t>
            </w:r>
          </w:p>
          <w:p w14:paraId="3B57A822" w14:textId="77777777" w:rsidR="00A95E5F" w:rsidRPr="00C553D7" w:rsidRDefault="00A95E5F" w:rsidP="008E7036">
            <w:pPr>
              <w:pStyle w:val="Default"/>
              <w:rPr>
                <w:rFonts w:asciiTheme="minorHAnsi" w:hAnsiTheme="minorHAnsi"/>
                <w:sz w:val="20"/>
                <w:lang w:val="fr-CH"/>
              </w:rPr>
            </w:pPr>
          </w:p>
          <w:p w14:paraId="2CDA0189" w14:textId="06265CFE" w:rsidR="00A95E5F" w:rsidRPr="00C553D7" w:rsidRDefault="0010750C" w:rsidP="00E62BEF">
            <w:pPr>
              <w:pStyle w:val="Default"/>
              <w:numPr>
                <w:ilvl w:val="0"/>
                <w:numId w:val="17"/>
              </w:numPr>
              <w:ind w:left="177" w:hanging="177"/>
              <w:rPr>
                <w:rFonts w:asciiTheme="minorHAnsi" w:hAnsiTheme="minorHAnsi"/>
                <w:sz w:val="20"/>
                <w:lang w:val="fr-CH"/>
              </w:rPr>
            </w:pPr>
            <w:r>
              <w:rPr>
                <w:rFonts w:asciiTheme="minorHAnsi" w:hAnsiTheme="minorHAnsi"/>
                <w:sz w:val="20"/>
                <w:lang w:val="fr-CH"/>
              </w:rPr>
              <w:t xml:space="preserve">Compétitivité limitée </w:t>
            </w:r>
            <w:r w:rsidR="00E91B0A">
              <w:rPr>
                <w:rFonts w:asciiTheme="minorHAnsi" w:hAnsiTheme="minorHAnsi"/>
                <w:sz w:val="20"/>
                <w:lang w:val="fr-CH"/>
              </w:rPr>
              <w:t>pour le</w:t>
            </w:r>
            <w:r>
              <w:rPr>
                <w:rFonts w:asciiTheme="minorHAnsi" w:hAnsiTheme="minorHAnsi"/>
                <w:sz w:val="20"/>
                <w:lang w:val="fr-CH"/>
              </w:rPr>
              <w:t xml:space="preserve"> recrutement du personnel, par rapport aux conditions et prestations de l’ONU.</w:t>
            </w:r>
          </w:p>
          <w:p w14:paraId="4279AECD" w14:textId="77777777" w:rsidR="00A95E5F" w:rsidRPr="00C553D7" w:rsidRDefault="00A95E5F" w:rsidP="008E7036">
            <w:pPr>
              <w:pStyle w:val="Default"/>
              <w:rPr>
                <w:rFonts w:asciiTheme="minorHAnsi" w:hAnsiTheme="minorHAnsi"/>
                <w:sz w:val="20"/>
                <w:lang w:val="fr-CH"/>
              </w:rPr>
            </w:pPr>
          </w:p>
          <w:p w14:paraId="5133B3A1" w14:textId="7788A1AD" w:rsidR="00A95E5F" w:rsidRPr="00C553D7" w:rsidRDefault="0010750C" w:rsidP="00EC0F71">
            <w:pPr>
              <w:pStyle w:val="Default"/>
              <w:numPr>
                <w:ilvl w:val="0"/>
                <w:numId w:val="17"/>
              </w:numPr>
              <w:ind w:left="177" w:hanging="142"/>
              <w:rPr>
                <w:rFonts w:asciiTheme="minorHAnsi" w:hAnsiTheme="minorHAnsi"/>
                <w:sz w:val="20"/>
                <w:lang w:val="fr-CH"/>
              </w:rPr>
            </w:pPr>
            <w:r>
              <w:rPr>
                <w:rFonts w:asciiTheme="minorHAnsi" w:hAnsiTheme="minorHAnsi"/>
                <w:sz w:val="20"/>
                <w:lang w:val="fr-CH"/>
              </w:rPr>
              <w:t xml:space="preserve">Le recrutement et le maintien </w:t>
            </w:r>
            <w:r w:rsidR="00E91B0A">
              <w:rPr>
                <w:rFonts w:asciiTheme="minorHAnsi" w:hAnsiTheme="minorHAnsi"/>
                <w:sz w:val="20"/>
                <w:lang w:val="fr-CH"/>
              </w:rPr>
              <w:t xml:space="preserve">en poste </w:t>
            </w:r>
            <w:r>
              <w:rPr>
                <w:rFonts w:asciiTheme="minorHAnsi" w:hAnsiTheme="minorHAnsi"/>
                <w:sz w:val="20"/>
                <w:lang w:val="fr-CH"/>
              </w:rPr>
              <w:t>du personnel devien</w:t>
            </w:r>
            <w:r w:rsidR="00C53B07">
              <w:rPr>
                <w:rFonts w:asciiTheme="minorHAnsi" w:hAnsiTheme="minorHAnsi"/>
                <w:sz w:val="20"/>
                <w:lang w:val="fr-CH"/>
              </w:rPr>
              <w:t>t</w:t>
            </w:r>
            <w:r>
              <w:rPr>
                <w:rFonts w:asciiTheme="minorHAnsi" w:hAnsiTheme="minorHAnsi"/>
                <w:sz w:val="20"/>
                <w:lang w:val="fr-CH"/>
              </w:rPr>
              <w:t xml:space="preserve"> </w:t>
            </w:r>
            <w:r w:rsidR="00E91B0A">
              <w:rPr>
                <w:rFonts w:asciiTheme="minorHAnsi" w:hAnsiTheme="minorHAnsi"/>
                <w:sz w:val="20"/>
                <w:lang w:val="fr-CH"/>
              </w:rPr>
              <w:t>de plus en plus important</w:t>
            </w:r>
            <w:r>
              <w:rPr>
                <w:rFonts w:asciiTheme="minorHAnsi" w:hAnsiTheme="minorHAnsi"/>
                <w:sz w:val="20"/>
                <w:lang w:val="fr-CH"/>
              </w:rPr>
              <w:t xml:space="preserve"> </w:t>
            </w:r>
            <w:r w:rsidR="005A079F">
              <w:rPr>
                <w:rFonts w:asciiTheme="minorHAnsi" w:hAnsiTheme="minorHAnsi"/>
                <w:sz w:val="20"/>
                <w:lang w:val="fr-CH"/>
              </w:rPr>
              <w:t xml:space="preserve">du fait que </w:t>
            </w:r>
            <w:r>
              <w:rPr>
                <w:rFonts w:asciiTheme="minorHAnsi" w:hAnsiTheme="minorHAnsi"/>
                <w:sz w:val="20"/>
                <w:lang w:val="fr-CH"/>
              </w:rPr>
              <w:t xml:space="preserve">la compétitivité de l’UICN </w:t>
            </w:r>
            <w:r w:rsidR="005A079F">
              <w:rPr>
                <w:rFonts w:asciiTheme="minorHAnsi" w:hAnsiTheme="minorHAnsi"/>
                <w:sz w:val="20"/>
                <w:lang w:val="fr-CH"/>
              </w:rPr>
              <w:t>diminue par rapport à celle</w:t>
            </w:r>
            <w:r>
              <w:rPr>
                <w:rFonts w:asciiTheme="minorHAnsi" w:hAnsiTheme="minorHAnsi"/>
                <w:sz w:val="20"/>
                <w:lang w:val="fr-CH"/>
              </w:rPr>
              <w:t xml:space="preserve"> de l’ONU/</w:t>
            </w:r>
            <w:r w:rsidR="00EF34E1">
              <w:rPr>
                <w:rFonts w:asciiTheme="minorHAnsi" w:hAnsiTheme="minorHAnsi"/>
                <w:sz w:val="20"/>
                <w:lang w:val="fr-CH"/>
              </w:rPr>
              <w:t xml:space="preserve">et </w:t>
            </w:r>
            <w:r w:rsidR="00EF34E1" w:rsidRPr="00EF34E1">
              <w:rPr>
                <w:rFonts w:asciiTheme="minorHAnsi" w:hAnsiTheme="minorHAnsi"/>
                <w:sz w:val="20"/>
                <w:lang w:val="fr-CH"/>
              </w:rPr>
              <w:t>d’</w:t>
            </w:r>
            <w:r w:rsidRPr="00EF34E1">
              <w:rPr>
                <w:rFonts w:asciiTheme="minorHAnsi" w:hAnsiTheme="minorHAnsi"/>
                <w:sz w:val="20"/>
                <w:lang w:val="fr-CH"/>
              </w:rPr>
              <w:t>autres contrats</w:t>
            </w:r>
            <w:r w:rsidR="005A079F">
              <w:rPr>
                <w:rFonts w:asciiTheme="minorHAnsi" w:hAnsiTheme="minorHAnsi"/>
                <w:sz w:val="20"/>
                <w:lang w:val="fr-CH"/>
              </w:rPr>
              <w:t>.</w:t>
            </w:r>
            <w:r>
              <w:rPr>
                <w:rFonts w:asciiTheme="minorHAnsi" w:hAnsiTheme="minorHAnsi"/>
                <w:sz w:val="20"/>
                <w:lang w:val="fr-CH"/>
              </w:rPr>
              <w:t xml:space="preserve"> </w:t>
            </w:r>
          </w:p>
        </w:tc>
        <w:tc>
          <w:tcPr>
            <w:tcW w:w="2032" w:type="dxa"/>
            <w:shd w:val="clear" w:color="auto" w:fill="auto"/>
          </w:tcPr>
          <w:p w14:paraId="477F1A6E" w14:textId="0DBD3419" w:rsidR="00A95E5F" w:rsidRPr="00C553D7" w:rsidRDefault="007A2F5A" w:rsidP="001A57DF">
            <w:pPr>
              <w:rPr>
                <w:sz w:val="20"/>
                <w:lang w:val="fr-CH"/>
              </w:rPr>
            </w:pPr>
            <w:r>
              <w:rPr>
                <w:sz w:val="20"/>
                <w:lang w:val="fr-CH"/>
              </w:rPr>
              <w:t>Depuis</w:t>
            </w:r>
            <w:r w:rsidR="00A95E5F" w:rsidRPr="00C553D7">
              <w:rPr>
                <w:sz w:val="20"/>
                <w:lang w:val="fr-CH"/>
              </w:rPr>
              <w:t xml:space="preserve"> 2017</w:t>
            </w:r>
            <w:r>
              <w:rPr>
                <w:sz w:val="20"/>
                <w:lang w:val="fr-CH"/>
              </w:rPr>
              <w:t>, pour travail</w:t>
            </w:r>
            <w:r w:rsidR="005F1B90">
              <w:rPr>
                <w:sz w:val="20"/>
                <w:lang w:val="fr-CH"/>
              </w:rPr>
              <w:t>ler et résider en Suisse</w:t>
            </w:r>
            <w:r>
              <w:rPr>
                <w:sz w:val="20"/>
                <w:lang w:val="fr-CH"/>
              </w:rPr>
              <w:t xml:space="preserve">, les membres internationaux expatriés du personnel ont droit à </w:t>
            </w:r>
            <w:r w:rsidR="005F1B90">
              <w:rPr>
                <w:sz w:val="20"/>
                <w:lang w:val="fr-CH"/>
              </w:rPr>
              <w:t>une</w:t>
            </w:r>
            <w:r>
              <w:rPr>
                <w:sz w:val="20"/>
                <w:lang w:val="fr-CH"/>
              </w:rPr>
              <w:t xml:space="preserve"> carte de légitimation plutôt qu’à </w:t>
            </w:r>
            <w:r w:rsidR="005F1B90">
              <w:rPr>
                <w:sz w:val="20"/>
                <w:lang w:val="fr-CH"/>
              </w:rPr>
              <w:t>un</w:t>
            </w:r>
            <w:r>
              <w:rPr>
                <w:sz w:val="20"/>
                <w:lang w:val="fr-CH"/>
              </w:rPr>
              <w:t xml:space="preserve"> permis B ou C, ce qui </w:t>
            </w:r>
            <w:r w:rsidR="005F1B90">
              <w:rPr>
                <w:sz w:val="20"/>
                <w:lang w:val="fr-CH"/>
              </w:rPr>
              <w:t>est source de</w:t>
            </w:r>
            <w:r>
              <w:rPr>
                <w:sz w:val="20"/>
                <w:lang w:val="fr-CH"/>
              </w:rPr>
              <w:t xml:space="preserve"> problèmes (le personnel non suisse, </w:t>
            </w:r>
            <w:r w:rsidR="005F1B90">
              <w:rPr>
                <w:sz w:val="20"/>
                <w:lang w:val="fr-CH"/>
              </w:rPr>
              <w:t>qui quitte</w:t>
            </w:r>
            <w:r>
              <w:rPr>
                <w:sz w:val="20"/>
                <w:lang w:val="fr-CH"/>
              </w:rPr>
              <w:t xml:space="preserve"> l’UICN, n’est pas autorisé à postuler pour du travail offert en Suisse et doit faire une nouvelle demande </w:t>
            </w:r>
            <w:r w:rsidR="005F1B90">
              <w:rPr>
                <w:sz w:val="20"/>
                <w:lang w:val="fr-CH"/>
              </w:rPr>
              <w:t>de</w:t>
            </w:r>
            <w:r>
              <w:rPr>
                <w:sz w:val="20"/>
                <w:lang w:val="fr-CH"/>
              </w:rPr>
              <w:t xml:space="preserve"> permis suisse ou résident). Les nouveaux membres du personnel et leurs dépendants </w:t>
            </w:r>
            <w:r w:rsidR="005F1B90">
              <w:rPr>
                <w:sz w:val="20"/>
                <w:lang w:val="fr-CH"/>
              </w:rPr>
              <w:t xml:space="preserve">originaires </w:t>
            </w:r>
            <w:r>
              <w:rPr>
                <w:sz w:val="20"/>
                <w:lang w:val="fr-CH"/>
              </w:rPr>
              <w:t xml:space="preserve">de pays </w:t>
            </w:r>
            <w:r w:rsidR="005F1B90">
              <w:rPr>
                <w:sz w:val="20"/>
                <w:lang w:val="fr-CH"/>
              </w:rPr>
              <w:t>hors</w:t>
            </w:r>
            <w:r>
              <w:rPr>
                <w:sz w:val="20"/>
                <w:lang w:val="fr-CH"/>
              </w:rPr>
              <w:t xml:space="preserve"> UE/</w:t>
            </w:r>
            <w:r w:rsidR="005F1B90">
              <w:rPr>
                <w:sz w:val="20"/>
                <w:lang w:val="fr-CH"/>
              </w:rPr>
              <w:t>AELE</w:t>
            </w:r>
            <w:r>
              <w:rPr>
                <w:sz w:val="20"/>
                <w:lang w:val="fr-CH"/>
              </w:rPr>
              <w:t xml:space="preserve"> peuvent être priés d’obtenir un visa d’entrée en Suisse.</w:t>
            </w:r>
          </w:p>
        </w:tc>
        <w:tc>
          <w:tcPr>
            <w:tcW w:w="2032" w:type="dxa"/>
            <w:shd w:val="clear" w:color="auto" w:fill="auto"/>
          </w:tcPr>
          <w:p w14:paraId="798704E3" w14:textId="055D284C" w:rsidR="00145256" w:rsidRPr="00C553D7" w:rsidRDefault="00145256" w:rsidP="00145256">
            <w:pPr>
              <w:autoSpaceDE w:val="0"/>
              <w:autoSpaceDN w:val="0"/>
              <w:adjustRightInd w:val="0"/>
              <w:rPr>
                <w:sz w:val="20"/>
                <w:lang w:val="fr-CH"/>
              </w:rPr>
            </w:pPr>
            <w:r>
              <w:rPr>
                <w:sz w:val="20"/>
                <w:lang w:val="fr-CH"/>
              </w:rPr>
              <w:t>Le tableau d’équivalences de l’UICN, entre les postes UICN et ONU, n’identifie pas d’équivalences claires ; il comprend des gammes d’équivalences possibles. Par exemple, selon le tableau de l’UICN, un poste</w:t>
            </w:r>
            <w:r w:rsidR="00A95E5F" w:rsidRPr="00C553D7">
              <w:rPr>
                <w:sz w:val="20"/>
                <w:lang w:val="fr-CH"/>
              </w:rPr>
              <w:t xml:space="preserve"> P1 </w:t>
            </w:r>
            <w:r>
              <w:rPr>
                <w:sz w:val="20"/>
                <w:lang w:val="fr-CH"/>
              </w:rPr>
              <w:t xml:space="preserve">à l’UICN pourrait être équivalent à un poste P1 ou P2 dans le système des Nations Unies. </w:t>
            </w:r>
          </w:p>
          <w:p w14:paraId="4BD36D6D" w14:textId="35F8B62A" w:rsidR="00A95E5F" w:rsidRPr="00C553D7" w:rsidRDefault="00A95E5F" w:rsidP="008E7036">
            <w:pPr>
              <w:pStyle w:val="Default"/>
              <w:rPr>
                <w:rFonts w:asciiTheme="minorHAnsi" w:hAnsiTheme="minorHAnsi"/>
                <w:sz w:val="20"/>
                <w:lang w:val="fr-CH"/>
              </w:rPr>
            </w:pPr>
          </w:p>
        </w:tc>
        <w:tc>
          <w:tcPr>
            <w:tcW w:w="1418" w:type="dxa"/>
          </w:tcPr>
          <w:p w14:paraId="0919DD45" w14:textId="77777777" w:rsidR="00A95E5F" w:rsidRPr="00C553D7" w:rsidRDefault="00A95E5F" w:rsidP="008E7036">
            <w:pPr>
              <w:pStyle w:val="Default"/>
              <w:rPr>
                <w:rFonts w:asciiTheme="minorHAnsi" w:hAnsiTheme="minorHAnsi" w:cstheme="minorHAnsi"/>
                <w:b/>
                <w:sz w:val="20"/>
                <w:szCs w:val="20"/>
                <w:lang w:val="fr-CH"/>
              </w:rPr>
            </w:pPr>
            <w:r w:rsidRPr="00C553D7">
              <w:rPr>
                <w:rFonts w:asciiTheme="minorHAnsi" w:hAnsiTheme="minorHAnsi" w:cstheme="minorHAnsi"/>
                <w:b/>
                <w:sz w:val="20"/>
                <w:szCs w:val="20"/>
                <w:lang w:val="fr-CH"/>
              </w:rPr>
              <w:t>3</w:t>
            </w:r>
            <w:bookmarkStart w:id="0" w:name="_GoBack"/>
            <w:bookmarkEnd w:id="0"/>
          </w:p>
        </w:tc>
        <w:tc>
          <w:tcPr>
            <w:tcW w:w="3118" w:type="dxa"/>
          </w:tcPr>
          <w:p w14:paraId="404A5E68" w14:textId="4D7636F7" w:rsidR="00A95E5F" w:rsidRPr="00C553D7" w:rsidRDefault="0073373E" w:rsidP="00942F40">
            <w:pPr>
              <w:pStyle w:val="Default"/>
              <w:numPr>
                <w:ilvl w:val="0"/>
                <w:numId w:val="10"/>
              </w:numPr>
              <w:ind w:left="174" w:hanging="174"/>
              <w:rPr>
                <w:rFonts w:asciiTheme="minorHAnsi" w:hAnsiTheme="minorHAnsi"/>
                <w:sz w:val="20"/>
                <w:lang w:val="fr-CH"/>
              </w:rPr>
            </w:pPr>
            <w:r>
              <w:rPr>
                <w:rFonts w:asciiTheme="minorHAnsi" w:hAnsiTheme="minorHAnsi"/>
                <w:sz w:val="20"/>
                <w:lang w:val="fr-CH"/>
              </w:rPr>
              <w:t>Préparer des comparaisons pour comprendre les limites en matière de compétitivité.</w:t>
            </w:r>
          </w:p>
          <w:p w14:paraId="00149A6B" w14:textId="058E5393" w:rsidR="00A95E5F" w:rsidRPr="00C553D7" w:rsidRDefault="00A95E5F" w:rsidP="00EC0F71">
            <w:pPr>
              <w:pStyle w:val="Default"/>
              <w:numPr>
                <w:ilvl w:val="0"/>
                <w:numId w:val="10"/>
              </w:numPr>
              <w:ind w:left="174" w:hanging="174"/>
              <w:rPr>
                <w:rFonts w:asciiTheme="minorHAnsi" w:hAnsiTheme="minorHAnsi"/>
                <w:b/>
                <w:sz w:val="20"/>
                <w:lang w:val="fr-CH"/>
              </w:rPr>
            </w:pPr>
            <w:r w:rsidRPr="00C553D7">
              <w:rPr>
                <w:rFonts w:asciiTheme="minorHAnsi" w:hAnsiTheme="minorHAnsi"/>
                <w:sz w:val="20"/>
                <w:lang w:val="fr-CH"/>
              </w:rPr>
              <w:t>Discussion</w:t>
            </w:r>
            <w:r w:rsidR="0073373E">
              <w:rPr>
                <w:rFonts w:asciiTheme="minorHAnsi" w:hAnsiTheme="minorHAnsi"/>
                <w:sz w:val="20"/>
                <w:lang w:val="fr-CH"/>
              </w:rPr>
              <w:t>s avec le pays hôte pour trouver des solutions possibles à court terme.</w:t>
            </w:r>
            <w:r w:rsidR="002129DD">
              <w:rPr>
                <w:rFonts w:asciiTheme="minorHAnsi" w:hAnsiTheme="minorHAnsi"/>
                <w:sz w:val="20"/>
                <w:lang w:val="fr-CH"/>
              </w:rPr>
              <w:t xml:space="preserve"> </w:t>
            </w:r>
          </w:p>
        </w:tc>
        <w:tc>
          <w:tcPr>
            <w:tcW w:w="3119" w:type="dxa"/>
          </w:tcPr>
          <w:p w14:paraId="3174BE28" w14:textId="7E9A12F1" w:rsidR="00421EF9" w:rsidRPr="00C553D7" w:rsidRDefault="0061754A" w:rsidP="001C32A6">
            <w:pPr>
              <w:pStyle w:val="Default"/>
              <w:numPr>
                <w:ilvl w:val="0"/>
                <w:numId w:val="10"/>
              </w:numPr>
              <w:ind w:left="174" w:hanging="174"/>
              <w:rPr>
                <w:rFonts w:asciiTheme="minorHAnsi" w:hAnsiTheme="minorHAnsi"/>
                <w:sz w:val="20"/>
                <w:lang w:val="fr-CH"/>
              </w:rPr>
            </w:pPr>
            <w:r>
              <w:rPr>
                <w:rFonts w:asciiTheme="minorHAnsi" w:hAnsiTheme="minorHAnsi"/>
                <w:sz w:val="20"/>
                <w:lang w:val="fr-CH"/>
              </w:rPr>
              <w:t xml:space="preserve">Discuter avec l’UICN </w:t>
            </w:r>
            <w:r w:rsidR="00C53B07">
              <w:rPr>
                <w:rFonts w:asciiTheme="minorHAnsi" w:hAnsiTheme="minorHAnsi"/>
                <w:sz w:val="20"/>
                <w:lang w:val="fr-CH"/>
              </w:rPr>
              <w:t>des moyens</w:t>
            </w:r>
            <w:r>
              <w:rPr>
                <w:rFonts w:asciiTheme="minorHAnsi" w:hAnsiTheme="minorHAnsi"/>
                <w:sz w:val="20"/>
                <w:lang w:val="fr-CH"/>
              </w:rPr>
              <w:t xml:space="preserve"> d’améliorer la compétitivité des contrats de l’UICN. </w:t>
            </w:r>
          </w:p>
          <w:p w14:paraId="66AFE2B7" w14:textId="657AB5F5" w:rsidR="00A95E5F" w:rsidRPr="00C553D7" w:rsidRDefault="0061754A" w:rsidP="00942F40">
            <w:pPr>
              <w:pStyle w:val="Default"/>
              <w:numPr>
                <w:ilvl w:val="0"/>
                <w:numId w:val="10"/>
              </w:numPr>
              <w:ind w:left="174" w:hanging="174"/>
              <w:rPr>
                <w:rFonts w:asciiTheme="minorHAnsi" w:hAnsiTheme="minorHAnsi"/>
                <w:sz w:val="20"/>
                <w:lang w:val="fr-CH"/>
              </w:rPr>
            </w:pPr>
            <w:r>
              <w:rPr>
                <w:rFonts w:asciiTheme="minorHAnsi" w:hAnsiTheme="minorHAnsi"/>
                <w:sz w:val="20"/>
                <w:lang w:val="fr-CH"/>
              </w:rPr>
              <w:t>Demander à l’UICN d’</w:t>
            </w:r>
            <w:r w:rsidR="00C53B07">
              <w:rPr>
                <w:rFonts w:asciiTheme="minorHAnsi" w:hAnsiTheme="minorHAnsi"/>
                <w:sz w:val="20"/>
                <w:lang w:val="fr-CH"/>
              </w:rPr>
              <w:t>établir</w:t>
            </w:r>
            <w:r>
              <w:rPr>
                <w:rFonts w:asciiTheme="minorHAnsi" w:hAnsiTheme="minorHAnsi"/>
                <w:sz w:val="20"/>
                <w:lang w:val="fr-CH"/>
              </w:rPr>
              <w:t xml:space="preserve"> des équivalences claires entre les postes </w:t>
            </w:r>
            <w:r w:rsidR="00C53B07">
              <w:rPr>
                <w:rFonts w:asciiTheme="minorHAnsi" w:hAnsiTheme="minorHAnsi"/>
                <w:sz w:val="20"/>
                <w:lang w:val="fr-CH"/>
              </w:rPr>
              <w:t>de</w:t>
            </w:r>
            <w:r>
              <w:rPr>
                <w:rFonts w:asciiTheme="minorHAnsi" w:hAnsiTheme="minorHAnsi"/>
                <w:sz w:val="20"/>
                <w:lang w:val="fr-CH"/>
              </w:rPr>
              <w:t xml:space="preserve"> l’UICN et </w:t>
            </w:r>
            <w:r w:rsidR="00C53B07">
              <w:rPr>
                <w:rFonts w:asciiTheme="minorHAnsi" w:hAnsiTheme="minorHAnsi"/>
                <w:sz w:val="20"/>
                <w:lang w:val="fr-CH"/>
              </w:rPr>
              <w:t>de</w:t>
            </w:r>
            <w:r>
              <w:rPr>
                <w:rFonts w:asciiTheme="minorHAnsi" w:hAnsiTheme="minorHAnsi"/>
                <w:sz w:val="20"/>
                <w:lang w:val="fr-CH"/>
              </w:rPr>
              <w:t xml:space="preserve"> l’ONU. </w:t>
            </w:r>
          </w:p>
        </w:tc>
      </w:tr>
      <w:tr w:rsidR="00EC0F71" w:rsidRPr="00EA3CC7" w14:paraId="04D373BE" w14:textId="77777777" w:rsidTr="00ED6197">
        <w:trPr>
          <w:cantSplit/>
        </w:trPr>
        <w:tc>
          <w:tcPr>
            <w:tcW w:w="1418" w:type="dxa"/>
          </w:tcPr>
          <w:p w14:paraId="0EF66E97" w14:textId="49490CAA" w:rsidR="00A95E5F" w:rsidRPr="00C553D7" w:rsidRDefault="00A95E5F" w:rsidP="008E7036">
            <w:pPr>
              <w:pStyle w:val="Default"/>
              <w:rPr>
                <w:rFonts w:asciiTheme="minorHAnsi" w:hAnsiTheme="minorHAnsi"/>
                <w:sz w:val="20"/>
                <w:lang w:val="fr-CH"/>
              </w:rPr>
            </w:pPr>
            <w:r w:rsidRPr="00C553D7">
              <w:rPr>
                <w:rFonts w:asciiTheme="minorHAnsi" w:hAnsiTheme="minorHAnsi"/>
                <w:sz w:val="20"/>
                <w:lang w:val="fr-CH"/>
              </w:rPr>
              <w:lastRenderedPageBreak/>
              <w:t>5.</w:t>
            </w:r>
            <w:r w:rsidR="00BB33B2">
              <w:rPr>
                <w:rFonts w:asciiTheme="minorHAnsi" w:hAnsiTheme="minorHAnsi"/>
                <w:sz w:val="20"/>
                <w:lang w:val="fr-CH"/>
              </w:rPr>
              <w:t xml:space="preserve"> Engagement politique de haut niveau et objectifs de visibilité de la Convention.</w:t>
            </w:r>
          </w:p>
          <w:p w14:paraId="1EFD3F52" w14:textId="77777777" w:rsidR="00A95E5F" w:rsidRPr="00C553D7" w:rsidRDefault="00A95E5F" w:rsidP="008E7036">
            <w:pPr>
              <w:pStyle w:val="Default"/>
              <w:rPr>
                <w:rFonts w:asciiTheme="minorHAnsi" w:hAnsiTheme="minorHAnsi"/>
                <w:sz w:val="20"/>
                <w:lang w:val="fr-CH"/>
              </w:rPr>
            </w:pPr>
          </w:p>
          <w:p w14:paraId="7472E38F" w14:textId="19288480" w:rsidR="00A95E5F" w:rsidRPr="00C553D7" w:rsidRDefault="00A95E5F" w:rsidP="008E7036">
            <w:pPr>
              <w:pStyle w:val="Default"/>
              <w:rPr>
                <w:rFonts w:asciiTheme="minorHAnsi" w:hAnsiTheme="minorHAnsi"/>
                <w:sz w:val="20"/>
                <w:lang w:val="fr-CH"/>
              </w:rPr>
            </w:pPr>
            <w:r w:rsidRPr="00C553D7">
              <w:rPr>
                <w:rFonts w:asciiTheme="minorHAnsi" w:hAnsiTheme="minorHAnsi"/>
                <w:sz w:val="20"/>
                <w:lang w:val="fr-CH"/>
              </w:rPr>
              <w:t>T</w:t>
            </w:r>
            <w:r w:rsidR="00BB33B2">
              <w:rPr>
                <w:rFonts w:asciiTheme="minorHAnsi" w:hAnsiTheme="minorHAnsi"/>
                <w:sz w:val="20"/>
                <w:lang w:val="fr-CH"/>
              </w:rPr>
              <w:t xml:space="preserve">rois questions ont été identifiées par le Groupe de travail sur le Statut d’observateur concernant la participation internationale et la visibilité du Secrétariat du point de vue de son statut juridique. </w:t>
            </w:r>
          </w:p>
        </w:tc>
        <w:tc>
          <w:tcPr>
            <w:tcW w:w="2031" w:type="dxa"/>
            <w:shd w:val="clear" w:color="auto" w:fill="auto"/>
          </w:tcPr>
          <w:p w14:paraId="7690DCAE" w14:textId="5D118674" w:rsidR="00A95E5F" w:rsidRPr="00C553D7" w:rsidRDefault="007F7E1D" w:rsidP="008E7036">
            <w:pPr>
              <w:pStyle w:val="Default"/>
              <w:rPr>
                <w:rFonts w:asciiTheme="minorHAnsi" w:hAnsiTheme="minorHAnsi"/>
                <w:sz w:val="20"/>
                <w:lang w:val="fr-CH"/>
              </w:rPr>
            </w:pPr>
            <w:r>
              <w:rPr>
                <w:rFonts w:asciiTheme="minorHAnsi" w:hAnsiTheme="minorHAnsi"/>
                <w:sz w:val="20"/>
                <w:lang w:val="fr-CH"/>
              </w:rPr>
              <w:t>Participation internationale et visibilité :</w:t>
            </w:r>
            <w:r w:rsidR="00A95E5F" w:rsidRPr="00C553D7">
              <w:rPr>
                <w:rFonts w:asciiTheme="minorHAnsi" w:hAnsiTheme="minorHAnsi"/>
                <w:sz w:val="20"/>
                <w:lang w:val="fr-CH"/>
              </w:rPr>
              <w:t xml:space="preserve"> </w:t>
            </w:r>
          </w:p>
          <w:p w14:paraId="2E6F099B" w14:textId="09115AB6" w:rsidR="00A95E5F" w:rsidRPr="00C553D7" w:rsidRDefault="00A95E5F" w:rsidP="008E7036">
            <w:pPr>
              <w:rPr>
                <w:sz w:val="20"/>
                <w:lang w:val="fr-CH"/>
              </w:rPr>
            </w:pPr>
            <w:r w:rsidRPr="00C553D7">
              <w:rPr>
                <w:sz w:val="20"/>
                <w:lang w:val="fr-CH"/>
              </w:rPr>
              <w:t xml:space="preserve">a) </w:t>
            </w:r>
            <w:r w:rsidR="007F7E1D">
              <w:rPr>
                <w:sz w:val="20"/>
                <w:lang w:val="fr-CH"/>
              </w:rPr>
              <w:t>Manque de possibilité de participer aux forums et aux événements</w:t>
            </w:r>
            <w:r w:rsidR="00E91B0A">
              <w:rPr>
                <w:sz w:val="20"/>
                <w:lang w:val="fr-CH"/>
              </w:rPr>
              <w:t xml:space="preserve"> de haut niveau des Nations Unies</w:t>
            </w:r>
            <w:r w:rsidR="007F7E1D">
              <w:rPr>
                <w:sz w:val="20"/>
                <w:lang w:val="fr-CH"/>
              </w:rPr>
              <w:t xml:space="preserve"> (tels que les réunions du Forum politique de haut niveau sur le développement durable et l’Assemblée générale des Nations Unies</w:t>
            </w:r>
            <w:r w:rsidRPr="00C553D7">
              <w:rPr>
                <w:rFonts w:cstheme="minorHAnsi"/>
                <w:sz w:val="20"/>
                <w:szCs w:val="20"/>
                <w:lang w:val="fr-CH"/>
              </w:rPr>
              <w:t>)</w:t>
            </w:r>
            <w:r w:rsidR="001B2271">
              <w:rPr>
                <w:rFonts w:cstheme="minorHAnsi"/>
                <w:sz w:val="20"/>
                <w:szCs w:val="20"/>
                <w:lang w:val="fr-CH"/>
              </w:rPr>
              <w:t>.</w:t>
            </w:r>
          </w:p>
        </w:tc>
        <w:tc>
          <w:tcPr>
            <w:tcW w:w="2032" w:type="dxa"/>
            <w:shd w:val="clear" w:color="auto" w:fill="auto"/>
          </w:tcPr>
          <w:p w14:paraId="74D045AA" w14:textId="7FF830D4" w:rsidR="00A95E5F" w:rsidRPr="00C553D7" w:rsidRDefault="00A95E5F" w:rsidP="00EC0F71">
            <w:pPr>
              <w:pStyle w:val="Default"/>
              <w:rPr>
                <w:rFonts w:asciiTheme="minorHAnsi" w:hAnsiTheme="minorHAnsi"/>
                <w:sz w:val="20"/>
                <w:lang w:val="fr-CH"/>
              </w:rPr>
            </w:pPr>
            <w:r w:rsidRPr="00C553D7">
              <w:rPr>
                <w:rFonts w:asciiTheme="minorHAnsi" w:hAnsiTheme="minorHAnsi"/>
                <w:sz w:val="20"/>
                <w:lang w:val="fr-CH"/>
              </w:rPr>
              <w:t xml:space="preserve">b) </w:t>
            </w:r>
            <w:r w:rsidR="00723957">
              <w:rPr>
                <w:rFonts w:asciiTheme="minorHAnsi" w:hAnsiTheme="minorHAnsi"/>
                <w:sz w:val="20"/>
                <w:lang w:val="fr-CH"/>
              </w:rPr>
              <w:t xml:space="preserve">Difficultés </w:t>
            </w:r>
            <w:r w:rsidR="00C376DE">
              <w:rPr>
                <w:rFonts w:asciiTheme="minorHAnsi" w:hAnsiTheme="minorHAnsi"/>
                <w:sz w:val="20"/>
                <w:lang w:val="fr-CH"/>
              </w:rPr>
              <w:t>de</w:t>
            </w:r>
            <w:r w:rsidR="00723957">
              <w:rPr>
                <w:rFonts w:asciiTheme="minorHAnsi" w:hAnsiTheme="minorHAnsi"/>
                <w:sz w:val="20"/>
                <w:lang w:val="fr-CH"/>
              </w:rPr>
              <w:t xml:space="preserve"> participer en tant que membre aux mécanismes de coordination interagences du système des Nations Unies (comme </w:t>
            </w:r>
            <w:r w:rsidRPr="00C553D7">
              <w:rPr>
                <w:rFonts w:asciiTheme="minorHAnsi" w:hAnsiTheme="minorHAnsi"/>
                <w:sz w:val="20"/>
                <w:lang w:val="fr-CH"/>
              </w:rPr>
              <w:t>EC</w:t>
            </w:r>
            <w:r w:rsidR="0086199D" w:rsidRPr="00C553D7">
              <w:rPr>
                <w:rFonts w:asciiTheme="minorHAnsi" w:hAnsiTheme="minorHAnsi"/>
                <w:sz w:val="20"/>
                <w:lang w:val="fr-CH"/>
              </w:rPr>
              <w:t xml:space="preserve">ESA Plus, </w:t>
            </w:r>
            <w:r w:rsidR="00723957">
              <w:rPr>
                <w:rFonts w:asciiTheme="minorHAnsi" w:hAnsiTheme="minorHAnsi"/>
                <w:sz w:val="20"/>
                <w:lang w:val="fr-CH"/>
              </w:rPr>
              <w:t>ONU</w:t>
            </w:r>
            <w:r w:rsidR="0086199D" w:rsidRPr="00C553D7">
              <w:rPr>
                <w:rFonts w:asciiTheme="minorHAnsi" w:hAnsiTheme="minorHAnsi"/>
                <w:sz w:val="20"/>
                <w:lang w:val="fr-CH"/>
              </w:rPr>
              <w:t>-Oc</w:t>
            </w:r>
            <w:r w:rsidR="00723957">
              <w:rPr>
                <w:rFonts w:asciiTheme="minorHAnsi" w:hAnsiTheme="minorHAnsi"/>
                <w:sz w:val="20"/>
                <w:lang w:val="fr-CH"/>
              </w:rPr>
              <w:t>é</w:t>
            </w:r>
            <w:r w:rsidR="0086199D" w:rsidRPr="00C553D7">
              <w:rPr>
                <w:rFonts w:asciiTheme="minorHAnsi" w:hAnsiTheme="minorHAnsi"/>
                <w:sz w:val="20"/>
                <w:lang w:val="fr-CH"/>
              </w:rPr>
              <w:t xml:space="preserve">ans, </w:t>
            </w:r>
            <w:r w:rsidR="00723957">
              <w:rPr>
                <w:rFonts w:asciiTheme="minorHAnsi" w:hAnsiTheme="minorHAnsi"/>
                <w:sz w:val="20"/>
                <w:lang w:val="fr-CH"/>
              </w:rPr>
              <w:t>ONU</w:t>
            </w:r>
            <w:r w:rsidR="0086199D" w:rsidRPr="00C553D7">
              <w:rPr>
                <w:rFonts w:asciiTheme="minorHAnsi" w:hAnsiTheme="minorHAnsi"/>
                <w:sz w:val="20"/>
                <w:lang w:val="fr-CH"/>
              </w:rPr>
              <w:t>-</w:t>
            </w:r>
            <w:r w:rsidR="00723957">
              <w:rPr>
                <w:rFonts w:asciiTheme="minorHAnsi" w:hAnsiTheme="minorHAnsi"/>
                <w:sz w:val="20"/>
                <w:lang w:val="fr-CH"/>
              </w:rPr>
              <w:t>Eau</w:t>
            </w:r>
            <w:r w:rsidR="0086199D" w:rsidRPr="00C553D7">
              <w:rPr>
                <w:rFonts w:asciiTheme="minorHAnsi" w:hAnsiTheme="minorHAnsi"/>
                <w:sz w:val="20"/>
                <w:lang w:val="fr-CH"/>
              </w:rPr>
              <w:t>).</w:t>
            </w:r>
          </w:p>
        </w:tc>
        <w:tc>
          <w:tcPr>
            <w:tcW w:w="2032" w:type="dxa"/>
            <w:shd w:val="clear" w:color="auto" w:fill="auto"/>
          </w:tcPr>
          <w:p w14:paraId="750D7A19" w14:textId="52D6531D" w:rsidR="00A95E5F" w:rsidRPr="00C553D7" w:rsidRDefault="00A95E5F" w:rsidP="008E7036">
            <w:pPr>
              <w:pStyle w:val="Default"/>
              <w:rPr>
                <w:rFonts w:asciiTheme="minorHAnsi" w:hAnsiTheme="minorHAnsi"/>
                <w:sz w:val="20"/>
                <w:lang w:val="fr-CH"/>
              </w:rPr>
            </w:pPr>
            <w:r w:rsidRPr="00C553D7">
              <w:rPr>
                <w:rFonts w:asciiTheme="minorHAnsi" w:hAnsiTheme="minorHAnsi"/>
                <w:sz w:val="20"/>
                <w:lang w:val="fr-CH"/>
              </w:rPr>
              <w:t xml:space="preserve">c) </w:t>
            </w:r>
            <w:r w:rsidR="00BE2B7A">
              <w:rPr>
                <w:rFonts w:asciiTheme="minorHAnsi" w:hAnsiTheme="minorHAnsi"/>
                <w:sz w:val="20"/>
                <w:lang w:val="fr-CH"/>
              </w:rPr>
              <w:t>Manque de visibilité (en général) de la Convention dans les processus et réunions de l’ONU.</w:t>
            </w:r>
          </w:p>
        </w:tc>
        <w:tc>
          <w:tcPr>
            <w:tcW w:w="1418" w:type="dxa"/>
          </w:tcPr>
          <w:p w14:paraId="21120E4A" w14:textId="77777777" w:rsidR="00A95E5F" w:rsidRPr="00C553D7" w:rsidRDefault="00A95E5F" w:rsidP="008E7036">
            <w:pPr>
              <w:pStyle w:val="Default"/>
              <w:rPr>
                <w:rFonts w:asciiTheme="minorHAnsi" w:hAnsiTheme="minorHAnsi" w:cstheme="minorHAnsi"/>
                <w:b/>
                <w:sz w:val="20"/>
                <w:szCs w:val="20"/>
                <w:lang w:val="fr-CH"/>
              </w:rPr>
            </w:pPr>
            <w:r w:rsidRPr="00C553D7">
              <w:rPr>
                <w:rFonts w:asciiTheme="minorHAnsi" w:hAnsiTheme="minorHAnsi" w:cstheme="minorHAnsi"/>
                <w:b/>
                <w:sz w:val="20"/>
                <w:szCs w:val="20"/>
                <w:lang w:val="fr-CH"/>
              </w:rPr>
              <w:t>5</w:t>
            </w:r>
          </w:p>
        </w:tc>
        <w:tc>
          <w:tcPr>
            <w:tcW w:w="3118" w:type="dxa"/>
          </w:tcPr>
          <w:p w14:paraId="4CBAF470" w14:textId="2DC8C218" w:rsidR="00A95E5F" w:rsidRPr="00C553D7" w:rsidRDefault="008136B1" w:rsidP="00F566A9">
            <w:pPr>
              <w:pStyle w:val="Default"/>
              <w:numPr>
                <w:ilvl w:val="0"/>
                <w:numId w:val="9"/>
              </w:numPr>
              <w:ind w:left="174" w:hanging="174"/>
              <w:rPr>
                <w:rFonts w:asciiTheme="minorHAnsi" w:hAnsiTheme="minorHAnsi"/>
                <w:sz w:val="20"/>
                <w:lang w:val="fr-CH"/>
              </w:rPr>
            </w:pPr>
            <w:r>
              <w:rPr>
                <w:rFonts w:asciiTheme="minorHAnsi" w:hAnsiTheme="minorHAnsi"/>
                <w:sz w:val="20"/>
                <w:lang w:val="fr-CH"/>
              </w:rPr>
              <w:t>Les questions seront résolues lorsque les dispositions administratives seront résolues.</w:t>
            </w:r>
            <w:r w:rsidR="00A95E5F" w:rsidRPr="00C553D7">
              <w:rPr>
                <w:rFonts w:asciiTheme="minorHAnsi" w:hAnsiTheme="minorHAnsi"/>
                <w:sz w:val="20"/>
                <w:lang w:val="fr-CH"/>
              </w:rPr>
              <w:t xml:space="preserve"> </w:t>
            </w:r>
          </w:p>
          <w:p w14:paraId="3B40586F" w14:textId="230BEC27" w:rsidR="00A95E5F" w:rsidRPr="00C553D7" w:rsidRDefault="00A95E5F" w:rsidP="00EC0F71">
            <w:pPr>
              <w:pStyle w:val="ListParagraph"/>
              <w:numPr>
                <w:ilvl w:val="0"/>
                <w:numId w:val="9"/>
              </w:numPr>
              <w:ind w:left="180" w:hanging="142"/>
              <w:rPr>
                <w:sz w:val="20"/>
                <w:lang w:val="fr-CH"/>
              </w:rPr>
            </w:pPr>
            <w:r w:rsidRPr="00C553D7">
              <w:rPr>
                <w:sz w:val="20"/>
                <w:lang w:val="fr-CH"/>
              </w:rPr>
              <w:t>Promo</w:t>
            </w:r>
            <w:r w:rsidR="008136B1">
              <w:rPr>
                <w:sz w:val="20"/>
                <w:lang w:val="fr-CH"/>
              </w:rPr>
              <w:t>uvoir une réunion de</w:t>
            </w:r>
            <w:r w:rsidR="00556DCA">
              <w:rPr>
                <w:sz w:val="20"/>
                <w:lang w:val="fr-CH"/>
              </w:rPr>
              <w:t>s</w:t>
            </w:r>
            <w:r w:rsidR="008136B1">
              <w:rPr>
                <w:sz w:val="20"/>
                <w:lang w:val="fr-CH"/>
              </w:rPr>
              <w:t xml:space="preserve"> missions à </w:t>
            </w:r>
            <w:r w:rsidRPr="00C553D7">
              <w:rPr>
                <w:sz w:val="20"/>
                <w:lang w:val="fr-CH"/>
              </w:rPr>
              <w:t xml:space="preserve">New York, </w:t>
            </w:r>
            <w:r w:rsidR="008136B1" w:rsidRPr="00C553D7">
              <w:rPr>
                <w:sz w:val="20"/>
                <w:lang w:val="fr-CH"/>
              </w:rPr>
              <w:t>Gen</w:t>
            </w:r>
            <w:r w:rsidR="008136B1">
              <w:rPr>
                <w:sz w:val="20"/>
                <w:lang w:val="fr-CH"/>
              </w:rPr>
              <w:t>ève et dans les capitales, afin de coordonner les efforts pour faire avancer l’approbation de la proposition de l’Uruguay à l’ordre du jour de la 78</w:t>
            </w:r>
            <w:r w:rsidR="008136B1" w:rsidRPr="008136B1">
              <w:rPr>
                <w:sz w:val="20"/>
                <w:vertAlign w:val="superscript"/>
                <w:lang w:val="fr-CH"/>
              </w:rPr>
              <w:t>e</w:t>
            </w:r>
            <w:r w:rsidR="008136B1">
              <w:rPr>
                <w:sz w:val="20"/>
                <w:lang w:val="fr-CH"/>
              </w:rPr>
              <w:t xml:space="preserve"> Assemblée générale de l’ONU </w:t>
            </w:r>
            <w:r w:rsidR="00556DCA">
              <w:rPr>
                <w:sz w:val="20"/>
                <w:lang w:val="fr-CH"/>
              </w:rPr>
              <w:t>en vue d’</w:t>
            </w:r>
            <w:r w:rsidR="008136B1">
              <w:rPr>
                <w:sz w:val="20"/>
                <w:lang w:val="fr-CH"/>
              </w:rPr>
              <w:t xml:space="preserve">obtenir le statut d’observateur, </w:t>
            </w:r>
            <w:r w:rsidR="00556DCA">
              <w:rPr>
                <w:sz w:val="20"/>
                <w:lang w:val="fr-CH"/>
              </w:rPr>
              <w:t>selon</w:t>
            </w:r>
            <w:r w:rsidR="008136B1">
              <w:rPr>
                <w:sz w:val="20"/>
                <w:lang w:val="fr-CH"/>
              </w:rPr>
              <w:t xml:space="preserve"> un processus semblable à celui qui a été mené pour la résolution de l’ONU sur la Journée mondiale des zones humides. </w:t>
            </w:r>
          </w:p>
        </w:tc>
        <w:tc>
          <w:tcPr>
            <w:tcW w:w="3119" w:type="dxa"/>
          </w:tcPr>
          <w:p w14:paraId="2E8D7BCF" w14:textId="334E1EC9" w:rsidR="00A95E5F" w:rsidRPr="00C553D7" w:rsidRDefault="001F57D4" w:rsidP="00F566A9">
            <w:pPr>
              <w:pStyle w:val="Default"/>
              <w:numPr>
                <w:ilvl w:val="0"/>
                <w:numId w:val="9"/>
              </w:numPr>
              <w:ind w:left="174" w:hanging="174"/>
              <w:rPr>
                <w:rFonts w:asciiTheme="minorHAnsi" w:hAnsiTheme="minorHAnsi"/>
                <w:sz w:val="20"/>
                <w:lang w:val="fr-CH"/>
              </w:rPr>
            </w:pPr>
            <w:r w:rsidRPr="00C553D7">
              <w:rPr>
                <w:rFonts w:asciiTheme="minorHAnsi" w:hAnsiTheme="minorHAnsi"/>
                <w:sz w:val="20"/>
                <w:lang w:val="fr-CH"/>
              </w:rPr>
              <w:t>S</w:t>
            </w:r>
            <w:r w:rsidR="0061754A">
              <w:rPr>
                <w:rFonts w:asciiTheme="minorHAnsi" w:hAnsiTheme="minorHAnsi"/>
                <w:sz w:val="20"/>
                <w:lang w:val="fr-CH"/>
              </w:rPr>
              <w:t xml:space="preserve">outenir la préparation de réunions avec les missions à </w:t>
            </w:r>
            <w:r w:rsidR="008A2060" w:rsidRPr="00C553D7">
              <w:rPr>
                <w:rFonts w:asciiTheme="minorHAnsi" w:hAnsiTheme="minorHAnsi"/>
                <w:sz w:val="20"/>
                <w:lang w:val="fr-CH"/>
              </w:rPr>
              <w:t>New</w:t>
            </w:r>
            <w:r w:rsidR="0061754A">
              <w:rPr>
                <w:rFonts w:asciiTheme="minorHAnsi" w:hAnsiTheme="minorHAnsi"/>
                <w:sz w:val="20"/>
                <w:lang w:val="fr-CH"/>
              </w:rPr>
              <w:t> </w:t>
            </w:r>
            <w:r w:rsidR="008A2060" w:rsidRPr="00C553D7">
              <w:rPr>
                <w:rFonts w:asciiTheme="minorHAnsi" w:hAnsiTheme="minorHAnsi"/>
                <w:sz w:val="20"/>
                <w:lang w:val="fr-CH"/>
              </w:rPr>
              <w:t>York</w:t>
            </w:r>
            <w:r w:rsidR="0061754A">
              <w:rPr>
                <w:rFonts w:asciiTheme="minorHAnsi" w:hAnsiTheme="minorHAnsi"/>
                <w:sz w:val="20"/>
                <w:lang w:val="fr-CH"/>
              </w:rPr>
              <w:t>,</w:t>
            </w:r>
            <w:r w:rsidR="00421EF9" w:rsidRPr="00C553D7">
              <w:rPr>
                <w:rFonts w:asciiTheme="minorHAnsi" w:hAnsiTheme="minorHAnsi"/>
                <w:sz w:val="20"/>
                <w:lang w:val="fr-CH"/>
              </w:rPr>
              <w:t xml:space="preserve"> </w:t>
            </w:r>
            <w:r w:rsidR="0061754A">
              <w:rPr>
                <w:rFonts w:asciiTheme="minorHAnsi" w:hAnsiTheme="minorHAnsi"/>
                <w:sz w:val="20"/>
                <w:lang w:val="fr-CH"/>
              </w:rPr>
              <w:t>pour faire avancer la proposition de l’Uruguay.</w:t>
            </w:r>
          </w:p>
        </w:tc>
      </w:tr>
    </w:tbl>
    <w:p w14:paraId="3F0BF4B3" w14:textId="77777777" w:rsidR="00AE7835" w:rsidRPr="00677E58" w:rsidRDefault="00AE7835" w:rsidP="00F566A9">
      <w:pPr>
        <w:rPr>
          <w:lang w:val="fr-FR"/>
        </w:rPr>
      </w:pPr>
    </w:p>
    <w:sectPr w:rsidR="00AE7835" w:rsidRPr="00677E58" w:rsidSect="00304F7C">
      <w:footerReference w:type="default" r:id="rId13"/>
      <w:pgSz w:w="16838" w:h="11906" w:orient="landscape"/>
      <w:pgMar w:top="1440" w:right="8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26DEE" w14:textId="77777777" w:rsidR="0073701B" w:rsidRDefault="0073701B" w:rsidP="00BD4E4C">
      <w:pPr>
        <w:spacing w:after="0" w:line="240" w:lineRule="auto"/>
      </w:pPr>
      <w:r>
        <w:separator/>
      </w:r>
    </w:p>
  </w:endnote>
  <w:endnote w:type="continuationSeparator" w:id="0">
    <w:p w14:paraId="7CE79D24" w14:textId="77777777" w:rsidR="0073701B" w:rsidRDefault="0073701B" w:rsidP="00BD4E4C">
      <w:pPr>
        <w:spacing w:after="0" w:line="240" w:lineRule="auto"/>
      </w:pPr>
      <w:r>
        <w:continuationSeparator/>
      </w:r>
    </w:p>
  </w:endnote>
  <w:endnote w:type="continuationNotice" w:id="1">
    <w:p w14:paraId="5E2321F0" w14:textId="77777777" w:rsidR="0073701B" w:rsidRDefault="007370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27D79" w14:textId="2D68726D" w:rsidR="002C5AF2" w:rsidRDefault="002C5AF2">
    <w:pPr>
      <w:pStyle w:val="Footer"/>
    </w:pPr>
    <w:r w:rsidRPr="00085362">
      <w:rPr>
        <w:rFonts w:cstheme="minorHAnsi"/>
        <w:sz w:val="20"/>
        <w:szCs w:val="20"/>
      </w:rPr>
      <w:t>S</w:t>
    </w:r>
    <w:r>
      <w:rPr>
        <w:rFonts w:cstheme="minorHAnsi"/>
        <w:sz w:val="20"/>
        <w:szCs w:val="20"/>
      </w:rPr>
      <w:t>C62</w:t>
    </w:r>
    <w:r w:rsidRPr="00085362">
      <w:rPr>
        <w:rFonts w:cstheme="minorHAnsi"/>
        <w:sz w:val="20"/>
        <w:szCs w:val="20"/>
      </w:rPr>
      <w:t xml:space="preserve"> Doc.</w:t>
    </w:r>
    <w:r>
      <w:rPr>
        <w:rFonts w:cstheme="minorHAnsi"/>
        <w:sz w:val="20"/>
        <w:szCs w:val="20"/>
      </w:rPr>
      <w:t>11</w:t>
    </w:r>
    <w:r w:rsidR="00C2195B">
      <w:rPr>
        <w:rFonts w:cstheme="minorHAnsi"/>
        <w:sz w:val="20"/>
        <w:szCs w:val="20"/>
      </w:rPr>
      <w:tab/>
    </w:r>
    <w:r w:rsidR="00C2195B">
      <w:rPr>
        <w:rFonts w:cstheme="minorHAnsi"/>
        <w:sz w:val="20"/>
        <w:szCs w:val="20"/>
      </w:rPr>
      <w:tab/>
    </w:r>
    <w:r w:rsidR="00C2195B" w:rsidRPr="00C2195B">
      <w:rPr>
        <w:rFonts w:cstheme="minorHAnsi"/>
        <w:sz w:val="20"/>
        <w:szCs w:val="20"/>
      </w:rPr>
      <w:fldChar w:fldCharType="begin"/>
    </w:r>
    <w:r w:rsidR="00C2195B" w:rsidRPr="00C2195B">
      <w:rPr>
        <w:rFonts w:cstheme="minorHAnsi"/>
        <w:sz w:val="20"/>
        <w:szCs w:val="20"/>
      </w:rPr>
      <w:instrText xml:space="preserve"> PAGE   \* MERGEFORMAT </w:instrText>
    </w:r>
    <w:r w:rsidR="00C2195B" w:rsidRPr="00C2195B">
      <w:rPr>
        <w:rFonts w:cstheme="minorHAnsi"/>
        <w:sz w:val="20"/>
        <w:szCs w:val="20"/>
      </w:rPr>
      <w:fldChar w:fldCharType="separate"/>
    </w:r>
    <w:r w:rsidR="00ED6197">
      <w:rPr>
        <w:rFonts w:cstheme="minorHAnsi"/>
        <w:noProof/>
        <w:sz w:val="20"/>
        <w:szCs w:val="20"/>
      </w:rPr>
      <w:t>4</w:t>
    </w:r>
    <w:r w:rsidR="00C2195B" w:rsidRPr="00C2195B">
      <w:rPr>
        <w:rFonts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9840D" w14:textId="0B78DF20" w:rsidR="00C2195B" w:rsidRDefault="00C2195B" w:rsidP="00EC0F71">
    <w:pPr>
      <w:pStyle w:val="Footer"/>
      <w:tabs>
        <w:tab w:val="clear" w:pos="9026"/>
        <w:tab w:val="right" w:pos="14175"/>
      </w:tabs>
    </w:pPr>
    <w:r w:rsidRPr="00085362">
      <w:rPr>
        <w:rFonts w:cstheme="minorHAnsi"/>
        <w:sz w:val="20"/>
        <w:szCs w:val="20"/>
      </w:rPr>
      <w:t>S</w:t>
    </w:r>
    <w:r>
      <w:rPr>
        <w:rFonts w:cstheme="minorHAnsi"/>
        <w:sz w:val="20"/>
        <w:szCs w:val="20"/>
      </w:rPr>
      <w:t>C62</w:t>
    </w:r>
    <w:r w:rsidRPr="00085362">
      <w:rPr>
        <w:rFonts w:cstheme="minorHAnsi"/>
        <w:sz w:val="20"/>
        <w:szCs w:val="20"/>
      </w:rPr>
      <w:t xml:space="preserve"> Doc.</w:t>
    </w:r>
    <w:r>
      <w:rPr>
        <w:rFonts w:cstheme="minorHAnsi"/>
        <w:sz w:val="20"/>
        <w:szCs w:val="20"/>
      </w:rPr>
      <w:t>11</w:t>
    </w:r>
    <w:r>
      <w:rPr>
        <w:rFonts w:cstheme="minorHAnsi"/>
        <w:sz w:val="20"/>
        <w:szCs w:val="20"/>
      </w:rPr>
      <w:tab/>
    </w:r>
    <w:r>
      <w:rPr>
        <w:rFonts w:cstheme="minorHAnsi"/>
        <w:sz w:val="20"/>
        <w:szCs w:val="20"/>
      </w:rPr>
      <w:tab/>
    </w:r>
    <w:r w:rsidRPr="00C2195B">
      <w:rPr>
        <w:rFonts w:cstheme="minorHAnsi"/>
        <w:sz w:val="20"/>
        <w:szCs w:val="20"/>
      </w:rPr>
      <w:fldChar w:fldCharType="begin"/>
    </w:r>
    <w:r w:rsidRPr="00C2195B">
      <w:rPr>
        <w:rFonts w:cstheme="minorHAnsi"/>
        <w:sz w:val="20"/>
        <w:szCs w:val="20"/>
      </w:rPr>
      <w:instrText xml:space="preserve"> PAGE   \* MERGEFORMAT </w:instrText>
    </w:r>
    <w:r w:rsidRPr="00C2195B">
      <w:rPr>
        <w:rFonts w:cstheme="minorHAnsi"/>
        <w:sz w:val="20"/>
        <w:szCs w:val="20"/>
      </w:rPr>
      <w:fldChar w:fldCharType="separate"/>
    </w:r>
    <w:r w:rsidR="00ED6197">
      <w:rPr>
        <w:rFonts w:cstheme="minorHAnsi"/>
        <w:noProof/>
        <w:sz w:val="20"/>
        <w:szCs w:val="20"/>
      </w:rPr>
      <w:t>7</w:t>
    </w:r>
    <w:r w:rsidRPr="00C2195B">
      <w:rPr>
        <w:rFonts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7D258" w14:textId="77777777" w:rsidR="0073701B" w:rsidRDefault="0073701B" w:rsidP="00BD4E4C">
      <w:pPr>
        <w:spacing w:after="0" w:line="240" w:lineRule="auto"/>
      </w:pPr>
      <w:r>
        <w:separator/>
      </w:r>
    </w:p>
  </w:footnote>
  <w:footnote w:type="continuationSeparator" w:id="0">
    <w:p w14:paraId="0AF1B854" w14:textId="77777777" w:rsidR="0073701B" w:rsidRDefault="0073701B" w:rsidP="00BD4E4C">
      <w:pPr>
        <w:spacing w:after="0" w:line="240" w:lineRule="auto"/>
      </w:pPr>
      <w:r>
        <w:continuationSeparator/>
      </w:r>
    </w:p>
  </w:footnote>
  <w:footnote w:type="continuationNotice" w:id="1">
    <w:p w14:paraId="0BF8FAFF" w14:textId="77777777" w:rsidR="0073701B" w:rsidRDefault="0073701B">
      <w:pPr>
        <w:spacing w:after="0" w:line="240" w:lineRule="auto"/>
      </w:pPr>
    </w:p>
  </w:footnote>
  <w:footnote w:id="2">
    <w:p w14:paraId="4173856E" w14:textId="4A7169B3" w:rsidR="001C180F" w:rsidRPr="00677E58" w:rsidRDefault="001C180F">
      <w:pPr>
        <w:pStyle w:val="FootnoteText"/>
        <w:rPr>
          <w:lang w:val="fr-FR"/>
        </w:rPr>
      </w:pPr>
      <w:r>
        <w:rPr>
          <w:rStyle w:val="FootnoteReference"/>
        </w:rPr>
        <w:footnoteRef/>
      </w:r>
      <w:r w:rsidRPr="00677E58">
        <w:rPr>
          <w:lang w:val="fr-FR"/>
        </w:rPr>
        <w:t xml:space="preserve"> </w:t>
      </w:r>
      <w:r w:rsidR="00046FAE" w:rsidRPr="00046FAE">
        <w:rPr>
          <w:lang w:val="fr-CH"/>
        </w:rPr>
        <w:t>Voir</w:t>
      </w:r>
      <w:r w:rsidRPr="00677E58">
        <w:rPr>
          <w:lang w:val="fr-FR"/>
        </w:rPr>
        <w:t xml:space="preserve"> </w:t>
      </w:r>
      <w:hyperlink r:id="rId1" w:history="1">
        <w:r w:rsidRPr="00677E58">
          <w:rPr>
            <w:rStyle w:val="Hyperlink"/>
            <w:lang w:val="fr-FR"/>
          </w:rPr>
          <w:t>https://www.ramsar.org/document/independent-analysis-legal-status-secretariat-convention-wetlands-ramsar-convention</w:t>
        </w:r>
      </w:hyperlink>
      <w:r w:rsidRPr="00677E58">
        <w:rPr>
          <w:lang w:val="fr-FR"/>
        </w:rPr>
        <w:t xml:space="preserve">. </w:t>
      </w:r>
    </w:p>
  </w:footnote>
  <w:footnote w:id="3">
    <w:p w14:paraId="2A59DBF8" w14:textId="5787A692" w:rsidR="000E51B8" w:rsidRPr="00677E58" w:rsidRDefault="000E51B8">
      <w:pPr>
        <w:pStyle w:val="FootnoteText"/>
        <w:rPr>
          <w:lang w:val="fr-FR"/>
        </w:rPr>
      </w:pPr>
      <w:r>
        <w:rPr>
          <w:rStyle w:val="FootnoteReference"/>
        </w:rPr>
        <w:footnoteRef/>
      </w:r>
      <w:r w:rsidRPr="00677E58">
        <w:rPr>
          <w:lang w:val="fr-FR"/>
        </w:rPr>
        <w:t xml:space="preserve"> </w:t>
      </w:r>
      <w:r w:rsidR="00046FAE" w:rsidRPr="00046FAE">
        <w:rPr>
          <w:lang w:val="fr-CH"/>
        </w:rPr>
        <w:t>Voir</w:t>
      </w:r>
      <w:r w:rsidRPr="00677E58">
        <w:rPr>
          <w:lang w:val="fr-FR"/>
        </w:rPr>
        <w:t xml:space="preserve"> </w:t>
      </w:r>
      <w:hyperlink r:id="rId2" w:history="1">
        <w:r w:rsidRPr="00677E58">
          <w:rPr>
            <w:rStyle w:val="Hyperlink"/>
            <w:lang w:val="fr-FR"/>
          </w:rPr>
          <w:t>https://www.ramsar.org/document/financial-analysis-legal-status-ramsar-secretariat</w:t>
        </w:r>
      </w:hyperlink>
      <w:r w:rsidRPr="00677E58">
        <w:rPr>
          <w:lang w:val="fr-FR"/>
        </w:rPr>
        <w:t xml:space="preserve">. </w:t>
      </w:r>
    </w:p>
  </w:footnote>
  <w:footnote w:id="4">
    <w:p w14:paraId="0186AD4D" w14:textId="31970986" w:rsidR="00F77BE9" w:rsidRPr="00677E58" w:rsidRDefault="00F77BE9">
      <w:pPr>
        <w:pStyle w:val="FootnoteText"/>
        <w:rPr>
          <w:lang w:val="fr-FR"/>
        </w:rPr>
      </w:pPr>
      <w:r>
        <w:rPr>
          <w:rStyle w:val="FootnoteReference"/>
        </w:rPr>
        <w:footnoteRef/>
      </w:r>
      <w:r w:rsidRPr="00677E58">
        <w:rPr>
          <w:lang w:val="fr-FR"/>
        </w:rPr>
        <w:t xml:space="preserve"> </w:t>
      </w:r>
      <w:r w:rsidR="00046FAE" w:rsidRPr="00046FAE">
        <w:rPr>
          <w:lang w:val="fr-CH"/>
        </w:rPr>
        <w:t>Voir</w:t>
      </w:r>
      <w:r w:rsidRPr="00677E58">
        <w:rPr>
          <w:lang w:val="fr-FR"/>
        </w:rPr>
        <w:t xml:space="preserve"> </w:t>
      </w:r>
      <w:hyperlink r:id="rId3" w:history="1">
        <w:r w:rsidR="006105E3" w:rsidRPr="00EA3CC7">
          <w:rPr>
            <w:rStyle w:val="Hyperlink"/>
            <w:lang w:val="fr-FR"/>
          </w:rPr>
          <w:t>https://www.ramsar.org/fr/document/resolution-xiv6-renforcer-la-visibilite-de-la-convention-et-les-synergies-avec-dautres</w:t>
        </w:r>
      </w:hyperlink>
      <w:r w:rsidRPr="00677E58">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C4F63" w14:textId="77777777" w:rsidR="00EC0F71" w:rsidRDefault="00EC0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E5E15"/>
    <w:multiLevelType w:val="hybridMultilevel"/>
    <w:tmpl w:val="94920E94"/>
    <w:lvl w:ilvl="0" w:tplc="F774E102">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F55C35"/>
    <w:multiLevelType w:val="hybridMultilevel"/>
    <w:tmpl w:val="746AA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F4D13"/>
    <w:multiLevelType w:val="hybridMultilevel"/>
    <w:tmpl w:val="FCA63052"/>
    <w:lvl w:ilvl="0" w:tplc="79FC3DA2">
      <w:start w:val="1"/>
      <w:numFmt w:val="decimal"/>
      <w:lvlText w:val="%1."/>
      <w:lvlJc w:val="left"/>
      <w:pPr>
        <w:ind w:left="846" w:hanging="4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EE022C1"/>
    <w:multiLevelType w:val="hybridMultilevel"/>
    <w:tmpl w:val="3AFC351A"/>
    <w:lvl w:ilvl="0" w:tplc="665C336C">
      <w:start w:val="1"/>
      <w:numFmt w:val="lowerLetter"/>
      <w:lvlText w:val="%1."/>
      <w:lvlJc w:val="left"/>
      <w:pPr>
        <w:ind w:left="846" w:hanging="4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165512F"/>
    <w:multiLevelType w:val="hybridMultilevel"/>
    <w:tmpl w:val="B1AE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47F00"/>
    <w:multiLevelType w:val="hybridMultilevel"/>
    <w:tmpl w:val="D9D4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657D4"/>
    <w:multiLevelType w:val="hybridMultilevel"/>
    <w:tmpl w:val="885A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20794"/>
    <w:multiLevelType w:val="hybridMultilevel"/>
    <w:tmpl w:val="DFB243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C3C184C"/>
    <w:multiLevelType w:val="hybridMultilevel"/>
    <w:tmpl w:val="99DAEB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4DF5D04"/>
    <w:multiLevelType w:val="hybridMultilevel"/>
    <w:tmpl w:val="E4A41CC6"/>
    <w:lvl w:ilvl="0" w:tplc="6E8EB4E2">
      <w:start w:val="2"/>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1" w15:restartNumberingAfterBreak="0">
    <w:nsid w:val="47AA19C7"/>
    <w:multiLevelType w:val="hybridMultilevel"/>
    <w:tmpl w:val="5BC29B5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48523622"/>
    <w:multiLevelType w:val="hybridMultilevel"/>
    <w:tmpl w:val="A2869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0E0C45"/>
    <w:multiLevelType w:val="hybridMultilevel"/>
    <w:tmpl w:val="E466BDFA"/>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cs="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cs="Courier New" w:hint="default"/>
      </w:rPr>
    </w:lvl>
    <w:lvl w:ilvl="8" w:tplc="10090005">
      <w:start w:val="1"/>
      <w:numFmt w:val="bullet"/>
      <w:lvlText w:val=""/>
      <w:lvlJc w:val="left"/>
      <w:pPr>
        <w:ind w:left="6525" w:hanging="360"/>
      </w:pPr>
      <w:rPr>
        <w:rFonts w:ascii="Wingdings" w:hAnsi="Wingdings" w:hint="default"/>
      </w:rPr>
    </w:lvl>
  </w:abstractNum>
  <w:abstractNum w:abstractNumId="14" w15:restartNumberingAfterBreak="0">
    <w:nsid w:val="5296078F"/>
    <w:multiLevelType w:val="hybridMultilevel"/>
    <w:tmpl w:val="0226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67296F"/>
    <w:multiLevelType w:val="hybridMultilevel"/>
    <w:tmpl w:val="7DF4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40E22"/>
    <w:multiLevelType w:val="hybridMultilevel"/>
    <w:tmpl w:val="9220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11DC9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5460A9D"/>
    <w:multiLevelType w:val="hybridMultilevel"/>
    <w:tmpl w:val="CAA46CFE"/>
    <w:lvl w:ilvl="0" w:tplc="35D8F85E">
      <w:start w:val="1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7D03EB"/>
    <w:multiLevelType w:val="hybridMultilevel"/>
    <w:tmpl w:val="AE1A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903FF"/>
    <w:multiLevelType w:val="hybridMultilevel"/>
    <w:tmpl w:val="CA88811E"/>
    <w:lvl w:ilvl="0" w:tplc="E7A8D32A">
      <w:start w:val="1"/>
      <w:numFmt w:val="decimal"/>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D540DF"/>
    <w:multiLevelType w:val="hybridMultilevel"/>
    <w:tmpl w:val="77D46B80"/>
    <w:lvl w:ilvl="0" w:tplc="290055CA">
      <w:start w:val="2"/>
      <w:numFmt w:val="decimal"/>
      <w:lvlText w:val="%1."/>
      <w:lvlJc w:val="left"/>
      <w:pPr>
        <w:ind w:left="644" w:hanging="360"/>
      </w:pPr>
      <w:rPr>
        <w:rFonts w:eastAsiaTheme="minorEastAsia" w:cstheme="minorBidi"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0"/>
  </w:num>
  <w:num w:numId="3">
    <w:abstractNumId w:val="10"/>
  </w:num>
  <w:num w:numId="4">
    <w:abstractNumId w:val="17"/>
  </w:num>
  <w:num w:numId="5">
    <w:abstractNumId w:val="11"/>
  </w:num>
  <w:num w:numId="6">
    <w:abstractNumId w:val="6"/>
  </w:num>
  <w:num w:numId="7">
    <w:abstractNumId w:val="5"/>
  </w:num>
  <w:num w:numId="8">
    <w:abstractNumId w:val="13"/>
  </w:num>
  <w:num w:numId="9">
    <w:abstractNumId w:val="16"/>
  </w:num>
  <w:num w:numId="10">
    <w:abstractNumId w:val="7"/>
  </w:num>
  <w:num w:numId="11">
    <w:abstractNumId w:val="12"/>
  </w:num>
  <w:num w:numId="12">
    <w:abstractNumId w:val="18"/>
  </w:num>
  <w:num w:numId="13">
    <w:abstractNumId w:val="20"/>
  </w:num>
  <w:num w:numId="14">
    <w:abstractNumId w:val="21"/>
  </w:num>
  <w:num w:numId="15">
    <w:abstractNumId w:val="15"/>
  </w:num>
  <w:num w:numId="16">
    <w:abstractNumId w:val="19"/>
  </w:num>
  <w:num w:numId="17">
    <w:abstractNumId w:val="14"/>
  </w:num>
  <w:num w:numId="18">
    <w:abstractNumId w:val="2"/>
  </w:num>
  <w:num w:numId="19">
    <w:abstractNumId w:val="9"/>
  </w:num>
  <w:num w:numId="20">
    <w:abstractNumId w:val="4"/>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8F"/>
    <w:rsid w:val="000028EA"/>
    <w:rsid w:val="00002CE6"/>
    <w:rsid w:val="000048D9"/>
    <w:rsid w:val="00004DAF"/>
    <w:rsid w:val="00005D82"/>
    <w:rsid w:val="000121AE"/>
    <w:rsid w:val="00026178"/>
    <w:rsid w:val="00032364"/>
    <w:rsid w:val="00033257"/>
    <w:rsid w:val="00033D8E"/>
    <w:rsid w:val="00040294"/>
    <w:rsid w:val="00046BD8"/>
    <w:rsid w:val="00046FAE"/>
    <w:rsid w:val="000522C2"/>
    <w:rsid w:val="00064B3C"/>
    <w:rsid w:val="00070FE7"/>
    <w:rsid w:val="00071651"/>
    <w:rsid w:val="00072711"/>
    <w:rsid w:val="00073223"/>
    <w:rsid w:val="000863D9"/>
    <w:rsid w:val="00095107"/>
    <w:rsid w:val="00095C67"/>
    <w:rsid w:val="000A09AB"/>
    <w:rsid w:val="000A143D"/>
    <w:rsid w:val="000A50B6"/>
    <w:rsid w:val="000B14C7"/>
    <w:rsid w:val="000B15F0"/>
    <w:rsid w:val="000B1F52"/>
    <w:rsid w:val="000B2DB7"/>
    <w:rsid w:val="000B4DA9"/>
    <w:rsid w:val="000B6A49"/>
    <w:rsid w:val="000D3567"/>
    <w:rsid w:val="000E51B8"/>
    <w:rsid w:val="000E749C"/>
    <w:rsid w:val="000F4572"/>
    <w:rsid w:val="000F6CD8"/>
    <w:rsid w:val="00100944"/>
    <w:rsid w:val="00103DB7"/>
    <w:rsid w:val="001055F4"/>
    <w:rsid w:val="0010750C"/>
    <w:rsid w:val="001076B1"/>
    <w:rsid w:val="00110E39"/>
    <w:rsid w:val="001144D7"/>
    <w:rsid w:val="00115BFC"/>
    <w:rsid w:val="00115D09"/>
    <w:rsid w:val="00121ECD"/>
    <w:rsid w:val="00124683"/>
    <w:rsid w:val="00130032"/>
    <w:rsid w:val="00136FDC"/>
    <w:rsid w:val="0014001C"/>
    <w:rsid w:val="00145256"/>
    <w:rsid w:val="001455D1"/>
    <w:rsid w:val="001603E0"/>
    <w:rsid w:val="00166DBB"/>
    <w:rsid w:val="00171C4D"/>
    <w:rsid w:val="00174892"/>
    <w:rsid w:val="00175507"/>
    <w:rsid w:val="00177AC7"/>
    <w:rsid w:val="00183D4F"/>
    <w:rsid w:val="001871D2"/>
    <w:rsid w:val="00192B6E"/>
    <w:rsid w:val="001937C2"/>
    <w:rsid w:val="001A1741"/>
    <w:rsid w:val="001A1D56"/>
    <w:rsid w:val="001A57DF"/>
    <w:rsid w:val="001B2271"/>
    <w:rsid w:val="001B2AD3"/>
    <w:rsid w:val="001C180F"/>
    <w:rsid w:val="001C32A6"/>
    <w:rsid w:val="001C4E71"/>
    <w:rsid w:val="001C7F55"/>
    <w:rsid w:val="001D05E5"/>
    <w:rsid w:val="001E5FA5"/>
    <w:rsid w:val="001F12E4"/>
    <w:rsid w:val="001F57D4"/>
    <w:rsid w:val="001F7693"/>
    <w:rsid w:val="0020024A"/>
    <w:rsid w:val="002026F0"/>
    <w:rsid w:val="00210728"/>
    <w:rsid w:val="002129DD"/>
    <w:rsid w:val="00217B0A"/>
    <w:rsid w:val="0022750F"/>
    <w:rsid w:val="00227CEB"/>
    <w:rsid w:val="002312AD"/>
    <w:rsid w:val="00240909"/>
    <w:rsid w:val="00240FFF"/>
    <w:rsid w:val="00243062"/>
    <w:rsid w:val="0024648F"/>
    <w:rsid w:val="00246C7D"/>
    <w:rsid w:val="00251AE5"/>
    <w:rsid w:val="00252AC0"/>
    <w:rsid w:val="0025334F"/>
    <w:rsid w:val="00260623"/>
    <w:rsid w:val="0027077F"/>
    <w:rsid w:val="002711C2"/>
    <w:rsid w:val="002845EF"/>
    <w:rsid w:val="002A5301"/>
    <w:rsid w:val="002A5CD3"/>
    <w:rsid w:val="002A60A6"/>
    <w:rsid w:val="002B202F"/>
    <w:rsid w:val="002C2799"/>
    <w:rsid w:val="002C5AF2"/>
    <w:rsid w:val="002C5C95"/>
    <w:rsid w:val="002D16E1"/>
    <w:rsid w:val="002D5ADE"/>
    <w:rsid w:val="002F020F"/>
    <w:rsid w:val="002F6C06"/>
    <w:rsid w:val="002F7462"/>
    <w:rsid w:val="00304F7C"/>
    <w:rsid w:val="00321CEE"/>
    <w:rsid w:val="00324111"/>
    <w:rsid w:val="00324B34"/>
    <w:rsid w:val="00327CEB"/>
    <w:rsid w:val="0034081F"/>
    <w:rsid w:val="0034229F"/>
    <w:rsid w:val="00343837"/>
    <w:rsid w:val="00351998"/>
    <w:rsid w:val="003529E4"/>
    <w:rsid w:val="003574C5"/>
    <w:rsid w:val="00364FEC"/>
    <w:rsid w:val="003832FD"/>
    <w:rsid w:val="00386930"/>
    <w:rsid w:val="00387CF9"/>
    <w:rsid w:val="00392C8A"/>
    <w:rsid w:val="003A0CEC"/>
    <w:rsid w:val="003A16A9"/>
    <w:rsid w:val="003B25F2"/>
    <w:rsid w:val="003B3962"/>
    <w:rsid w:val="003B431E"/>
    <w:rsid w:val="003B6D90"/>
    <w:rsid w:val="003C1B1A"/>
    <w:rsid w:val="003C4496"/>
    <w:rsid w:val="003C7364"/>
    <w:rsid w:val="003D2C07"/>
    <w:rsid w:val="003E1B75"/>
    <w:rsid w:val="003E4740"/>
    <w:rsid w:val="003F39E5"/>
    <w:rsid w:val="00400BF7"/>
    <w:rsid w:val="00410652"/>
    <w:rsid w:val="00412B98"/>
    <w:rsid w:val="0041461C"/>
    <w:rsid w:val="00420108"/>
    <w:rsid w:val="00420430"/>
    <w:rsid w:val="00421EF9"/>
    <w:rsid w:val="00423BBD"/>
    <w:rsid w:val="004258B4"/>
    <w:rsid w:val="00432420"/>
    <w:rsid w:val="00432DB7"/>
    <w:rsid w:val="00451DB0"/>
    <w:rsid w:val="00453B62"/>
    <w:rsid w:val="00456E30"/>
    <w:rsid w:val="0046033F"/>
    <w:rsid w:val="00472062"/>
    <w:rsid w:val="0047453A"/>
    <w:rsid w:val="00474D7A"/>
    <w:rsid w:val="00476D2C"/>
    <w:rsid w:val="00487EBC"/>
    <w:rsid w:val="00491A13"/>
    <w:rsid w:val="00491FA4"/>
    <w:rsid w:val="00492836"/>
    <w:rsid w:val="004A105A"/>
    <w:rsid w:val="004A57A4"/>
    <w:rsid w:val="004A70ED"/>
    <w:rsid w:val="004B4645"/>
    <w:rsid w:val="004B4C99"/>
    <w:rsid w:val="004B7E5C"/>
    <w:rsid w:val="004C243B"/>
    <w:rsid w:val="004C4201"/>
    <w:rsid w:val="004C5FA5"/>
    <w:rsid w:val="004C66D6"/>
    <w:rsid w:val="004D4609"/>
    <w:rsid w:val="004E1709"/>
    <w:rsid w:val="004F130C"/>
    <w:rsid w:val="004F30C2"/>
    <w:rsid w:val="004F5BAA"/>
    <w:rsid w:val="0050604B"/>
    <w:rsid w:val="005226E1"/>
    <w:rsid w:val="005277F1"/>
    <w:rsid w:val="0053097A"/>
    <w:rsid w:val="00530BB2"/>
    <w:rsid w:val="005326D4"/>
    <w:rsid w:val="00532C4E"/>
    <w:rsid w:val="005355B9"/>
    <w:rsid w:val="005362CF"/>
    <w:rsid w:val="00537570"/>
    <w:rsid w:val="005409FC"/>
    <w:rsid w:val="0054361E"/>
    <w:rsid w:val="005441CA"/>
    <w:rsid w:val="00544776"/>
    <w:rsid w:val="005541D3"/>
    <w:rsid w:val="00556DCA"/>
    <w:rsid w:val="00563CFD"/>
    <w:rsid w:val="00565247"/>
    <w:rsid w:val="00565424"/>
    <w:rsid w:val="0057649F"/>
    <w:rsid w:val="00576AF0"/>
    <w:rsid w:val="00582923"/>
    <w:rsid w:val="00586E92"/>
    <w:rsid w:val="005914D5"/>
    <w:rsid w:val="00591AB7"/>
    <w:rsid w:val="005A079F"/>
    <w:rsid w:val="005A2D2A"/>
    <w:rsid w:val="005A6367"/>
    <w:rsid w:val="005B0DCE"/>
    <w:rsid w:val="005B2D2B"/>
    <w:rsid w:val="005C0C9E"/>
    <w:rsid w:val="005C650F"/>
    <w:rsid w:val="005D1BBF"/>
    <w:rsid w:val="005E4C12"/>
    <w:rsid w:val="005E7875"/>
    <w:rsid w:val="005F0112"/>
    <w:rsid w:val="005F0771"/>
    <w:rsid w:val="005F1B90"/>
    <w:rsid w:val="005F59A1"/>
    <w:rsid w:val="005F7E7A"/>
    <w:rsid w:val="0060172E"/>
    <w:rsid w:val="006105E3"/>
    <w:rsid w:val="0061754A"/>
    <w:rsid w:val="006255E0"/>
    <w:rsid w:val="0062680F"/>
    <w:rsid w:val="00626A36"/>
    <w:rsid w:val="00627EA0"/>
    <w:rsid w:val="00637B99"/>
    <w:rsid w:val="006419E9"/>
    <w:rsid w:val="00644943"/>
    <w:rsid w:val="00646BA2"/>
    <w:rsid w:val="00650FDD"/>
    <w:rsid w:val="00666C5B"/>
    <w:rsid w:val="006708E6"/>
    <w:rsid w:val="00671EB5"/>
    <w:rsid w:val="00677D44"/>
    <w:rsid w:val="00677E58"/>
    <w:rsid w:val="00684F64"/>
    <w:rsid w:val="0068574E"/>
    <w:rsid w:val="006910FC"/>
    <w:rsid w:val="00691700"/>
    <w:rsid w:val="00692B18"/>
    <w:rsid w:val="00694185"/>
    <w:rsid w:val="006A0004"/>
    <w:rsid w:val="006A69DF"/>
    <w:rsid w:val="006B1C34"/>
    <w:rsid w:val="006B5718"/>
    <w:rsid w:val="006C547B"/>
    <w:rsid w:val="006E0AF6"/>
    <w:rsid w:val="006E4BC5"/>
    <w:rsid w:val="006F06A0"/>
    <w:rsid w:val="006F2CA5"/>
    <w:rsid w:val="006F574D"/>
    <w:rsid w:val="00701383"/>
    <w:rsid w:val="007055C1"/>
    <w:rsid w:val="007125BA"/>
    <w:rsid w:val="00713454"/>
    <w:rsid w:val="00723694"/>
    <w:rsid w:val="00723957"/>
    <w:rsid w:val="00723E4F"/>
    <w:rsid w:val="007271E8"/>
    <w:rsid w:val="00731236"/>
    <w:rsid w:val="00731C4C"/>
    <w:rsid w:val="00732F70"/>
    <w:rsid w:val="0073373E"/>
    <w:rsid w:val="0073701B"/>
    <w:rsid w:val="00742041"/>
    <w:rsid w:val="00746969"/>
    <w:rsid w:val="00750405"/>
    <w:rsid w:val="00756E94"/>
    <w:rsid w:val="00760B6D"/>
    <w:rsid w:val="00761759"/>
    <w:rsid w:val="00762C42"/>
    <w:rsid w:val="00766CD3"/>
    <w:rsid w:val="007676E6"/>
    <w:rsid w:val="007718EA"/>
    <w:rsid w:val="00771FA6"/>
    <w:rsid w:val="00776424"/>
    <w:rsid w:val="007805D5"/>
    <w:rsid w:val="007832F3"/>
    <w:rsid w:val="007857E7"/>
    <w:rsid w:val="00790F03"/>
    <w:rsid w:val="00794173"/>
    <w:rsid w:val="007A2F5A"/>
    <w:rsid w:val="007A5662"/>
    <w:rsid w:val="007B0410"/>
    <w:rsid w:val="007B205D"/>
    <w:rsid w:val="007B6E6A"/>
    <w:rsid w:val="007C06A4"/>
    <w:rsid w:val="007C192D"/>
    <w:rsid w:val="007C64D2"/>
    <w:rsid w:val="007C7F44"/>
    <w:rsid w:val="007D55D4"/>
    <w:rsid w:val="007D6ED7"/>
    <w:rsid w:val="007E3FF1"/>
    <w:rsid w:val="007F5414"/>
    <w:rsid w:val="007F630F"/>
    <w:rsid w:val="007F7E1D"/>
    <w:rsid w:val="00803964"/>
    <w:rsid w:val="00804891"/>
    <w:rsid w:val="00804B80"/>
    <w:rsid w:val="008136B1"/>
    <w:rsid w:val="0081491E"/>
    <w:rsid w:val="008176DB"/>
    <w:rsid w:val="00817B26"/>
    <w:rsid w:val="0082533B"/>
    <w:rsid w:val="008266A7"/>
    <w:rsid w:val="00826909"/>
    <w:rsid w:val="008316D2"/>
    <w:rsid w:val="00831BB0"/>
    <w:rsid w:val="00834ED4"/>
    <w:rsid w:val="00835FA1"/>
    <w:rsid w:val="00841FA2"/>
    <w:rsid w:val="008526CF"/>
    <w:rsid w:val="00853114"/>
    <w:rsid w:val="00853E57"/>
    <w:rsid w:val="0086199D"/>
    <w:rsid w:val="00866C4B"/>
    <w:rsid w:val="008706E1"/>
    <w:rsid w:val="008712A9"/>
    <w:rsid w:val="008713CB"/>
    <w:rsid w:val="00877202"/>
    <w:rsid w:val="00877C02"/>
    <w:rsid w:val="0088320B"/>
    <w:rsid w:val="008901FA"/>
    <w:rsid w:val="00893226"/>
    <w:rsid w:val="008933FC"/>
    <w:rsid w:val="008A2060"/>
    <w:rsid w:val="008A31CF"/>
    <w:rsid w:val="008A36B5"/>
    <w:rsid w:val="008A3A3C"/>
    <w:rsid w:val="008B2F2F"/>
    <w:rsid w:val="008B6927"/>
    <w:rsid w:val="008B7CBC"/>
    <w:rsid w:val="008C4994"/>
    <w:rsid w:val="008C5EAD"/>
    <w:rsid w:val="008C65B8"/>
    <w:rsid w:val="008D1540"/>
    <w:rsid w:val="008D5A7B"/>
    <w:rsid w:val="008E1D13"/>
    <w:rsid w:val="008F461C"/>
    <w:rsid w:val="00902137"/>
    <w:rsid w:val="009066B2"/>
    <w:rsid w:val="009109B6"/>
    <w:rsid w:val="00917006"/>
    <w:rsid w:val="00917BA8"/>
    <w:rsid w:val="00920133"/>
    <w:rsid w:val="009361A1"/>
    <w:rsid w:val="00942F40"/>
    <w:rsid w:val="009530D4"/>
    <w:rsid w:val="009664EB"/>
    <w:rsid w:val="00973C1A"/>
    <w:rsid w:val="0097650A"/>
    <w:rsid w:val="00976DDA"/>
    <w:rsid w:val="00984AE2"/>
    <w:rsid w:val="0098760C"/>
    <w:rsid w:val="00990602"/>
    <w:rsid w:val="00995D84"/>
    <w:rsid w:val="009A21FF"/>
    <w:rsid w:val="009A32D9"/>
    <w:rsid w:val="009B071B"/>
    <w:rsid w:val="009B0E63"/>
    <w:rsid w:val="009C3329"/>
    <w:rsid w:val="009C46F0"/>
    <w:rsid w:val="009C6AA2"/>
    <w:rsid w:val="009D07FE"/>
    <w:rsid w:val="009D6CFD"/>
    <w:rsid w:val="009D7A9F"/>
    <w:rsid w:val="009D7C98"/>
    <w:rsid w:val="009E1087"/>
    <w:rsid w:val="009E1CFB"/>
    <w:rsid w:val="009E2039"/>
    <w:rsid w:val="009E6501"/>
    <w:rsid w:val="009F58EA"/>
    <w:rsid w:val="00A023E8"/>
    <w:rsid w:val="00A11E59"/>
    <w:rsid w:val="00A218CB"/>
    <w:rsid w:val="00A36B9D"/>
    <w:rsid w:val="00A37E90"/>
    <w:rsid w:val="00A473C2"/>
    <w:rsid w:val="00A477B4"/>
    <w:rsid w:val="00A52174"/>
    <w:rsid w:val="00A53277"/>
    <w:rsid w:val="00A60460"/>
    <w:rsid w:val="00A62B4D"/>
    <w:rsid w:val="00A708A0"/>
    <w:rsid w:val="00A7223F"/>
    <w:rsid w:val="00A742CE"/>
    <w:rsid w:val="00A832E0"/>
    <w:rsid w:val="00A83CA6"/>
    <w:rsid w:val="00A86578"/>
    <w:rsid w:val="00A8714F"/>
    <w:rsid w:val="00A95E5F"/>
    <w:rsid w:val="00AA6200"/>
    <w:rsid w:val="00AA7C8D"/>
    <w:rsid w:val="00AC2E79"/>
    <w:rsid w:val="00AC6391"/>
    <w:rsid w:val="00AE5E03"/>
    <w:rsid w:val="00AE7835"/>
    <w:rsid w:val="00B02183"/>
    <w:rsid w:val="00B04A5C"/>
    <w:rsid w:val="00B050E4"/>
    <w:rsid w:val="00B17310"/>
    <w:rsid w:val="00B22C80"/>
    <w:rsid w:val="00B369EC"/>
    <w:rsid w:val="00B37307"/>
    <w:rsid w:val="00B407BB"/>
    <w:rsid w:val="00B44446"/>
    <w:rsid w:val="00B45C10"/>
    <w:rsid w:val="00B53BC2"/>
    <w:rsid w:val="00B604E7"/>
    <w:rsid w:val="00B774A2"/>
    <w:rsid w:val="00B907F9"/>
    <w:rsid w:val="00B92BAE"/>
    <w:rsid w:val="00B9418E"/>
    <w:rsid w:val="00B9736A"/>
    <w:rsid w:val="00BA4AE6"/>
    <w:rsid w:val="00BA7BAC"/>
    <w:rsid w:val="00BB33B2"/>
    <w:rsid w:val="00BC31EE"/>
    <w:rsid w:val="00BD3EEE"/>
    <w:rsid w:val="00BD4E4C"/>
    <w:rsid w:val="00BE1182"/>
    <w:rsid w:val="00BE27D2"/>
    <w:rsid w:val="00BE2B7A"/>
    <w:rsid w:val="00BE3253"/>
    <w:rsid w:val="00BF07F3"/>
    <w:rsid w:val="00BF127C"/>
    <w:rsid w:val="00BF2B6D"/>
    <w:rsid w:val="00C01C68"/>
    <w:rsid w:val="00C0299A"/>
    <w:rsid w:val="00C069D1"/>
    <w:rsid w:val="00C10E00"/>
    <w:rsid w:val="00C16AA2"/>
    <w:rsid w:val="00C1768B"/>
    <w:rsid w:val="00C211DE"/>
    <w:rsid w:val="00C2195B"/>
    <w:rsid w:val="00C21CB0"/>
    <w:rsid w:val="00C21F4B"/>
    <w:rsid w:val="00C34AA2"/>
    <w:rsid w:val="00C34DE8"/>
    <w:rsid w:val="00C376DE"/>
    <w:rsid w:val="00C42A7D"/>
    <w:rsid w:val="00C44395"/>
    <w:rsid w:val="00C51275"/>
    <w:rsid w:val="00C51332"/>
    <w:rsid w:val="00C53B07"/>
    <w:rsid w:val="00C54F0A"/>
    <w:rsid w:val="00C553D7"/>
    <w:rsid w:val="00C5789F"/>
    <w:rsid w:val="00C607F4"/>
    <w:rsid w:val="00C647D0"/>
    <w:rsid w:val="00C658AD"/>
    <w:rsid w:val="00C71000"/>
    <w:rsid w:val="00C71CD8"/>
    <w:rsid w:val="00C81337"/>
    <w:rsid w:val="00C95744"/>
    <w:rsid w:val="00C96E86"/>
    <w:rsid w:val="00CA2DB0"/>
    <w:rsid w:val="00CA5FE5"/>
    <w:rsid w:val="00CC6C83"/>
    <w:rsid w:val="00CC7340"/>
    <w:rsid w:val="00CD53EB"/>
    <w:rsid w:val="00CD70EE"/>
    <w:rsid w:val="00CE0227"/>
    <w:rsid w:val="00CE049B"/>
    <w:rsid w:val="00CE0639"/>
    <w:rsid w:val="00CE16D8"/>
    <w:rsid w:val="00CE551C"/>
    <w:rsid w:val="00CE6BBA"/>
    <w:rsid w:val="00CF346E"/>
    <w:rsid w:val="00D005D4"/>
    <w:rsid w:val="00D100E2"/>
    <w:rsid w:val="00D12397"/>
    <w:rsid w:val="00D133FE"/>
    <w:rsid w:val="00D277B3"/>
    <w:rsid w:val="00D32183"/>
    <w:rsid w:val="00D324EE"/>
    <w:rsid w:val="00D40498"/>
    <w:rsid w:val="00D40FFE"/>
    <w:rsid w:val="00D46681"/>
    <w:rsid w:val="00D51B1D"/>
    <w:rsid w:val="00D52E67"/>
    <w:rsid w:val="00D54630"/>
    <w:rsid w:val="00D55049"/>
    <w:rsid w:val="00D55C02"/>
    <w:rsid w:val="00D60AE5"/>
    <w:rsid w:val="00D66677"/>
    <w:rsid w:val="00D90A8A"/>
    <w:rsid w:val="00D90B59"/>
    <w:rsid w:val="00D92A0B"/>
    <w:rsid w:val="00D92B57"/>
    <w:rsid w:val="00D944E3"/>
    <w:rsid w:val="00D96527"/>
    <w:rsid w:val="00DA2827"/>
    <w:rsid w:val="00DB070D"/>
    <w:rsid w:val="00DB31D7"/>
    <w:rsid w:val="00DB33F4"/>
    <w:rsid w:val="00DC0458"/>
    <w:rsid w:val="00DC161E"/>
    <w:rsid w:val="00DC67F8"/>
    <w:rsid w:val="00DD3376"/>
    <w:rsid w:val="00DE31FD"/>
    <w:rsid w:val="00DE4065"/>
    <w:rsid w:val="00DE7904"/>
    <w:rsid w:val="00DF1BBF"/>
    <w:rsid w:val="00DF6E9E"/>
    <w:rsid w:val="00DF740C"/>
    <w:rsid w:val="00E047CE"/>
    <w:rsid w:val="00E05C46"/>
    <w:rsid w:val="00E15349"/>
    <w:rsid w:val="00E17330"/>
    <w:rsid w:val="00E17945"/>
    <w:rsid w:val="00E226D4"/>
    <w:rsid w:val="00E24FFC"/>
    <w:rsid w:val="00E261BD"/>
    <w:rsid w:val="00E266C9"/>
    <w:rsid w:val="00E37013"/>
    <w:rsid w:val="00E37341"/>
    <w:rsid w:val="00E461FB"/>
    <w:rsid w:val="00E46D77"/>
    <w:rsid w:val="00E5267E"/>
    <w:rsid w:val="00E620BA"/>
    <w:rsid w:val="00E62BEF"/>
    <w:rsid w:val="00E63C74"/>
    <w:rsid w:val="00E669A4"/>
    <w:rsid w:val="00E77111"/>
    <w:rsid w:val="00E7739F"/>
    <w:rsid w:val="00E8280D"/>
    <w:rsid w:val="00E84F6C"/>
    <w:rsid w:val="00E86992"/>
    <w:rsid w:val="00E91B0A"/>
    <w:rsid w:val="00E92F35"/>
    <w:rsid w:val="00E9328B"/>
    <w:rsid w:val="00E9363C"/>
    <w:rsid w:val="00EA3399"/>
    <w:rsid w:val="00EA35EA"/>
    <w:rsid w:val="00EA3CC7"/>
    <w:rsid w:val="00EC0F71"/>
    <w:rsid w:val="00EC27F9"/>
    <w:rsid w:val="00EC3536"/>
    <w:rsid w:val="00EC5F3C"/>
    <w:rsid w:val="00EC6F0C"/>
    <w:rsid w:val="00ED6197"/>
    <w:rsid w:val="00EE1D4D"/>
    <w:rsid w:val="00EE2C87"/>
    <w:rsid w:val="00EF0628"/>
    <w:rsid w:val="00EF34E1"/>
    <w:rsid w:val="00EF73A9"/>
    <w:rsid w:val="00F02565"/>
    <w:rsid w:val="00F0529F"/>
    <w:rsid w:val="00F072CD"/>
    <w:rsid w:val="00F12F54"/>
    <w:rsid w:val="00F16992"/>
    <w:rsid w:val="00F22BC7"/>
    <w:rsid w:val="00F27AB3"/>
    <w:rsid w:val="00F315AD"/>
    <w:rsid w:val="00F315FF"/>
    <w:rsid w:val="00F3179C"/>
    <w:rsid w:val="00F31894"/>
    <w:rsid w:val="00F428DC"/>
    <w:rsid w:val="00F45F13"/>
    <w:rsid w:val="00F55C9A"/>
    <w:rsid w:val="00F566A9"/>
    <w:rsid w:val="00F62543"/>
    <w:rsid w:val="00F64B23"/>
    <w:rsid w:val="00F677F2"/>
    <w:rsid w:val="00F7310C"/>
    <w:rsid w:val="00F74AF4"/>
    <w:rsid w:val="00F7626A"/>
    <w:rsid w:val="00F77BE9"/>
    <w:rsid w:val="00F82848"/>
    <w:rsid w:val="00F85E71"/>
    <w:rsid w:val="00F90A21"/>
    <w:rsid w:val="00F9140F"/>
    <w:rsid w:val="00FA4A9E"/>
    <w:rsid w:val="00FA718B"/>
    <w:rsid w:val="00FA7429"/>
    <w:rsid w:val="00FB75C9"/>
    <w:rsid w:val="00FB7F02"/>
    <w:rsid w:val="00FC1EDB"/>
    <w:rsid w:val="00FC3BBB"/>
    <w:rsid w:val="00FC73E2"/>
    <w:rsid w:val="00FD0249"/>
    <w:rsid w:val="00FD1F6B"/>
    <w:rsid w:val="00FD353D"/>
    <w:rsid w:val="00FD5E4D"/>
    <w:rsid w:val="00FD6E93"/>
    <w:rsid w:val="00FE6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3F6E"/>
  <w15:chartTrackingRefBased/>
  <w15:docId w15:val="{E9523E19-C146-4CFC-992F-C14B7E06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7B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07BB"/>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B407BB"/>
    <w:rPr>
      <w:color w:val="0000FF"/>
      <w:u w:val="single"/>
    </w:rPr>
  </w:style>
  <w:style w:type="paragraph" w:styleId="ListParagraph">
    <w:name w:val="List Paragraph"/>
    <w:aliases w:val="Rec para,Dot pt,Párrafo de lista1,List Paragraph12,MAIN CONTENT,List Paragraph2,List Paragraph1,Recommendation,List Paragraph11,F5 List Paragraph,List Paragraph Char Char Char,Indicator Text"/>
    <w:basedOn w:val="Normal"/>
    <w:link w:val="ListParagraphChar"/>
    <w:uiPriority w:val="34"/>
    <w:qFormat/>
    <w:rsid w:val="00B407BB"/>
    <w:pPr>
      <w:ind w:left="720"/>
      <w:contextualSpacing/>
    </w:pPr>
  </w:style>
  <w:style w:type="character" w:customStyle="1" w:styleId="cf01">
    <w:name w:val="cf01"/>
    <w:basedOn w:val="DefaultParagraphFont"/>
    <w:rsid w:val="00B407BB"/>
    <w:rPr>
      <w:rFonts w:ascii="Segoe UI" w:hAnsi="Segoe UI" w:cs="Segoe UI" w:hint="default"/>
      <w:sz w:val="18"/>
      <w:szCs w:val="18"/>
    </w:rPr>
  </w:style>
  <w:style w:type="paragraph" w:styleId="NoSpacing">
    <w:name w:val="No Spacing"/>
    <w:uiPriority w:val="1"/>
    <w:qFormat/>
    <w:rsid w:val="00B407BB"/>
    <w:pPr>
      <w:spacing w:after="0" w:line="240" w:lineRule="auto"/>
    </w:pPr>
    <w:rPr>
      <w:lang w:val="en-US"/>
    </w:rPr>
  </w:style>
  <w:style w:type="character" w:customStyle="1" w:styleId="ListParagraphChar">
    <w:name w:val="List Paragraph Char"/>
    <w:aliases w:val="Rec para Char,Dot pt Char,Párrafo de lista1 Char,List Paragraph12 Char,MAIN CONTENT Char,List Paragraph2 Char,List Paragraph1 Char,Recommendation Char,List Paragraph11 Char,F5 List Paragraph Char,List Paragraph Char Char Char Char"/>
    <w:link w:val="ListParagraph"/>
    <w:uiPriority w:val="34"/>
    <w:qFormat/>
    <w:locked/>
    <w:rsid w:val="00B407BB"/>
    <w:rPr>
      <w:lang w:val="en-US"/>
    </w:rPr>
  </w:style>
  <w:style w:type="paragraph" w:customStyle="1" w:styleId="ColorfulList-Accent11">
    <w:name w:val="Colorful List - Accent 11"/>
    <w:basedOn w:val="Normal"/>
    <w:uiPriority w:val="34"/>
    <w:qFormat/>
    <w:rsid w:val="00B407BB"/>
    <w:pPr>
      <w:spacing w:after="0" w:line="240" w:lineRule="auto"/>
      <w:ind w:left="720" w:hanging="425"/>
      <w:contextualSpacing/>
    </w:pPr>
    <w:rPr>
      <w:rFonts w:ascii="Calibri" w:eastAsia="Calibri" w:hAnsi="Calibri" w:cs="Times New Roman"/>
      <w:lang w:val="en-GB"/>
    </w:rPr>
  </w:style>
  <w:style w:type="paragraph" w:styleId="NormalWeb">
    <w:name w:val="Normal (Web)"/>
    <w:basedOn w:val="Normal"/>
    <w:uiPriority w:val="99"/>
    <w:unhideWhenUsed/>
    <w:rsid w:val="00B407BB"/>
    <w:pPr>
      <w:spacing w:before="100" w:beforeAutospacing="1" w:after="100" w:afterAutospacing="1" w:line="240" w:lineRule="auto"/>
    </w:pPr>
    <w:rPr>
      <w:rFonts w:ascii="Times New Roman" w:hAnsi="Times New Roman" w:cs="Times New Roman"/>
      <w:sz w:val="24"/>
      <w:szCs w:val="24"/>
      <w:lang w:val="en-GB" w:eastAsia="en-GB"/>
    </w:rPr>
  </w:style>
  <w:style w:type="table" w:styleId="TableGrid">
    <w:name w:val="Table Grid"/>
    <w:basedOn w:val="TableNormal"/>
    <w:uiPriority w:val="39"/>
    <w:rsid w:val="00AE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218CB"/>
    <w:rPr>
      <w:color w:val="605E5C"/>
      <w:shd w:val="clear" w:color="auto" w:fill="E1DFDD"/>
    </w:rPr>
  </w:style>
  <w:style w:type="paragraph" w:styleId="Header">
    <w:name w:val="header"/>
    <w:basedOn w:val="Normal"/>
    <w:link w:val="HeaderChar"/>
    <w:uiPriority w:val="99"/>
    <w:unhideWhenUsed/>
    <w:rsid w:val="00BD4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E4C"/>
    <w:rPr>
      <w:lang w:val="en-US"/>
    </w:rPr>
  </w:style>
  <w:style w:type="paragraph" w:styleId="Footer">
    <w:name w:val="footer"/>
    <w:basedOn w:val="Normal"/>
    <w:link w:val="FooterChar"/>
    <w:uiPriority w:val="99"/>
    <w:unhideWhenUsed/>
    <w:rsid w:val="00BD4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E4C"/>
    <w:rPr>
      <w:lang w:val="en-US"/>
    </w:rPr>
  </w:style>
  <w:style w:type="paragraph" w:styleId="BalloonText">
    <w:name w:val="Balloon Text"/>
    <w:basedOn w:val="Normal"/>
    <w:link w:val="BalloonTextChar"/>
    <w:uiPriority w:val="99"/>
    <w:semiHidden/>
    <w:unhideWhenUsed/>
    <w:rsid w:val="00240909"/>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240909"/>
    <w:rPr>
      <w:rFonts w:ascii="Arial" w:hAnsi="Arial" w:cs="Arial"/>
      <w:sz w:val="18"/>
      <w:szCs w:val="18"/>
      <w:lang w:val="en-US"/>
    </w:rPr>
  </w:style>
  <w:style w:type="character" w:styleId="CommentReference">
    <w:name w:val="annotation reference"/>
    <w:basedOn w:val="DefaultParagraphFont"/>
    <w:uiPriority w:val="99"/>
    <w:semiHidden/>
    <w:unhideWhenUsed/>
    <w:rsid w:val="00990602"/>
    <w:rPr>
      <w:sz w:val="16"/>
      <w:szCs w:val="16"/>
    </w:rPr>
  </w:style>
  <w:style w:type="paragraph" w:styleId="CommentText">
    <w:name w:val="annotation text"/>
    <w:basedOn w:val="Normal"/>
    <w:link w:val="CommentTextChar"/>
    <w:uiPriority w:val="99"/>
    <w:unhideWhenUsed/>
    <w:rsid w:val="00990602"/>
    <w:pPr>
      <w:spacing w:line="240" w:lineRule="auto"/>
    </w:pPr>
    <w:rPr>
      <w:sz w:val="20"/>
      <w:szCs w:val="20"/>
    </w:rPr>
  </w:style>
  <w:style w:type="character" w:customStyle="1" w:styleId="CommentTextChar">
    <w:name w:val="Comment Text Char"/>
    <w:basedOn w:val="DefaultParagraphFont"/>
    <w:link w:val="CommentText"/>
    <w:uiPriority w:val="99"/>
    <w:rsid w:val="00990602"/>
    <w:rPr>
      <w:sz w:val="20"/>
      <w:szCs w:val="20"/>
      <w:lang w:val="en-US"/>
    </w:rPr>
  </w:style>
  <w:style w:type="paragraph" w:styleId="CommentSubject">
    <w:name w:val="annotation subject"/>
    <w:basedOn w:val="CommentText"/>
    <w:next w:val="CommentText"/>
    <w:link w:val="CommentSubjectChar"/>
    <w:uiPriority w:val="99"/>
    <w:semiHidden/>
    <w:unhideWhenUsed/>
    <w:rsid w:val="00990602"/>
    <w:rPr>
      <w:b/>
      <w:bCs/>
    </w:rPr>
  </w:style>
  <w:style w:type="character" w:customStyle="1" w:styleId="CommentSubjectChar">
    <w:name w:val="Comment Subject Char"/>
    <w:basedOn w:val="CommentTextChar"/>
    <w:link w:val="CommentSubject"/>
    <w:uiPriority w:val="99"/>
    <w:semiHidden/>
    <w:rsid w:val="00990602"/>
    <w:rPr>
      <w:b/>
      <w:bCs/>
      <w:sz w:val="20"/>
      <w:szCs w:val="20"/>
      <w:lang w:val="en-US"/>
    </w:rPr>
  </w:style>
  <w:style w:type="paragraph" w:styleId="Revision">
    <w:name w:val="Revision"/>
    <w:hidden/>
    <w:uiPriority w:val="99"/>
    <w:semiHidden/>
    <w:rsid w:val="00746969"/>
    <w:pPr>
      <w:spacing w:after="0" w:line="240" w:lineRule="auto"/>
    </w:pPr>
    <w:rPr>
      <w:lang w:val="en-US"/>
    </w:rPr>
  </w:style>
  <w:style w:type="character" w:styleId="FollowedHyperlink">
    <w:name w:val="FollowedHyperlink"/>
    <w:basedOn w:val="DefaultParagraphFont"/>
    <w:uiPriority w:val="99"/>
    <w:semiHidden/>
    <w:unhideWhenUsed/>
    <w:rsid w:val="001C180F"/>
    <w:rPr>
      <w:color w:val="954F72" w:themeColor="followedHyperlink"/>
      <w:u w:val="single"/>
    </w:rPr>
  </w:style>
  <w:style w:type="paragraph" w:styleId="FootnoteText">
    <w:name w:val="footnote text"/>
    <w:basedOn w:val="Normal"/>
    <w:link w:val="FootnoteTextChar"/>
    <w:uiPriority w:val="99"/>
    <w:semiHidden/>
    <w:unhideWhenUsed/>
    <w:rsid w:val="001C18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180F"/>
    <w:rPr>
      <w:sz w:val="20"/>
      <w:szCs w:val="20"/>
      <w:lang w:val="en-US"/>
    </w:rPr>
  </w:style>
  <w:style w:type="character" w:styleId="FootnoteReference">
    <w:name w:val="footnote reference"/>
    <w:basedOn w:val="DefaultParagraphFont"/>
    <w:uiPriority w:val="99"/>
    <w:semiHidden/>
    <w:unhideWhenUsed/>
    <w:rsid w:val="001C18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14542">
      <w:bodyDiv w:val="1"/>
      <w:marLeft w:val="0"/>
      <w:marRight w:val="0"/>
      <w:marTop w:val="0"/>
      <w:marBottom w:val="0"/>
      <w:divBdr>
        <w:top w:val="none" w:sz="0" w:space="0" w:color="auto"/>
        <w:left w:val="none" w:sz="0" w:space="0" w:color="auto"/>
        <w:bottom w:val="none" w:sz="0" w:space="0" w:color="auto"/>
        <w:right w:val="none" w:sz="0" w:space="0" w:color="auto"/>
      </w:divBdr>
    </w:div>
    <w:div w:id="587203198">
      <w:bodyDiv w:val="1"/>
      <w:marLeft w:val="0"/>
      <w:marRight w:val="0"/>
      <w:marTop w:val="0"/>
      <w:marBottom w:val="0"/>
      <w:divBdr>
        <w:top w:val="none" w:sz="0" w:space="0" w:color="auto"/>
        <w:left w:val="none" w:sz="0" w:space="0" w:color="auto"/>
        <w:bottom w:val="none" w:sz="0" w:space="0" w:color="auto"/>
        <w:right w:val="none" w:sz="0" w:space="0" w:color="auto"/>
      </w:divBdr>
    </w:div>
    <w:div w:id="172374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fr/document/resolution-xiv6-renforcer-la-visibilite-de-la-convention-et-les-synergies-avec-dautres" TargetMode="External"/><Relationship Id="rId2" Type="http://schemas.openxmlformats.org/officeDocument/2006/relationships/hyperlink" Target="https://www.ramsar.org/document/financial-analysis-legal-status-ramsar-secretariat" TargetMode="External"/><Relationship Id="rId1" Type="http://schemas.openxmlformats.org/officeDocument/2006/relationships/hyperlink" Target="https://www.ramsar.org/document/independent-analysis-legal-status-secretariat-convention-wetlands-ramsar-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5" ma:contentTypeDescription="Create a new document." ma:contentTypeScope="" ma:versionID="edb5a81cb33a773fd150dd174133c22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3d13f0ae6bc4881104d4d0908c0caaea"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B0D9F-A8D0-41DC-8BFF-BB4BF1102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6E6660-F413-45DE-94DC-9EEF929DD15C}">
  <ds:schemaRefs>
    <ds:schemaRef ds:uri="http://www.w3.org/XML/1998/namespace"/>
    <ds:schemaRef ds:uri="http://schemas.microsoft.com/office/2006/metadata/properties"/>
    <ds:schemaRef ds:uri="aedd258d-19a7-41ba-8260-b0918f25313d"/>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8c0b6b05-eb82-4bda-97e8-cd82d0d6b453"/>
    <ds:schemaRef ds:uri="http://purl.org/dc/dcmitype/"/>
  </ds:schemaRefs>
</ds:datastoreItem>
</file>

<file path=customXml/itemProps3.xml><?xml version="1.0" encoding="utf-8"?>
<ds:datastoreItem xmlns:ds="http://schemas.openxmlformats.org/officeDocument/2006/customXml" ds:itemID="{CAFF2C28-AC2E-4424-933E-1FA0354E1D19}">
  <ds:schemaRefs>
    <ds:schemaRef ds:uri="http://schemas.microsoft.com/sharepoint/v3/contenttype/forms"/>
  </ds:schemaRefs>
</ds:datastoreItem>
</file>

<file path=customXml/itemProps4.xml><?xml version="1.0" encoding="utf-8"?>
<ds:datastoreItem xmlns:ds="http://schemas.openxmlformats.org/officeDocument/2006/customXml" ds:itemID="{64CA3218-74DC-4819-87E7-171D16C1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2608</Words>
  <Characters>14869</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3</cp:revision>
  <cp:lastPrinted>2023-07-31T17:26:00Z</cp:lastPrinted>
  <dcterms:created xsi:type="dcterms:W3CDTF">2023-08-04T13:46:00Z</dcterms:created>
  <dcterms:modified xsi:type="dcterms:W3CDTF">2023-08-04T13:53:00Z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