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73" w:rsidRPr="007260D4" w:rsidRDefault="006D6F73" w:rsidP="006D6F73">
      <w:pPr>
        <w:tabs>
          <w:tab w:val="left" w:pos="2977"/>
        </w:tabs>
        <w:jc w:val="center"/>
        <w:rPr>
          <w:rFonts w:asciiTheme="minorHAnsi" w:hAnsiTheme="minorHAnsi"/>
          <w:b/>
          <w:spacing w:val="-4"/>
          <w:sz w:val="25"/>
          <w:szCs w:val="25"/>
          <w:lang w:val="fr-FR"/>
        </w:rPr>
      </w:pPr>
      <w:r w:rsidRPr="007260D4">
        <w:rPr>
          <w:noProof/>
          <w:spacing w:val="-4"/>
          <w:sz w:val="25"/>
          <w:szCs w:val="25"/>
        </w:rPr>
        <w:drawing>
          <wp:anchor distT="0" distB="0" distL="114300" distR="114300" simplePos="0" relativeHeight="251659264" behindDoc="0" locked="0" layoutInCell="1" allowOverlap="1" wp14:anchorId="333BAF65" wp14:editId="13C493E1">
            <wp:simplePos x="0" y="0"/>
            <wp:positionH relativeFrom="margin">
              <wp:posOffset>-171450</wp:posOffset>
            </wp:positionH>
            <wp:positionV relativeFrom="margin">
              <wp:posOffset>-254000</wp:posOffset>
            </wp:positionV>
            <wp:extent cx="2216150" cy="952500"/>
            <wp:effectExtent l="19050" t="0" r="0" b="0"/>
            <wp:wrapSquare wrapText="bothSides"/>
            <wp:docPr id="1"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7"/>
                    <a:stretch>
                      <a:fillRect/>
                    </a:stretch>
                  </pic:blipFill>
                  <pic:spPr bwMode="auto">
                    <a:xfrm>
                      <a:off x="0" y="0"/>
                      <a:ext cx="2216150" cy="952500"/>
                    </a:xfrm>
                    <a:prstGeom prst="rect">
                      <a:avLst/>
                    </a:prstGeom>
                    <a:noFill/>
                    <a:ln>
                      <a:noFill/>
                    </a:ln>
                  </pic:spPr>
                </pic:pic>
              </a:graphicData>
            </a:graphic>
          </wp:anchor>
        </w:drawing>
      </w:r>
      <w:r w:rsidRPr="007260D4">
        <w:rPr>
          <w:rFonts w:asciiTheme="minorHAnsi" w:hAnsiTheme="minorHAnsi"/>
          <w:b/>
          <w:spacing w:val="-4"/>
          <w:sz w:val="25"/>
          <w:szCs w:val="25"/>
          <w:lang w:val="fr-FR"/>
        </w:rPr>
        <w:t>12</w:t>
      </w:r>
      <w:r w:rsidRPr="007260D4">
        <w:rPr>
          <w:rFonts w:asciiTheme="minorHAnsi" w:hAnsiTheme="minorHAnsi"/>
          <w:b/>
          <w:spacing w:val="-4"/>
          <w:sz w:val="25"/>
          <w:szCs w:val="25"/>
          <w:vertAlign w:val="superscript"/>
          <w:lang w:val="fr-FR"/>
        </w:rPr>
        <w:t>e</w:t>
      </w:r>
      <w:r w:rsidRPr="007260D4">
        <w:rPr>
          <w:rFonts w:asciiTheme="minorHAnsi" w:hAnsiTheme="minorHAnsi"/>
          <w:b/>
          <w:spacing w:val="-4"/>
          <w:sz w:val="25"/>
          <w:szCs w:val="25"/>
          <w:lang w:val="fr-FR"/>
        </w:rPr>
        <w:t xml:space="preserve"> Session de la Conférence des Parties à la Convention sur les zones humides (Ramsar, Iran, 1971)</w:t>
      </w:r>
    </w:p>
    <w:p w:rsidR="006D6F73" w:rsidRPr="007260D4" w:rsidRDefault="006D6F73" w:rsidP="006D6F73">
      <w:pPr>
        <w:tabs>
          <w:tab w:val="left" w:pos="3261"/>
          <w:tab w:val="left" w:pos="3544"/>
        </w:tabs>
        <w:jc w:val="center"/>
        <w:rPr>
          <w:rFonts w:asciiTheme="minorHAnsi" w:hAnsiTheme="minorHAnsi"/>
          <w:spacing w:val="-4"/>
          <w:sz w:val="16"/>
          <w:szCs w:val="16"/>
          <w:lang w:val="fr-FR"/>
        </w:rPr>
      </w:pPr>
    </w:p>
    <w:p w:rsidR="006D6F73" w:rsidRPr="00475C13" w:rsidRDefault="006D6F73" w:rsidP="006D6F73">
      <w:pPr>
        <w:tabs>
          <w:tab w:val="left" w:pos="3261"/>
          <w:tab w:val="left" w:pos="3402"/>
          <w:tab w:val="left" w:pos="3544"/>
        </w:tabs>
        <w:jc w:val="center"/>
        <w:rPr>
          <w:rFonts w:asciiTheme="minorHAnsi" w:hAnsiTheme="minorHAnsi"/>
          <w:b/>
          <w:spacing w:val="-4"/>
          <w:sz w:val="25"/>
          <w:szCs w:val="25"/>
          <w:lang w:val="es-ES"/>
        </w:rPr>
      </w:pPr>
      <w:r w:rsidRPr="00475C13">
        <w:rPr>
          <w:rFonts w:asciiTheme="minorHAnsi" w:hAnsiTheme="minorHAnsi"/>
          <w:b/>
          <w:spacing w:val="-4"/>
          <w:sz w:val="25"/>
          <w:szCs w:val="25"/>
          <w:lang w:val="es-ES"/>
        </w:rPr>
        <w:t>Punta del Este, Uruguay, 1</w:t>
      </w:r>
      <w:r w:rsidRPr="00475C13">
        <w:rPr>
          <w:rFonts w:asciiTheme="minorHAnsi" w:hAnsiTheme="minorHAnsi"/>
          <w:b/>
          <w:spacing w:val="-4"/>
          <w:sz w:val="25"/>
          <w:szCs w:val="25"/>
          <w:vertAlign w:val="superscript"/>
          <w:lang w:val="es-ES"/>
        </w:rPr>
        <w:t>er</w:t>
      </w:r>
      <w:r w:rsidRPr="00475C13">
        <w:rPr>
          <w:rFonts w:asciiTheme="minorHAnsi" w:hAnsiTheme="minorHAnsi"/>
          <w:b/>
          <w:spacing w:val="-4"/>
          <w:sz w:val="25"/>
          <w:szCs w:val="25"/>
          <w:lang w:val="es-ES"/>
        </w:rPr>
        <w:t xml:space="preserve"> au 9 juin 2015</w:t>
      </w:r>
    </w:p>
    <w:p w:rsidR="009365D6" w:rsidRPr="00475C13" w:rsidRDefault="009365D6" w:rsidP="009365D6">
      <w:pPr>
        <w:pStyle w:val="Subtitle"/>
      </w:pPr>
    </w:p>
    <w:p w:rsidR="009365D6" w:rsidRPr="00475C13" w:rsidRDefault="009365D6" w:rsidP="006D6F73">
      <w:pPr>
        <w:jc w:val="center"/>
        <w:rPr>
          <w:rFonts w:ascii="Calibri" w:hAnsi="Calibri"/>
          <w:b/>
          <w:sz w:val="28"/>
          <w:szCs w:val="28"/>
          <w:lang w:val="es-ES"/>
        </w:rPr>
      </w:pPr>
      <w:r w:rsidRPr="00475C13">
        <w:rPr>
          <w:rFonts w:ascii="Calibri" w:hAnsi="Calibri"/>
          <w:b/>
          <w:sz w:val="28"/>
          <w:szCs w:val="28"/>
          <w:lang w:val="es-ES"/>
        </w:rPr>
        <w:tab/>
      </w:r>
    </w:p>
    <w:p w:rsidR="00DF4A75" w:rsidRPr="007260D4" w:rsidRDefault="00B450A6" w:rsidP="006D6F73">
      <w:pPr>
        <w:jc w:val="center"/>
        <w:rPr>
          <w:rFonts w:ascii="Calibri" w:hAnsi="Calibri"/>
          <w:b/>
          <w:sz w:val="28"/>
          <w:szCs w:val="28"/>
          <w:lang w:val="fr-FR"/>
        </w:rPr>
      </w:pPr>
      <w:r w:rsidRPr="007260D4">
        <w:rPr>
          <w:rFonts w:ascii="Calibri" w:hAnsi="Calibri"/>
          <w:b/>
          <w:sz w:val="28"/>
          <w:szCs w:val="28"/>
          <w:lang w:val="fr-FR"/>
        </w:rPr>
        <w:t>R</w:t>
      </w:r>
      <w:r w:rsidR="009365D6" w:rsidRPr="007260D4">
        <w:rPr>
          <w:rFonts w:ascii="Calibri" w:hAnsi="Calibri"/>
          <w:b/>
          <w:sz w:val="28"/>
          <w:szCs w:val="28"/>
          <w:lang w:val="fr-FR"/>
        </w:rPr>
        <w:t>ésolution</w:t>
      </w:r>
      <w:r w:rsidR="00DF4A75" w:rsidRPr="007260D4">
        <w:rPr>
          <w:rFonts w:ascii="Calibri" w:hAnsi="Calibri"/>
          <w:b/>
          <w:sz w:val="28"/>
          <w:szCs w:val="28"/>
          <w:lang w:val="fr-FR"/>
        </w:rPr>
        <w:t xml:space="preserve"> XII.</w:t>
      </w:r>
      <w:r w:rsidR="009365D6" w:rsidRPr="007260D4">
        <w:rPr>
          <w:rFonts w:ascii="Calibri" w:hAnsi="Calibri"/>
          <w:b/>
          <w:sz w:val="28"/>
          <w:szCs w:val="28"/>
          <w:lang w:val="fr-FR"/>
        </w:rPr>
        <w:t>3</w:t>
      </w:r>
      <w:r w:rsidR="00DF4A75" w:rsidRPr="007260D4">
        <w:rPr>
          <w:rFonts w:ascii="Calibri" w:hAnsi="Calibri"/>
          <w:b/>
          <w:sz w:val="28"/>
          <w:szCs w:val="28"/>
          <w:lang w:val="fr-FR"/>
        </w:rPr>
        <w:t xml:space="preserve"> </w:t>
      </w:r>
      <w:r w:rsidR="004A0400" w:rsidRPr="004A0400">
        <w:rPr>
          <w:rFonts w:asciiTheme="minorHAnsi" w:hAnsiTheme="minorHAnsi"/>
          <w:b/>
          <w:bCs/>
          <w:sz w:val="28"/>
          <w:szCs w:val="28"/>
          <w:lang w:val="fr-FR" w:eastAsia="el-GR"/>
        </w:rPr>
        <w:t>(Rev. COP13)</w:t>
      </w:r>
    </w:p>
    <w:p w:rsidR="00DF4A75" w:rsidRPr="007260D4" w:rsidRDefault="00DF4A75" w:rsidP="006D6F73">
      <w:pPr>
        <w:jc w:val="center"/>
        <w:rPr>
          <w:rFonts w:ascii="Calibri" w:hAnsi="Calibri"/>
          <w:b/>
          <w:sz w:val="28"/>
          <w:szCs w:val="28"/>
          <w:lang w:val="fr-FR"/>
        </w:rPr>
      </w:pPr>
    </w:p>
    <w:p w:rsidR="00DF4A75" w:rsidRPr="007260D4" w:rsidRDefault="00DF4A75" w:rsidP="006D6F73">
      <w:pPr>
        <w:jc w:val="center"/>
        <w:rPr>
          <w:rFonts w:ascii="Calibri" w:hAnsi="Calibri"/>
          <w:b/>
          <w:sz w:val="28"/>
          <w:szCs w:val="28"/>
          <w:lang w:val="fr-FR"/>
        </w:rPr>
      </w:pPr>
      <w:r w:rsidRPr="007260D4">
        <w:rPr>
          <w:rFonts w:ascii="Calibri" w:hAnsi="Calibri"/>
          <w:b/>
          <w:sz w:val="28"/>
          <w:szCs w:val="28"/>
          <w:lang w:val="fr-FR"/>
        </w:rPr>
        <w:t xml:space="preserve">Renforcer </w:t>
      </w:r>
      <w:r w:rsidR="00895322" w:rsidRPr="007260D4">
        <w:rPr>
          <w:rFonts w:ascii="Calibri" w:hAnsi="Calibri"/>
          <w:b/>
          <w:sz w:val="28"/>
          <w:szCs w:val="28"/>
          <w:lang w:val="fr-FR"/>
        </w:rPr>
        <w:t>la</w:t>
      </w:r>
      <w:r w:rsidRPr="007260D4">
        <w:rPr>
          <w:rFonts w:ascii="Calibri" w:hAnsi="Calibri"/>
          <w:b/>
          <w:sz w:val="28"/>
          <w:szCs w:val="28"/>
          <w:lang w:val="fr-FR"/>
        </w:rPr>
        <w:t xml:space="preserve"> </w:t>
      </w:r>
      <w:r w:rsidR="00895322" w:rsidRPr="007260D4">
        <w:rPr>
          <w:rFonts w:ascii="Calibri" w:hAnsi="Calibri"/>
          <w:b/>
          <w:sz w:val="28"/>
          <w:szCs w:val="28"/>
          <w:lang w:val="fr-FR"/>
        </w:rPr>
        <w:t xml:space="preserve">visibilité et la stature </w:t>
      </w:r>
      <w:r w:rsidRPr="007260D4">
        <w:rPr>
          <w:rFonts w:ascii="Calibri" w:hAnsi="Calibri"/>
          <w:b/>
          <w:sz w:val="28"/>
          <w:szCs w:val="28"/>
          <w:lang w:val="fr-FR"/>
        </w:rPr>
        <w:t xml:space="preserve">de la Convention et </w:t>
      </w:r>
      <w:r w:rsidR="00895322" w:rsidRPr="007260D4">
        <w:rPr>
          <w:rFonts w:ascii="Calibri" w:hAnsi="Calibri"/>
          <w:b/>
          <w:sz w:val="28"/>
          <w:szCs w:val="28"/>
          <w:lang w:val="fr-FR"/>
        </w:rPr>
        <w:t>améliorer</w:t>
      </w:r>
      <w:r w:rsidRPr="007260D4">
        <w:rPr>
          <w:rFonts w:ascii="Calibri" w:hAnsi="Calibri"/>
          <w:b/>
          <w:sz w:val="28"/>
          <w:szCs w:val="28"/>
          <w:lang w:val="fr-FR"/>
        </w:rPr>
        <w:t xml:space="preserve"> les synergies avec d’autres accords multilatéraux sur l’environnement et autres institutions internationales </w:t>
      </w:r>
    </w:p>
    <w:p w:rsidR="00DF4A75" w:rsidRDefault="00DF4A75" w:rsidP="006D6F73">
      <w:pPr>
        <w:jc w:val="center"/>
        <w:rPr>
          <w:rFonts w:ascii="Calibri" w:hAnsi="Calibri"/>
          <w:b/>
          <w:sz w:val="28"/>
          <w:szCs w:val="28"/>
          <w:lang w:val="fr-FR"/>
        </w:rPr>
      </w:pPr>
    </w:p>
    <w:p w:rsidR="00B11540" w:rsidRDefault="004A0400" w:rsidP="004A0400">
      <w:pPr>
        <w:rPr>
          <w:rFonts w:ascii="Calibri" w:hAnsi="Calibri"/>
          <w:i/>
          <w:sz w:val="22"/>
          <w:szCs w:val="22"/>
          <w:lang w:val="fr-FR"/>
        </w:rPr>
      </w:pPr>
      <w:r w:rsidRPr="004A0400">
        <w:rPr>
          <w:rFonts w:ascii="Calibri" w:hAnsi="Calibri"/>
          <w:i/>
          <w:sz w:val="22"/>
          <w:szCs w:val="22"/>
          <w:lang w:val="fr-FR"/>
        </w:rPr>
        <w:t xml:space="preserve">Telle que mise à jour par la </w:t>
      </w:r>
      <w:hyperlink r:id="rId8" w:history="1">
        <w:r>
          <w:rPr>
            <w:rStyle w:val="Hyperlink"/>
            <w:rFonts w:ascii="Calibri" w:hAnsi="Calibri"/>
            <w:i/>
            <w:sz w:val="22"/>
            <w:szCs w:val="22"/>
            <w:lang w:val="fr-FR"/>
          </w:rPr>
          <w:t xml:space="preserve">Résolution XIII.6 (2018) sur </w:t>
        </w:r>
        <w:r w:rsidRPr="004A0400">
          <w:rPr>
            <w:rStyle w:val="Hyperlink"/>
            <w:rFonts w:ascii="Calibri" w:hAnsi="Calibri"/>
            <w:sz w:val="22"/>
            <w:szCs w:val="22"/>
            <w:lang w:val="fr-FR"/>
          </w:rPr>
          <w:t>La stratégie pour les langues de la Convention</w:t>
        </w:r>
      </w:hyperlink>
      <w:r w:rsidRPr="004A0400">
        <w:rPr>
          <w:rFonts w:ascii="Calibri" w:hAnsi="Calibri"/>
          <w:i/>
          <w:sz w:val="22"/>
          <w:szCs w:val="22"/>
          <w:lang w:val="fr-FR"/>
        </w:rPr>
        <w:t xml:space="preserve">. La version originale adoptée à la COP12 est disponible </w:t>
      </w:r>
      <w:hyperlink r:id="rId9" w:history="1">
        <w:r w:rsidRPr="004A0400">
          <w:rPr>
            <w:rStyle w:val="Hyperlink"/>
            <w:rFonts w:ascii="Calibri" w:hAnsi="Calibri"/>
            <w:i/>
            <w:sz w:val="22"/>
            <w:szCs w:val="22"/>
            <w:lang w:val="fr-FR"/>
          </w:rPr>
          <w:t>ici</w:t>
        </w:r>
      </w:hyperlink>
      <w:r>
        <w:rPr>
          <w:rFonts w:ascii="Calibri" w:hAnsi="Calibri"/>
          <w:i/>
          <w:sz w:val="22"/>
          <w:szCs w:val="22"/>
          <w:lang w:val="fr-FR"/>
        </w:rPr>
        <w:t>.</w:t>
      </w:r>
    </w:p>
    <w:p w:rsidR="004A0400" w:rsidRPr="007260D4" w:rsidRDefault="004A0400" w:rsidP="006D6F73">
      <w:pPr>
        <w:jc w:val="center"/>
        <w:rPr>
          <w:rFonts w:ascii="Calibri" w:hAnsi="Calibri"/>
          <w:b/>
          <w:sz w:val="28"/>
          <w:szCs w:val="28"/>
          <w:lang w:val="fr-FR"/>
        </w:rPr>
      </w:pPr>
    </w:p>
    <w:p w:rsidR="00DF4A75" w:rsidRPr="007260D4" w:rsidRDefault="00DF4A75" w:rsidP="00F13DE2">
      <w:pPr>
        <w:pStyle w:val="ListParagraph"/>
        <w:numPr>
          <w:ilvl w:val="0"/>
          <w:numId w:val="7"/>
        </w:numPr>
        <w:suppressAutoHyphens/>
        <w:ind w:left="426" w:hanging="426"/>
        <w:jc w:val="left"/>
        <w:rPr>
          <w:rFonts w:ascii="Calibri" w:hAnsi="Calibri" w:cs="Arial"/>
          <w:lang w:val="fr-FR"/>
        </w:rPr>
      </w:pPr>
      <w:r w:rsidRPr="007260D4">
        <w:rPr>
          <w:rFonts w:ascii="Calibri" w:hAnsi="Calibri"/>
          <w:lang w:val="fr-FR"/>
        </w:rPr>
        <w:t xml:space="preserve">RAPPELANT que, dans ses paragraphes 17 et 18, la Résolution XI.1 donnait instruction au Comité permanent et aux Parties contractantes </w:t>
      </w:r>
      <w:r w:rsidR="009F4758" w:rsidRPr="007260D4">
        <w:rPr>
          <w:rFonts w:ascii="Calibri" w:hAnsi="Calibri"/>
          <w:lang w:val="fr-FR"/>
        </w:rPr>
        <w:t xml:space="preserve">d’élaborer </w:t>
      </w:r>
      <w:r w:rsidRPr="007260D4">
        <w:rPr>
          <w:rFonts w:ascii="Calibri" w:hAnsi="Calibri"/>
          <w:lang w:val="fr-FR"/>
        </w:rPr>
        <w:t xml:space="preserve">des stratégies </w:t>
      </w:r>
      <w:r w:rsidR="009F4758" w:rsidRPr="007260D4">
        <w:rPr>
          <w:rFonts w:ascii="Calibri" w:hAnsi="Calibri"/>
          <w:lang w:val="fr-FR"/>
        </w:rPr>
        <w:t>explorant les moyens d’</w:t>
      </w:r>
      <w:r w:rsidRPr="007260D4">
        <w:rPr>
          <w:rFonts w:ascii="Calibri" w:hAnsi="Calibri"/>
          <w:lang w:val="fr-FR"/>
        </w:rPr>
        <w:t xml:space="preserve">utiliser les langues de l’ONU à la Convention, </w:t>
      </w:r>
      <w:r w:rsidR="009F4758" w:rsidRPr="007260D4">
        <w:rPr>
          <w:rFonts w:ascii="Calibri" w:hAnsi="Calibri"/>
          <w:lang w:val="fr-FR"/>
        </w:rPr>
        <w:t>d’</w:t>
      </w:r>
      <w:r w:rsidRPr="007260D4">
        <w:rPr>
          <w:rFonts w:ascii="Calibri" w:hAnsi="Calibri"/>
          <w:lang w:val="fr-FR"/>
        </w:rPr>
        <w:t>améliorer la visibilité et la stature de la Convention, notamment en renforçant l’engagement politique dans ses travaux</w:t>
      </w:r>
      <w:r w:rsidR="009F4758" w:rsidRPr="007260D4">
        <w:rPr>
          <w:rFonts w:ascii="Calibri" w:hAnsi="Calibri"/>
          <w:lang w:val="fr-FR"/>
        </w:rPr>
        <w:t xml:space="preserve"> aux niveaux national, régional et mondial</w:t>
      </w:r>
      <w:r w:rsidRPr="007260D4">
        <w:rPr>
          <w:rFonts w:ascii="Calibri" w:hAnsi="Calibri"/>
          <w:lang w:val="fr-FR"/>
        </w:rPr>
        <w:t xml:space="preserve">, et </w:t>
      </w:r>
      <w:r w:rsidR="009F4758" w:rsidRPr="007260D4">
        <w:rPr>
          <w:rFonts w:ascii="Calibri" w:hAnsi="Calibri"/>
          <w:lang w:val="fr-FR"/>
        </w:rPr>
        <w:t xml:space="preserve">de </w:t>
      </w:r>
      <w:r w:rsidRPr="007260D4">
        <w:rPr>
          <w:rFonts w:ascii="Calibri" w:hAnsi="Calibri"/>
          <w:lang w:val="fr-FR"/>
        </w:rPr>
        <w:t>renforcer les synergies avec les accords multilatéraux sur l’environnement (AME) et autres entités internationales</w:t>
      </w:r>
      <w:r w:rsidR="009F4758" w:rsidRPr="007260D4">
        <w:rPr>
          <w:rFonts w:ascii="Calibri" w:hAnsi="Calibri"/>
          <w:lang w:val="fr-FR"/>
        </w:rPr>
        <w:t xml:space="preserve"> par l’intermédiaire des initiatives régionales et la participation accrue aux initiatives du</w:t>
      </w:r>
      <w:r w:rsidRPr="007260D4">
        <w:rPr>
          <w:rFonts w:ascii="Calibri" w:hAnsi="Calibri"/>
          <w:lang w:val="fr-FR"/>
        </w:rPr>
        <w:t xml:space="preserve"> Programme des Nations Unies pour l’environnement (PNUE); </w:t>
      </w:r>
    </w:p>
    <w:p w:rsidR="00DF4A75" w:rsidRPr="007260D4" w:rsidRDefault="00DF4A75" w:rsidP="00F13DE2">
      <w:pPr>
        <w:pStyle w:val="ListParagraph"/>
        <w:suppressAutoHyphens/>
        <w:ind w:left="426" w:hanging="426"/>
        <w:jc w:val="left"/>
        <w:rPr>
          <w:rFonts w:ascii="Calibri" w:hAnsi="Calibri" w:cs="Arial"/>
          <w:lang w:val="fr-FR"/>
        </w:rPr>
      </w:pPr>
    </w:p>
    <w:p w:rsidR="00DF4A75" w:rsidRPr="007260D4" w:rsidRDefault="00DF4A75" w:rsidP="00F13DE2">
      <w:pPr>
        <w:pStyle w:val="ListParagraph"/>
        <w:numPr>
          <w:ilvl w:val="0"/>
          <w:numId w:val="7"/>
        </w:numPr>
        <w:suppressAutoHyphens/>
        <w:ind w:left="426" w:hanging="426"/>
        <w:jc w:val="left"/>
        <w:rPr>
          <w:rFonts w:ascii="Calibri" w:hAnsi="Calibri" w:cs="Arial"/>
          <w:lang w:val="fr-FR"/>
        </w:rPr>
      </w:pPr>
      <w:r w:rsidRPr="007260D4">
        <w:rPr>
          <w:rFonts w:ascii="Calibri" w:hAnsi="Calibri" w:cs="Arial"/>
          <w:lang w:val="fr-FR"/>
        </w:rPr>
        <w:t xml:space="preserve">RAPPELANT EN OUTRE que la Résolution XI.1 appelait à l’établissement d’un groupe de travail pour développer ces stratégies et faire rapport sur </w:t>
      </w:r>
      <w:r w:rsidR="00D0300F" w:rsidRPr="007260D4">
        <w:rPr>
          <w:rFonts w:ascii="Calibri" w:hAnsi="Calibri" w:cs="Arial"/>
          <w:lang w:val="fr-FR"/>
        </w:rPr>
        <w:t>l</w:t>
      </w:r>
      <w:r w:rsidRPr="007260D4">
        <w:rPr>
          <w:rFonts w:ascii="Calibri" w:hAnsi="Calibri" w:cs="Arial"/>
          <w:lang w:val="fr-FR"/>
        </w:rPr>
        <w:t>es progrès à chaque réunion du Comité permanent</w:t>
      </w:r>
      <w:r w:rsidR="0047150F" w:rsidRPr="007260D4">
        <w:rPr>
          <w:rFonts w:ascii="Calibri" w:hAnsi="Calibri" w:cs="Arial"/>
          <w:lang w:val="fr-FR"/>
        </w:rPr>
        <w:t>, ainsi que sur toute incidence, notamment financière</w:t>
      </w:r>
      <w:r w:rsidR="00AB1003" w:rsidRPr="007260D4">
        <w:rPr>
          <w:rFonts w:ascii="Calibri" w:hAnsi="Calibri" w:cs="Arial"/>
          <w:lang w:val="fr-FR"/>
        </w:rPr>
        <w:t>,</w:t>
      </w:r>
      <w:r w:rsidR="0047150F" w:rsidRPr="007260D4">
        <w:rPr>
          <w:rFonts w:ascii="Calibri" w:hAnsi="Calibri" w:cs="Arial"/>
          <w:lang w:val="fr-FR"/>
        </w:rPr>
        <w:t xml:space="preserve"> et recommandations,</w:t>
      </w:r>
      <w:r w:rsidRPr="007260D4">
        <w:rPr>
          <w:rFonts w:ascii="Calibri" w:hAnsi="Calibri" w:cs="Arial"/>
          <w:lang w:val="fr-FR"/>
        </w:rPr>
        <w:t xml:space="preserve"> et demandait aussi au Comité permanent de soumettre un rapport </w:t>
      </w:r>
      <w:r w:rsidR="0047150F" w:rsidRPr="007260D4">
        <w:rPr>
          <w:rFonts w:ascii="Calibri" w:hAnsi="Calibri" w:cs="Arial"/>
          <w:lang w:val="fr-FR"/>
        </w:rPr>
        <w:t>contenant ses</w:t>
      </w:r>
      <w:r w:rsidRPr="007260D4">
        <w:rPr>
          <w:rFonts w:ascii="Calibri" w:hAnsi="Calibri" w:cs="Arial"/>
          <w:lang w:val="fr-FR"/>
        </w:rPr>
        <w:t xml:space="preserve"> recommandations à la 12</w:t>
      </w:r>
      <w:r w:rsidRPr="007260D4">
        <w:rPr>
          <w:rFonts w:ascii="Calibri" w:hAnsi="Calibri" w:cs="Arial"/>
          <w:vertAlign w:val="superscript"/>
          <w:lang w:val="fr-FR"/>
        </w:rPr>
        <w:t>e</w:t>
      </w:r>
      <w:r w:rsidRPr="007260D4">
        <w:rPr>
          <w:rFonts w:ascii="Calibri" w:hAnsi="Calibri" w:cs="Arial"/>
          <w:lang w:val="fr-FR"/>
        </w:rPr>
        <w:t xml:space="preserve"> Session de la Conférence des Parties </w:t>
      </w:r>
      <w:r w:rsidR="009365D6" w:rsidRPr="007260D4">
        <w:rPr>
          <w:rFonts w:ascii="Calibri" w:hAnsi="Calibri" w:cs="Arial"/>
          <w:lang w:val="fr-FR"/>
        </w:rPr>
        <w:t>(COP12)</w:t>
      </w:r>
      <w:r w:rsidRPr="007260D4">
        <w:rPr>
          <w:rFonts w:ascii="Calibri" w:hAnsi="Calibri" w:cs="Arial"/>
          <w:lang w:val="fr-FR"/>
        </w:rPr>
        <w:t>;</w:t>
      </w:r>
    </w:p>
    <w:p w:rsidR="00DF4A75" w:rsidRPr="007260D4" w:rsidRDefault="00DF4A75" w:rsidP="00F13DE2">
      <w:pPr>
        <w:suppressAutoHyphens/>
        <w:ind w:left="426" w:right="521" w:hanging="426"/>
        <w:rPr>
          <w:rFonts w:ascii="Calibri" w:hAnsi="Calibri" w:cs="Arial"/>
          <w:lang w:val="fr-FR"/>
        </w:rPr>
      </w:pPr>
    </w:p>
    <w:p w:rsidR="00DF4A75" w:rsidRPr="007260D4" w:rsidRDefault="00DF4A75" w:rsidP="00F13DE2">
      <w:pPr>
        <w:pStyle w:val="ListParagraph"/>
        <w:numPr>
          <w:ilvl w:val="0"/>
          <w:numId w:val="7"/>
        </w:numPr>
        <w:suppressAutoHyphens/>
        <w:ind w:left="426" w:hanging="426"/>
        <w:jc w:val="left"/>
        <w:rPr>
          <w:rFonts w:ascii="Calibri" w:hAnsi="Calibri"/>
          <w:lang w:val="fr-FR"/>
        </w:rPr>
      </w:pPr>
      <w:r w:rsidRPr="007260D4">
        <w:rPr>
          <w:rFonts w:ascii="Calibri" w:hAnsi="Calibri"/>
          <w:lang w:val="fr-FR"/>
        </w:rPr>
        <w:t>PRENANT NOTE des rapports du Groupe de travail sur la gestion du Comité permanent sur les questions qui précèdent et EXPRIMANT SA SATISFACTION pour le travail important mené à bien durant la période triennale;</w:t>
      </w:r>
    </w:p>
    <w:p w:rsidR="00DF4A75" w:rsidRPr="007260D4" w:rsidRDefault="00DF4A75" w:rsidP="00926243">
      <w:pPr>
        <w:pStyle w:val="ListParagraph"/>
        <w:rPr>
          <w:rFonts w:ascii="Calibri" w:hAnsi="Calibri"/>
          <w:lang w:val="fr-FR"/>
        </w:rPr>
      </w:pPr>
    </w:p>
    <w:p w:rsidR="00DF4A75" w:rsidRPr="007260D4" w:rsidRDefault="00DF4A75" w:rsidP="00F13DE2">
      <w:pPr>
        <w:pStyle w:val="ListParagraph"/>
        <w:numPr>
          <w:ilvl w:val="0"/>
          <w:numId w:val="7"/>
        </w:numPr>
        <w:suppressAutoHyphens/>
        <w:ind w:left="426" w:hanging="426"/>
        <w:jc w:val="left"/>
        <w:rPr>
          <w:rFonts w:ascii="Calibri" w:hAnsi="Calibri"/>
          <w:lang w:val="fr-FR"/>
        </w:rPr>
      </w:pPr>
      <w:r w:rsidRPr="007260D4">
        <w:rPr>
          <w:rFonts w:ascii="Calibri" w:hAnsi="Calibri"/>
          <w:lang w:val="fr-FR"/>
        </w:rPr>
        <w:t xml:space="preserve">SATISFAITE des travaux du Groupe de travail sur le Plan stratégique </w:t>
      </w:r>
      <w:r w:rsidR="0026298A" w:rsidRPr="007260D4">
        <w:rPr>
          <w:rFonts w:ascii="Calibri" w:hAnsi="Calibri"/>
          <w:lang w:val="fr-FR"/>
        </w:rPr>
        <w:t>ayant garanti</w:t>
      </w:r>
      <w:r w:rsidRPr="007260D4">
        <w:rPr>
          <w:rFonts w:ascii="Calibri" w:hAnsi="Calibri"/>
          <w:lang w:val="fr-FR"/>
        </w:rPr>
        <w:t xml:space="preserve"> que le 4</w:t>
      </w:r>
      <w:r w:rsidRPr="007260D4">
        <w:rPr>
          <w:rFonts w:ascii="Calibri" w:hAnsi="Calibri"/>
          <w:vertAlign w:val="superscript"/>
          <w:lang w:val="fr-FR"/>
        </w:rPr>
        <w:t>e</w:t>
      </w:r>
      <w:r w:rsidRPr="007260D4">
        <w:rPr>
          <w:rFonts w:ascii="Calibri" w:hAnsi="Calibri"/>
          <w:lang w:val="fr-FR"/>
        </w:rPr>
        <w:t xml:space="preserve"> Plan stratégique Ramsar présente </w:t>
      </w:r>
      <w:r w:rsidR="0047150F" w:rsidRPr="007260D4">
        <w:rPr>
          <w:rFonts w:ascii="Calibri" w:hAnsi="Calibri"/>
          <w:lang w:val="fr-FR"/>
        </w:rPr>
        <w:t>des stratégies</w:t>
      </w:r>
      <w:r w:rsidRPr="007260D4">
        <w:rPr>
          <w:rFonts w:ascii="Calibri" w:hAnsi="Calibri"/>
          <w:lang w:val="fr-FR"/>
        </w:rPr>
        <w:t xml:space="preserve"> sur ces questions</w:t>
      </w:r>
      <w:r w:rsidR="0047150F" w:rsidRPr="007260D4">
        <w:rPr>
          <w:rFonts w:ascii="Calibri" w:hAnsi="Calibri"/>
          <w:lang w:val="fr-FR"/>
        </w:rPr>
        <w:t xml:space="preserve"> pour examen par les Parties contractantes</w:t>
      </w:r>
      <w:r w:rsidRPr="007260D4">
        <w:rPr>
          <w:rFonts w:ascii="Calibri" w:hAnsi="Calibri"/>
          <w:lang w:val="fr-FR"/>
        </w:rPr>
        <w:t xml:space="preserve">;  </w:t>
      </w:r>
    </w:p>
    <w:p w:rsidR="00DF4A75" w:rsidRPr="007260D4" w:rsidRDefault="00DF4A75" w:rsidP="00F13DE2">
      <w:pPr>
        <w:suppressAutoHyphens/>
        <w:ind w:left="426" w:hanging="426"/>
        <w:rPr>
          <w:rFonts w:ascii="Calibri" w:hAnsi="Calibri"/>
          <w:sz w:val="22"/>
          <w:szCs w:val="22"/>
          <w:lang w:val="fr-FR"/>
        </w:rPr>
      </w:pPr>
      <w:r w:rsidRPr="007260D4">
        <w:rPr>
          <w:rFonts w:ascii="Calibri" w:hAnsi="Calibri"/>
          <w:sz w:val="22"/>
          <w:szCs w:val="22"/>
          <w:lang w:val="fr-FR"/>
        </w:rPr>
        <w:t xml:space="preserve"> </w:t>
      </w:r>
    </w:p>
    <w:p w:rsidR="00DF4A75" w:rsidRPr="007260D4" w:rsidRDefault="00DF4A75" w:rsidP="00F13DE2">
      <w:pPr>
        <w:pStyle w:val="ListParagraph"/>
        <w:numPr>
          <w:ilvl w:val="0"/>
          <w:numId w:val="7"/>
        </w:numPr>
        <w:suppressAutoHyphens/>
        <w:ind w:left="426" w:hanging="426"/>
        <w:jc w:val="left"/>
        <w:rPr>
          <w:rFonts w:ascii="Calibri" w:hAnsi="Calibri"/>
          <w:lang w:val="fr-FR"/>
        </w:rPr>
      </w:pPr>
      <w:r w:rsidRPr="007260D4">
        <w:rPr>
          <w:rFonts w:ascii="Calibri" w:hAnsi="Calibri"/>
          <w:lang w:val="fr-FR"/>
        </w:rPr>
        <w:t xml:space="preserve">NOTANT l’intérêt manifesté par toutes les Parties </w:t>
      </w:r>
      <w:r w:rsidR="00AB1003" w:rsidRPr="007260D4">
        <w:rPr>
          <w:rFonts w:ascii="Calibri" w:hAnsi="Calibri"/>
          <w:lang w:val="fr-FR"/>
        </w:rPr>
        <w:t xml:space="preserve">pour l’amélioration de </w:t>
      </w:r>
      <w:r w:rsidRPr="007260D4">
        <w:rPr>
          <w:rFonts w:ascii="Calibri" w:hAnsi="Calibri"/>
          <w:lang w:val="fr-FR"/>
        </w:rPr>
        <w:t xml:space="preserve">la visibilité et </w:t>
      </w:r>
      <w:r w:rsidR="00AB1003" w:rsidRPr="007260D4">
        <w:rPr>
          <w:rFonts w:ascii="Calibri" w:hAnsi="Calibri"/>
          <w:lang w:val="fr-FR"/>
        </w:rPr>
        <w:t xml:space="preserve">de </w:t>
      </w:r>
      <w:r w:rsidRPr="007260D4">
        <w:rPr>
          <w:rFonts w:ascii="Calibri" w:hAnsi="Calibri"/>
          <w:lang w:val="fr-FR"/>
        </w:rPr>
        <w:t xml:space="preserve">la stature de la Convention de Ramsar et </w:t>
      </w:r>
      <w:r w:rsidR="00AB1003" w:rsidRPr="007260D4">
        <w:rPr>
          <w:rFonts w:ascii="Calibri" w:hAnsi="Calibri"/>
          <w:lang w:val="fr-FR"/>
        </w:rPr>
        <w:t>le renforcement de</w:t>
      </w:r>
      <w:r w:rsidRPr="007260D4">
        <w:rPr>
          <w:rFonts w:ascii="Calibri" w:hAnsi="Calibri"/>
          <w:lang w:val="fr-FR"/>
        </w:rPr>
        <w:t xml:space="preserve"> ses synergies avec d’autres AME et avec le PNUE et </w:t>
      </w:r>
      <w:r w:rsidR="00AB1003" w:rsidRPr="007260D4">
        <w:rPr>
          <w:rFonts w:ascii="Calibri" w:hAnsi="Calibri"/>
          <w:lang w:val="fr-FR"/>
        </w:rPr>
        <w:t>pour le soutien au</w:t>
      </w:r>
      <w:r w:rsidR="0026298A" w:rsidRPr="007260D4">
        <w:rPr>
          <w:rFonts w:ascii="Calibri" w:hAnsi="Calibri"/>
          <w:lang w:val="fr-FR"/>
        </w:rPr>
        <w:t xml:space="preserve"> développement</w:t>
      </w:r>
      <w:r w:rsidRPr="007260D4">
        <w:rPr>
          <w:rFonts w:ascii="Calibri" w:hAnsi="Calibri"/>
          <w:lang w:val="fr-FR"/>
        </w:rPr>
        <w:t xml:space="preserve"> et</w:t>
      </w:r>
      <w:r w:rsidR="00AB1003" w:rsidRPr="007260D4">
        <w:rPr>
          <w:rFonts w:ascii="Calibri" w:hAnsi="Calibri"/>
          <w:lang w:val="fr-FR"/>
        </w:rPr>
        <w:t xml:space="preserve"> à</w:t>
      </w:r>
      <w:r w:rsidRPr="007260D4">
        <w:rPr>
          <w:rFonts w:ascii="Calibri" w:hAnsi="Calibri"/>
          <w:lang w:val="fr-FR"/>
        </w:rPr>
        <w:t xml:space="preserve"> l’application de la Convention</w:t>
      </w:r>
      <w:r w:rsidR="0047150F" w:rsidRPr="007260D4">
        <w:rPr>
          <w:rFonts w:ascii="Calibri" w:hAnsi="Calibri"/>
          <w:lang w:val="fr-FR"/>
        </w:rPr>
        <w:t>, y compris</w:t>
      </w:r>
      <w:r w:rsidRPr="007260D4">
        <w:rPr>
          <w:rFonts w:ascii="Calibri" w:hAnsi="Calibri"/>
          <w:lang w:val="fr-FR"/>
        </w:rPr>
        <w:t xml:space="preserve"> en introduisant </w:t>
      </w:r>
      <w:r w:rsidR="0047150F" w:rsidRPr="007260D4">
        <w:rPr>
          <w:rFonts w:ascii="Calibri" w:hAnsi="Calibri"/>
          <w:lang w:val="fr-FR"/>
        </w:rPr>
        <w:t xml:space="preserve">éventuellement </w:t>
      </w:r>
      <w:r w:rsidRPr="007260D4">
        <w:rPr>
          <w:rFonts w:ascii="Calibri" w:hAnsi="Calibri"/>
          <w:lang w:val="fr-FR"/>
        </w:rPr>
        <w:t xml:space="preserve">d’autres langues officielles de l’ONU dans son fonctionnement;  </w:t>
      </w:r>
    </w:p>
    <w:p w:rsidR="00DF4A75" w:rsidRPr="007260D4" w:rsidRDefault="00DF4A75" w:rsidP="00F13DE2">
      <w:pPr>
        <w:suppressAutoHyphens/>
        <w:ind w:left="426" w:hanging="426"/>
        <w:rPr>
          <w:rFonts w:ascii="Calibri" w:hAnsi="Calibri"/>
          <w:sz w:val="22"/>
          <w:szCs w:val="22"/>
          <w:lang w:val="fr-FR"/>
        </w:rPr>
      </w:pPr>
    </w:p>
    <w:p w:rsidR="00DF4A75" w:rsidRPr="007260D4" w:rsidRDefault="00DF4A75" w:rsidP="00F13DE2">
      <w:pPr>
        <w:pStyle w:val="ListParagraph"/>
        <w:numPr>
          <w:ilvl w:val="0"/>
          <w:numId w:val="7"/>
        </w:numPr>
        <w:suppressAutoHyphens/>
        <w:ind w:left="426" w:hanging="426"/>
        <w:jc w:val="left"/>
        <w:rPr>
          <w:rFonts w:ascii="Calibri" w:hAnsi="Calibri"/>
          <w:lang w:val="fr-FR"/>
        </w:rPr>
      </w:pPr>
      <w:r w:rsidRPr="007260D4">
        <w:rPr>
          <w:rFonts w:ascii="Calibri" w:hAnsi="Calibri"/>
          <w:lang w:val="fr-FR"/>
        </w:rPr>
        <w:t xml:space="preserve">SE FÉLICITANT des progrès accomplis par le Secrétariat dans la préparation d’un protocole d’accord avec le PNUE pour améliorer la collaboration dans les domaines d’intérêt commun; </w:t>
      </w:r>
    </w:p>
    <w:p w:rsidR="006D4EB3" w:rsidRPr="007260D4" w:rsidRDefault="006D4EB3" w:rsidP="006D4EB3">
      <w:pPr>
        <w:pStyle w:val="ListParagraph"/>
        <w:suppressAutoHyphens/>
        <w:ind w:left="426"/>
        <w:jc w:val="left"/>
        <w:rPr>
          <w:rFonts w:ascii="Calibri" w:hAnsi="Calibri"/>
          <w:lang w:val="fr-FR"/>
        </w:rPr>
      </w:pPr>
    </w:p>
    <w:p w:rsidR="006D4EB3" w:rsidRPr="007260D4" w:rsidRDefault="006D4EB3" w:rsidP="00F13DE2">
      <w:pPr>
        <w:pStyle w:val="ListParagraph"/>
        <w:numPr>
          <w:ilvl w:val="0"/>
          <w:numId w:val="7"/>
        </w:numPr>
        <w:suppressAutoHyphens/>
        <w:ind w:left="426" w:hanging="426"/>
        <w:jc w:val="left"/>
        <w:rPr>
          <w:rFonts w:ascii="Calibri" w:hAnsi="Calibri"/>
          <w:lang w:val="fr-FR"/>
        </w:rPr>
      </w:pPr>
      <w:r w:rsidRPr="007260D4">
        <w:rPr>
          <w:rFonts w:ascii="Calibri" w:hAnsi="Calibri"/>
          <w:lang w:val="fr-FR"/>
        </w:rPr>
        <w:lastRenderedPageBreak/>
        <w:t>PRENANT NOTE du projet entrepris par le PNUE</w:t>
      </w:r>
      <w:r w:rsidR="00E64ABD" w:rsidRPr="007260D4">
        <w:rPr>
          <w:rFonts w:ascii="Calibri" w:hAnsi="Calibri"/>
          <w:lang w:val="fr-FR"/>
        </w:rPr>
        <w:t>,</w:t>
      </w:r>
      <w:r w:rsidRPr="007260D4">
        <w:rPr>
          <w:rFonts w:ascii="Calibri" w:hAnsi="Calibri"/>
          <w:lang w:val="fr-FR"/>
        </w:rPr>
        <w:t xml:space="preserve"> «</w:t>
      </w:r>
      <w:r w:rsidR="00E64ABD" w:rsidRPr="007260D4">
        <w:rPr>
          <w:rFonts w:ascii="Calibri" w:hAnsi="Calibri"/>
          <w:lang w:val="fr-FR"/>
        </w:rPr>
        <w:t xml:space="preserve"> </w:t>
      </w:r>
      <w:r w:rsidR="00E64ABD" w:rsidRPr="00475C13">
        <w:rPr>
          <w:rFonts w:ascii="Calibri" w:hAnsi="Calibri" w:cs="Calibri-Bold"/>
          <w:bCs/>
          <w:i/>
          <w:lang w:val="fr-FR"/>
        </w:rPr>
        <w:t>Improving the effectiveness of and cooperation among biodiversity-related conventions and exploring opportunities for further synergies</w:t>
      </w:r>
      <w:r w:rsidR="00E64ABD" w:rsidRPr="007260D4">
        <w:rPr>
          <w:rFonts w:ascii="Calibri" w:hAnsi="Calibri" w:cs="Calibri-Bold"/>
          <w:bCs/>
          <w:lang w:val="fr-FR"/>
        </w:rPr>
        <w:t> </w:t>
      </w:r>
      <w:r w:rsidRPr="007260D4">
        <w:rPr>
          <w:rFonts w:ascii="Calibri" w:hAnsi="Calibri"/>
          <w:lang w:val="fr-FR"/>
        </w:rPr>
        <w:t xml:space="preserve"> » et ses résultats, </w:t>
      </w:r>
      <w:r w:rsidR="009365D6" w:rsidRPr="007260D4">
        <w:rPr>
          <w:rFonts w:ascii="Calibri" w:hAnsi="Calibri"/>
          <w:lang w:val="fr-FR"/>
        </w:rPr>
        <w:t>notamment</w:t>
      </w:r>
      <w:r w:rsidR="00FB139D" w:rsidRPr="007260D4">
        <w:rPr>
          <w:rFonts w:ascii="Calibri" w:hAnsi="Calibri"/>
          <w:lang w:val="fr-FR"/>
        </w:rPr>
        <w:t xml:space="preserve"> le</w:t>
      </w:r>
      <w:r w:rsidR="00AA4D6F" w:rsidRPr="007260D4">
        <w:rPr>
          <w:rFonts w:ascii="Calibri" w:hAnsi="Calibri"/>
          <w:lang w:val="fr-FR"/>
        </w:rPr>
        <w:t xml:space="preserve"> </w:t>
      </w:r>
      <w:r w:rsidR="00CE7DAA" w:rsidRPr="007260D4">
        <w:rPr>
          <w:rFonts w:ascii="Calibri" w:hAnsi="Calibri"/>
          <w:lang w:val="fr-FR"/>
        </w:rPr>
        <w:t>S</w:t>
      </w:r>
      <w:r w:rsidR="00FB139D" w:rsidRPr="007260D4">
        <w:rPr>
          <w:rFonts w:ascii="Calibri" w:hAnsi="Calibri" w:cs="Calibri-Bold"/>
          <w:bCs/>
          <w:i/>
          <w:lang w:val="fr-FR"/>
        </w:rPr>
        <w:t>ourcebook</w:t>
      </w:r>
      <w:r w:rsidRPr="007260D4">
        <w:rPr>
          <w:rFonts w:ascii="Calibri" w:hAnsi="Calibri"/>
          <w:lang w:val="fr-FR"/>
        </w:rPr>
        <w:t xml:space="preserve">; </w:t>
      </w:r>
    </w:p>
    <w:p w:rsidR="00C54811" w:rsidRPr="007260D4" w:rsidRDefault="00C54811" w:rsidP="00533BAA">
      <w:pPr>
        <w:pStyle w:val="ListParagraph"/>
        <w:rPr>
          <w:rFonts w:ascii="Calibri" w:hAnsi="Calibri"/>
          <w:lang w:val="fr-FR"/>
        </w:rPr>
      </w:pPr>
    </w:p>
    <w:p w:rsidR="00F96393" w:rsidRPr="007260D4" w:rsidRDefault="00C54811" w:rsidP="005E6920">
      <w:pPr>
        <w:pStyle w:val="ListParagraph"/>
        <w:numPr>
          <w:ilvl w:val="0"/>
          <w:numId w:val="7"/>
        </w:numPr>
        <w:suppressAutoHyphens/>
        <w:ind w:left="426" w:hanging="426"/>
        <w:jc w:val="left"/>
        <w:rPr>
          <w:rFonts w:ascii="Calibri" w:hAnsi="Calibri"/>
          <w:lang w:val="fr-FR"/>
        </w:rPr>
      </w:pPr>
      <w:r w:rsidRPr="007260D4">
        <w:rPr>
          <w:rFonts w:ascii="Calibri" w:hAnsi="Calibri"/>
          <w:lang w:val="fr-FR"/>
        </w:rPr>
        <w:t xml:space="preserve">SALUANT les efforts en cours en vue d’établir des synergies avec d’autres AME, entre autres la Résolution 5.19 </w:t>
      </w:r>
      <w:r w:rsidR="00544524" w:rsidRPr="007260D4">
        <w:rPr>
          <w:rFonts w:asciiTheme="minorHAnsi" w:hAnsiTheme="minorHAnsi"/>
          <w:i/>
          <w:lang w:val="fr-FR"/>
        </w:rPr>
        <w:t>Encouragement of further joint implementation of AEWA and the Ramsar Convention</w:t>
      </w:r>
      <w:r w:rsidR="00544524" w:rsidRPr="007260D4">
        <w:rPr>
          <w:rFonts w:asciiTheme="minorHAnsi" w:hAnsiTheme="minorHAnsi"/>
          <w:lang w:val="fr-FR"/>
        </w:rPr>
        <w:t xml:space="preserve"> de l’Accord sur </w:t>
      </w:r>
      <w:r w:rsidR="00F96393" w:rsidRPr="007260D4">
        <w:rPr>
          <w:rFonts w:asciiTheme="minorHAnsi" w:hAnsiTheme="minorHAnsi"/>
          <w:lang w:val="fr-FR"/>
        </w:rPr>
        <w:t>la conservation d</w:t>
      </w:r>
      <w:r w:rsidR="00544524" w:rsidRPr="007260D4">
        <w:rPr>
          <w:rFonts w:asciiTheme="minorHAnsi" w:hAnsiTheme="minorHAnsi"/>
          <w:lang w:val="fr-FR"/>
        </w:rPr>
        <w:t>es oiseaux migrateurs d’Afrique-Eurasie (AEWA);</w:t>
      </w:r>
    </w:p>
    <w:p w:rsidR="00F96393" w:rsidRPr="007260D4" w:rsidRDefault="00F96393" w:rsidP="00F96393">
      <w:pPr>
        <w:pStyle w:val="ListParagraph"/>
        <w:suppressAutoHyphens/>
        <w:ind w:left="426"/>
        <w:jc w:val="left"/>
        <w:rPr>
          <w:rFonts w:ascii="Calibri" w:hAnsi="Calibri"/>
          <w:lang w:val="fr-FR"/>
        </w:rPr>
      </w:pPr>
    </w:p>
    <w:p w:rsidR="00C54811" w:rsidRPr="007260D4" w:rsidRDefault="00F96393" w:rsidP="005E6920">
      <w:pPr>
        <w:pStyle w:val="ListParagraph"/>
        <w:numPr>
          <w:ilvl w:val="0"/>
          <w:numId w:val="7"/>
        </w:numPr>
        <w:suppressAutoHyphens/>
        <w:ind w:left="426" w:hanging="426"/>
        <w:jc w:val="left"/>
        <w:rPr>
          <w:rFonts w:ascii="Calibri" w:hAnsi="Calibri"/>
          <w:lang w:val="fr-FR"/>
        </w:rPr>
      </w:pPr>
      <w:r w:rsidRPr="007260D4">
        <w:rPr>
          <w:rFonts w:asciiTheme="minorHAnsi" w:hAnsiTheme="minorHAnsi"/>
          <w:lang w:val="fr-FR"/>
        </w:rPr>
        <w:t xml:space="preserve">SE FÉLICITANT de la </w:t>
      </w:r>
      <w:r w:rsidR="00800F5C">
        <w:rPr>
          <w:rFonts w:asciiTheme="minorHAnsi" w:hAnsiTheme="minorHAnsi"/>
          <w:lang w:val="fr-FR"/>
        </w:rPr>
        <w:t>d</w:t>
      </w:r>
      <w:r w:rsidRPr="007260D4">
        <w:rPr>
          <w:rFonts w:asciiTheme="minorHAnsi" w:hAnsiTheme="minorHAnsi"/>
          <w:lang w:val="fr-FR"/>
        </w:rPr>
        <w:t>écision XII</w:t>
      </w:r>
      <w:r w:rsidR="00475C13">
        <w:rPr>
          <w:rFonts w:asciiTheme="minorHAnsi" w:hAnsiTheme="minorHAnsi"/>
          <w:lang w:val="fr-FR"/>
        </w:rPr>
        <w:t>/</w:t>
      </w:r>
      <w:r w:rsidRPr="007260D4">
        <w:rPr>
          <w:rFonts w:asciiTheme="minorHAnsi" w:hAnsiTheme="minorHAnsi"/>
          <w:lang w:val="fr-FR"/>
        </w:rPr>
        <w:t>6</w:t>
      </w:r>
      <w:r w:rsidRPr="007260D4">
        <w:rPr>
          <w:rFonts w:ascii="Calibri" w:hAnsi="Calibri" w:cs="Palatino Linotype"/>
          <w:color w:val="221E1F"/>
          <w:lang w:val="fr-FR"/>
        </w:rPr>
        <w:t xml:space="preserve"> adoptée par la Douzième réunion de la Conférence des Parties à la Convention sur la diversité biologique qui prévoit l’organisation d’atelier</w:t>
      </w:r>
      <w:r w:rsidR="003A52B0" w:rsidRPr="007260D4">
        <w:rPr>
          <w:rFonts w:ascii="Calibri" w:hAnsi="Calibri" w:cs="Palatino Linotype"/>
          <w:color w:val="221E1F"/>
          <w:lang w:val="fr-FR"/>
        </w:rPr>
        <w:t>s</w:t>
      </w:r>
      <w:r w:rsidRPr="007260D4">
        <w:rPr>
          <w:rFonts w:ascii="Calibri" w:hAnsi="Calibri" w:cs="Palatino Linotype"/>
          <w:color w:val="221E1F"/>
          <w:lang w:val="fr-FR"/>
        </w:rPr>
        <w:t xml:space="preserve"> chargé</w:t>
      </w:r>
      <w:r w:rsidR="003A52B0" w:rsidRPr="007260D4">
        <w:rPr>
          <w:rFonts w:ascii="Calibri" w:hAnsi="Calibri" w:cs="Palatino Linotype"/>
          <w:color w:val="221E1F"/>
          <w:lang w:val="fr-FR"/>
        </w:rPr>
        <w:t xml:space="preserve">s d’étudier comment les </w:t>
      </w:r>
      <w:r w:rsidRPr="007260D4">
        <w:rPr>
          <w:rFonts w:ascii="Calibri" w:hAnsi="Calibri" w:cs="Palatino Linotype"/>
          <w:color w:val="221E1F"/>
          <w:lang w:val="fr-FR"/>
        </w:rPr>
        <w:t xml:space="preserve">Parties </w:t>
      </w:r>
      <w:r w:rsidR="003A52B0" w:rsidRPr="007260D4">
        <w:rPr>
          <w:rFonts w:ascii="Calibri" w:hAnsi="Calibri" w:cs="Palatino Linotype"/>
          <w:color w:val="221E1F"/>
          <w:lang w:val="fr-FR"/>
        </w:rPr>
        <w:t>aux</w:t>
      </w:r>
      <w:r w:rsidRPr="007260D4">
        <w:rPr>
          <w:rFonts w:ascii="Calibri" w:hAnsi="Calibri" w:cs="Palatino Linotype"/>
          <w:color w:val="221E1F"/>
          <w:lang w:val="fr-FR"/>
        </w:rPr>
        <w:t xml:space="preserve"> différentes conventions relatives à la biodiversité </w:t>
      </w:r>
      <w:r w:rsidR="003A52B0" w:rsidRPr="007260D4">
        <w:rPr>
          <w:rFonts w:ascii="Calibri" w:hAnsi="Calibri" w:cs="Palatino Linotype"/>
          <w:color w:val="221E1F"/>
          <w:lang w:val="fr-FR"/>
        </w:rPr>
        <w:t xml:space="preserve">peuvent </w:t>
      </w:r>
      <w:r w:rsidRPr="007260D4">
        <w:rPr>
          <w:rFonts w:ascii="Calibri" w:hAnsi="Calibri" w:cs="Palatino Linotype"/>
          <w:color w:val="221E1F"/>
          <w:lang w:val="fr-FR"/>
        </w:rPr>
        <w:t>renforce</w:t>
      </w:r>
      <w:r w:rsidR="003A52B0" w:rsidRPr="007260D4">
        <w:rPr>
          <w:rFonts w:ascii="Calibri" w:hAnsi="Calibri" w:cs="Palatino Linotype"/>
          <w:color w:val="221E1F"/>
          <w:lang w:val="fr-FR"/>
        </w:rPr>
        <w:t>r</w:t>
      </w:r>
      <w:r w:rsidRPr="007260D4">
        <w:rPr>
          <w:rFonts w:ascii="Calibri" w:hAnsi="Calibri" w:cs="Palatino Linotype"/>
          <w:color w:val="221E1F"/>
          <w:lang w:val="fr-FR"/>
        </w:rPr>
        <w:t xml:space="preserve"> leurs synergies </w:t>
      </w:r>
      <w:r w:rsidR="003A52B0" w:rsidRPr="007260D4">
        <w:rPr>
          <w:rFonts w:ascii="Calibri" w:hAnsi="Calibri" w:cs="Palatino Linotype"/>
          <w:color w:val="221E1F"/>
          <w:lang w:val="fr-FR"/>
        </w:rPr>
        <w:t xml:space="preserve">mutuelles </w:t>
      </w:r>
      <w:r w:rsidRPr="007260D4">
        <w:rPr>
          <w:rFonts w:ascii="Calibri" w:hAnsi="Calibri" w:cs="Palatino Linotype"/>
          <w:color w:val="221E1F"/>
          <w:lang w:val="fr-FR"/>
        </w:rPr>
        <w:t>et améliore</w:t>
      </w:r>
      <w:r w:rsidR="003A52B0" w:rsidRPr="007260D4">
        <w:rPr>
          <w:rFonts w:ascii="Calibri" w:hAnsi="Calibri" w:cs="Palatino Linotype"/>
          <w:color w:val="221E1F"/>
          <w:lang w:val="fr-FR"/>
        </w:rPr>
        <w:t>r</w:t>
      </w:r>
      <w:r w:rsidRPr="007260D4">
        <w:rPr>
          <w:rFonts w:ascii="Calibri" w:hAnsi="Calibri" w:cs="Palatino Linotype"/>
          <w:color w:val="221E1F"/>
          <w:lang w:val="fr-FR"/>
        </w:rPr>
        <w:t xml:space="preserve"> l</w:t>
      </w:r>
      <w:r w:rsidR="003A52B0" w:rsidRPr="007260D4">
        <w:rPr>
          <w:rFonts w:ascii="Calibri" w:hAnsi="Calibri" w:cs="Palatino Linotype"/>
          <w:color w:val="221E1F"/>
          <w:lang w:val="fr-FR"/>
        </w:rPr>
        <w:t xml:space="preserve">eur </w:t>
      </w:r>
      <w:r w:rsidRPr="007260D4">
        <w:rPr>
          <w:rFonts w:ascii="Calibri" w:hAnsi="Calibri" w:cs="Palatino Linotype"/>
          <w:color w:val="221E1F"/>
          <w:lang w:val="fr-FR"/>
        </w:rPr>
        <w:t>efficacité sans préjudice de leurs objectifs particuliers et en reconnaissant leurs mandats respectifs, sous réserve des ressources disponibles de ces conventions, dans le but de renforcer leur mise en œuvre à tous les niveaux</w:t>
      </w:r>
      <w:r w:rsidR="003A52B0" w:rsidRPr="007260D4">
        <w:rPr>
          <w:rFonts w:ascii="Calibri" w:hAnsi="Calibri" w:cs="Palatino Linotype"/>
          <w:color w:val="221E1F"/>
          <w:lang w:val="fr-FR"/>
        </w:rPr>
        <w:t>;</w:t>
      </w:r>
    </w:p>
    <w:p w:rsidR="00DF4A75" w:rsidRPr="007260D4" w:rsidRDefault="00DF4A75" w:rsidP="00F13DE2">
      <w:pPr>
        <w:autoSpaceDE w:val="0"/>
        <w:autoSpaceDN w:val="0"/>
        <w:adjustRightInd w:val="0"/>
        <w:ind w:left="426" w:hanging="426"/>
        <w:rPr>
          <w:rFonts w:ascii="Calibri" w:hAnsi="Calibri"/>
          <w:sz w:val="22"/>
          <w:szCs w:val="22"/>
          <w:lang w:val="fr-FR"/>
        </w:rPr>
      </w:pPr>
    </w:p>
    <w:p w:rsidR="00DF4A75" w:rsidRPr="007260D4" w:rsidRDefault="00DF4A75" w:rsidP="00F13DE2">
      <w:pPr>
        <w:pStyle w:val="ListParagraph"/>
        <w:numPr>
          <w:ilvl w:val="0"/>
          <w:numId w:val="7"/>
        </w:numPr>
        <w:autoSpaceDE w:val="0"/>
        <w:autoSpaceDN w:val="0"/>
        <w:adjustRightInd w:val="0"/>
        <w:ind w:left="426" w:hanging="426"/>
        <w:jc w:val="left"/>
        <w:rPr>
          <w:rFonts w:ascii="Calibri" w:hAnsi="Calibri"/>
          <w:lang w:val="fr-FR"/>
        </w:rPr>
      </w:pPr>
      <w:r w:rsidRPr="007260D4">
        <w:rPr>
          <w:rFonts w:ascii="Calibri" w:hAnsi="Calibri"/>
          <w:lang w:val="fr-FR"/>
        </w:rPr>
        <w:t xml:space="preserve">EXPRIMANT SA SATISFACTION </w:t>
      </w:r>
      <w:r w:rsidR="00B33660" w:rsidRPr="007260D4">
        <w:rPr>
          <w:rFonts w:ascii="Calibri" w:hAnsi="Calibri"/>
          <w:lang w:val="fr-FR"/>
        </w:rPr>
        <w:t>pour</w:t>
      </w:r>
      <w:r w:rsidRPr="007260D4">
        <w:rPr>
          <w:rFonts w:ascii="Calibri" w:hAnsi="Calibri"/>
          <w:lang w:val="fr-FR"/>
        </w:rPr>
        <w:t xml:space="preserve"> la qualité de la coopération entre l’Union internationale pour la conservation de la nature (UICN) et le Secrétariat </w:t>
      </w:r>
      <w:r w:rsidR="006D4EB3" w:rsidRPr="007260D4">
        <w:rPr>
          <w:rFonts w:ascii="Calibri" w:hAnsi="Calibri"/>
          <w:lang w:val="fr-FR"/>
        </w:rPr>
        <w:t>dans le cadre du Groupe d’étude Ramsar-</w:t>
      </w:r>
      <w:r w:rsidR="008C405D" w:rsidRPr="007260D4">
        <w:rPr>
          <w:rFonts w:ascii="Calibri" w:hAnsi="Calibri"/>
          <w:lang w:val="fr-FR"/>
        </w:rPr>
        <w:t>UICN,</w:t>
      </w:r>
      <w:r w:rsidRPr="007260D4">
        <w:rPr>
          <w:rFonts w:ascii="Calibri" w:hAnsi="Calibri"/>
          <w:lang w:val="fr-FR"/>
        </w:rPr>
        <w:t xml:space="preserve"> ainsi que pour les progrès que les deux organisations ont réalisés afin d’améliorer l’appui au fonctionnement du Secrétariat et en conséquence</w:t>
      </w:r>
      <w:r w:rsidR="00475C13">
        <w:rPr>
          <w:rFonts w:ascii="Calibri" w:hAnsi="Calibri"/>
          <w:lang w:val="fr-FR"/>
        </w:rPr>
        <w:t>,</w:t>
      </w:r>
      <w:r w:rsidRPr="007260D4">
        <w:rPr>
          <w:rFonts w:ascii="Calibri" w:hAnsi="Calibri"/>
          <w:lang w:val="fr-FR"/>
        </w:rPr>
        <w:t xml:space="preserve"> l’application de la Convention;  </w:t>
      </w:r>
    </w:p>
    <w:p w:rsidR="00544524" w:rsidRPr="007260D4" w:rsidRDefault="00544524" w:rsidP="00533BAA">
      <w:pPr>
        <w:rPr>
          <w:rFonts w:ascii="Calibri" w:hAnsi="Calibri"/>
          <w:lang w:val="fr-FR"/>
        </w:rPr>
      </w:pPr>
    </w:p>
    <w:p w:rsidR="00544524" w:rsidRPr="007260D4" w:rsidRDefault="007F16F2" w:rsidP="00F13DE2">
      <w:pPr>
        <w:pStyle w:val="ListParagraph"/>
        <w:numPr>
          <w:ilvl w:val="0"/>
          <w:numId w:val="7"/>
        </w:numPr>
        <w:autoSpaceDE w:val="0"/>
        <w:autoSpaceDN w:val="0"/>
        <w:adjustRightInd w:val="0"/>
        <w:ind w:left="426" w:hanging="426"/>
        <w:jc w:val="left"/>
        <w:rPr>
          <w:rFonts w:ascii="Calibri" w:hAnsi="Calibri"/>
          <w:lang w:val="fr-FR"/>
        </w:rPr>
      </w:pPr>
      <w:r w:rsidRPr="007260D4">
        <w:rPr>
          <w:rFonts w:ascii="Calibri" w:hAnsi="Calibri"/>
          <w:lang w:val="fr-FR"/>
        </w:rPr>
        <w:t>NOTANT qu’un des moyens possibles d’améliorer le profil mondial, régional et national de la Convention de Ramsar pourrait consister à créer un segment ministériel de haut niveau à l’occasion de la COP</w:t>
      </w:r>
      <w:r w:rsidR="00E307A2" w:rsidRPr="007260D4">
        <w:rPr>
          <w:rFonts w:ascii="Calibri" w:hAnsi="Calibri"/>
          <w:lang w:val="fr-FR"/>
        </w:rPr>
        <w:t>,</w:t>
      </w:r>
      <w:r w:rsidRPr="007260D4">
        <w:rPr>
          <w:rFonts w:ascii="Calibri" w:hAnsi="Calibri"/>
          <w:lang w:val="fr-FR"/>
        </w:rPr>
        <w:t xml:space="preserve"> avec des thèmes clairement définis en appui à l’ordre du jour de la COP et avec une approche plus générale des synergies avec d’autres AME relatifs à la biodiversité;</w:t>
      </w:r>
    </w:p>
    <w:p w:rsidR="007F16F2" w:rsidRPr="007260D4" w:rsidRDefault="007F16F2" w:rsidP="00533BAA">
      <w:pPr>
        <w:pStyle w:val="ListParagraph"/>
        <w:rPr>
          <w:rFonts w:ascii="Calibri" w:hAnsi="Calibri"/>
          <w:lang w:val="fr-FR"/>
        </w:rPr>
      </w:pPr>
    </w:p>
    <w:p w:rsidR="007F16F2" w:rsidRPr="007260D4" w:rsidRDefault="000D6A09" w:rsidP="00F13DE2">
      <w:pPr>
        <w:pStyle w:val="ListParagraph"/>
        <w:numPr>
          <w:ilvl w:val="0"/>
          <w:numId w:val="7"/>
        </w:numPr>
        <w:autoSpaceDE w:val="0"/>
        <w:autoSpaceDN w:val="0"/>
        <w:adjustRightInd w:val="0"/>
        <w:ind w:left="426" w:hanging="426"/>
        <w:jc w:val="left"/>
        <w:rPr>
          <w:rFonts w:ascii="Calibri" w:hAnsi="Calibri"/>
          <w:lang w:val="fr-FR"/>
        </w:rPr>
      </w:pPr>
      <w:r w:rsidRPr="007260D4">
        <w:rPr>
          <w:rFonts w:ascii="Calibri" w:hAnsi="Calibri" w:cs="Calibri"/>
          <w:lang w:val="fr-FR"/>
        </w:rPr>
        <w:t xml:space="preserve">RECONNAISSANT que les activités relatives aux zones humides </w:t>
      </w:r>
      <w:r w:rsidR="003A52B0" w:rsidRPr="007260D4">
        <w:rPr>
          <w:rFonts w:ascii="Calibri" w:hAnsi="Calibri" w:cs="Calibri"/>
          <w:lang w:val="fr-FR"/>
        </w:rPr>
        <w:t>pourraient aussi se dérouler dans</w:t>
      </w:r>
      <w:r w:rsidRPr="007260D4">
        <w:rPr>
          <w:rFonts w:ascii="Calibri" w:hAnsi="Calibri" w:cs="Calibri"/>
          <w:lang w:val="fr-FR"/>
        </w:rPr>
        <w:t xml:space="preserve"> des zones transfrontalières et municipales, les </w:t>
      </w:r>
      <w:r w:rsidRPr="007260D4">
        <w:rPr>
          <w:rFonts w:ascii="Calibri" w:hAnsi="Calibri" w:cs="Calibri"/>
          <w:bCs/>
          <w:lang w:val="fr-FR"/>
        </w:rPr>
        <w:t>Parties qui se proposent d’accueillir des sessions de la Conférence des Parties sont aussi invitées à envisager d’inclure</w:t>
      </w:r>
      <w:r w:rsidRPr="007260D4">
        <w:rPr>
          <w:rFonts w:ascii="Calibri" w:hAnsi="Calibri" w:cs="Calibri"/>
          <w:lang w:val="fr-FR"/>
        </w:rPr>
        <w:t xml:space="preserve"> des sommets </w:t>
      </w:r>
      <w:r w:rsidR="00E307A2" w:rsidRPr="007260D4">
        <w:rPr>
          <w:rFonts w:ascii="Calibri" w:hAnsi="Calibri" w:cs="Calibri"/>
          <w:lang w:val="fr-FR"/>
        </w:rPr>
        <w:t>et/</w:t>
      </w:r>
      <w:r w:rsidRPr="007260D4">
        <w:rPr>
          <w:rFonts w:ascii="Calibri" w:hAnsi="Calibri" w:cs="Calibri"/>
          <w:lang w:val="fr-FR"/>
        </w:rPr>
        <w:t>ou des tables rondes sur la coopération transfrontalière et « les villes et les zones humides » en appui à la mise en œuvre des activités de conservation des zones humides</w:t>
      </w:r>
      <w:r w:rsidRPr="007260D4">
        <w:rPr>
          <w:rFonts w:ascii="Calibri" w:hAnsi="Calibri"/>
          <w:lang w:val="fr-FR"/>
        </w:rPr>
        <w:t>;</w:t>
      </w:r>
    </w:p>
    <w:p w:rsidR="000D6A09" w:rsidRPr="007260D4" w:rsidRDefault="000D6A09" w:rsidP="00533BAA">
      <w:pPr>
        <w:pStyle w:val="ListParagraph"/>
        <w:rPr>
          <w:rFonts w:ascii="Calibri" w:hAnsi="Calibri"/>
          <w:lang w:val="fr-FR"/>
        </w:rPr>
      </w:pPr>
    </w:p>
    <w:p w:rsidR="000D6A09" w:rsidRPr="007260D4" w:rsidRDefault="00E113EE" w:rsidP="00F13DE2">
      <w:pPr>
        <w:pStyle w:val="ListParagraph"/>
        <w:numPr>
          <w:ilvl w:val="0"/>
          <w:numId w:val="7"/>
        </w:numPr>
        <w:autoSpaceDE w:val="0"/>
        <w:autoSpaceDN w:val="0"/>
        <w:adjustRightInd w:val="0"/>
        <w:ind w:left="426" w:hanging="426"/>
        <w:jc w:val="left"/>
        <w:rPr>
          <w:rFonts w:ascii="Calibri" w:hAnsi="Calibri"/>
          <w:lang w:val="fr-FR"/>
        </w:rPr>
      </w:pPr>
      <w:r w:rsidRPr="007260D4">
        <w:rPr>
          <w:rFonts w:ascii="Calibri" w:hAnsi="Calibri" w:cs="Calibri"/>
          <w:bCs/>
          <w:lang w:val="fr-FR"/>
        </w:rPr>
        <w:t xml:space="preserve">RECONNAISSANT le rôle que jouent les communautés en matière d’utilisation rationnelle des zones humides et la dépendance de ces communautés, surtout dans les pays en développement, </w:t>
      </w:r>
      <w:r w:rsidR="00E307A2" w:rsidRPr="007260D4">
        <w:rPr>
          <w:rFonts w:ascii="Calibri" w:hAnsi="Calibri" w:cs="Calibri"/>
          <w:bCs/>
          <w:lang w:val="fr-FR"/>
        </w:rPr>
        <w:t>vis-à-vis des</w:t>
      </w:r>
      <w:r w:rsidRPr="007260D4">
        <w:rPr>
          <w:rFonts w:ascii="Calibri" w:hAnsi="Calibri" w:cs="Calibri"/>
          <w:bCs/>
          <w:lang w:val="fr-FR"/>
        </w:rPr>
        <w:t xml:space="preserve"> ressources naturelles des zones humides, ainsi que l’importance des activités de conservation </w:t>
      </w:r>
      <w:r w:rsidR="003A52B0" w:rsidRPr="007260D4">
        <w:rPr>
          <w:rFonts w:ascii="Calibri" w:hAnsi="Calibri" w:cs="Calibri"/>
          <w:bCs/>
          <w:lang w:val="fr-FR"/>
        </w:rPr>
        <w:t xml:space="preserve">et de gestion durable </w:t>
      </w:r>
      <w:r w:rsidRPr="007260D4">
        <w:rPr>
          <w:rFonts w:ascii="Calibri" w:hAnsi="Calibri" w:cs="Calibri"/>
          <w:bCs/>
          <w:lang w:val="fr-FR"/>
        </w:rPr>
        <w:t xml:space="preserve">entreprises par les communautés, PRIE les Parties de tenir compte des connaissances traditionnelles </w:t>
      </w:r>
      <w:r w:rsidR="00B56E92" w:rsidRPr="007260D4">
        <w:rPr>
          <w:rFonts w:ascii="Calibri" w:hAnsi="Calibri" w:cs="Calibri"/>
          <w:bCs/>
          <w:lang w:val="fr-FR"/>
        </w:rPr>
        <w:t xml:space="preserve">et ancestrales </w:t>
      </w:r>
      <w:r w:rsidRPr="007260D4">
        <w:rPr>
          <w:rFonts w:ascii="Calibri" w:hAnsi="Calibri" w:cs="Calibri"/>
          <w:bCs/>
          <w:lang w:val="fr-FR"/>
        </w:rPr>
        <w:t xml:space="preserve">existant dans leurs pays respectifs, s’il y a lieu, de les intégrer dans la mise en œuvre du Plan stratégique et d’encourager la participation active de ces communautés à la conservation </w:t>
      </w:r>
      <w:r w:rsidR="00B56E92" w:rsidRPr="007260D4">
        <w:rPr>
          <w:rFonts w:ascii="Calibri" w:hAnsi="Calibri" w:cs="Calibri"/>
          <w:bCs/>
          <w:lang w:val="fr-FR"/>
        </w:rPr>
        <w:t xml:space="preserve">et à la gestion durable </w:t>
      </w:r>
      <w:r w:rsidRPr="007260D4">
        <w:rPr>
          <w:rFonts w:ascii="Calibri" w:hAnsi="Calibri" w:cs="Calibri"/>
          <w:bCs/>
          <w:lang w:val="fr-FR"/>
        </w:rPr>
        <w:t>des zones humides</w:t>
      </w:r>
      <w:r w:rsidRPr="007260D4">
        <w:rPr>
          <w:rFonts w:ascii="Calibri" w:hAnsi="Calibri"/>
          <w:lang w:val="fr-FR"/>
        </w:rPr>
        <w:t>;</w:t>
      </w:r>
    </w:p>
    <w:p w:rsidR="00E113EE" w:rsidRPr="007260D4" w:rsidRDefault="00E113EE" w:rsidP="00533BAA">
      <w:pPr>
        <w:pStyle w:val="ListParagraph"/>
        <w:rPr>
          <w:rFonts w:ascii="Calibri" w:hAnsi="Calibri"/>
          <w:lang w:val="fr-FR"/>
        </w:rPr>
      </w:pPr>
    </w:p>
    <w:p w:rsidR="00E113EE" w:rsidRPr="007260D4" w:rsidRDefault="00E113EE" w:rsidP="00627DC2">
      <w:pPr>
        <w:pStyle w:val="Default"/>
        <w:numPr>
          <w:ilvl w:val="0"/>
          <w:numId w:val="7"/>
        </w:numPr>
        <w:ind w:left="426" w:hanging="426"/>
        <w:rPr>
          <w:rFonts w:ascii="Calibri" w:hAnsi="Calibri" w:cs="Palatino Linotype"/>
          <w:color w:val="221E1F"/>
          <w:sz w:val="22"/>
          <w:szCs w:val="22"/>
          <w:lang w:val="fr-FR"/>
        </w:rPr>
      </w:pPr>
      <w:r w:rsidRPr="007260D4">
        <w:rPr>
          <w:rFonts w:ascii="Calibri" w:hAnsi="Calibri" w:cs="Calibri"/>
          <w:bCs/>
          <w:sz w:val="22"/>
          <w:szCs w:val="22"/>
          <w:lang w:val="fr-FR"/>
        </w:rPr>
        <w:t>RECONNA</w:t>
      </w:r>
      <w:r w:rsidR="00627DC2" w:rsidRPr="007260D4">
        <w:rPr>
          <w:rFonts w:ascii="Calibri" w:hAnsi="Calibri" w:cs="Calibri"/>
          <w:bCs/>
          <w:sz w:val="22"/>
          <w:szCs w:val="22"/>
          <w:lang w:val="fr-FR"/>
        </w:rPr>
        <w:t>ISSANT</w:t>
      </w:r>
      <w:r w:rsidRPr="007260D4">
        <w:rPr>
          <w:rFonts w:ascii="Calibri" w:hAnsi="Calibri" w:cs="Calibri"/>
          <w:bCs/>
          <w:sz w:val="22"/>
          <w:szCs w:val="22"/>
          <w:lang w:val="fr-FR"/>
        </w:rPr>
        <w:t xml:space="preserve"> que la Convention de Ramsar est une convention </w:t>
      </w:r>
      <w:r w:rsidR="00B56E92" w:rsidRPr="007260D4">
        <w:rPr>
          <w:rFonts w:ascii="Calibri" w:hAnsi="Calibri" w:cs="Calibri"/>
          <w:bCs/>
          <w:sz w:val="22"/>
          <w:szCs w:val="22"/>
          <w:lang w:val="fr-FR"/>
        </w:rPr>
        <w:t xml:space="preserve">relative à </w:t>
      </w:r>
      <w:r w:rsidRPr="007260D4">
        <w:rPr>
          <w:rFonts w:ascii="Calibri" w:hAnsi="Calibri" w:cs="Calibri"/>
          <w:bCs/>
          <w:sz w:val="22"/>
          <w:szCs w:val="22"/>
          <w:lang w:val="fr-FR"/>
        </w:rPr>
        <w:t xml:space="preserve">la biodiversité </w:t>
      </w:r>
      <w:r w:rsidR="00B56E92" w:rsidRPr="007260D4">
        <w:rPr>
          <w:rFonts w:ascii="Calibri" w:hAnsi="Calibri" w:cs="Calibri"/>
          <w:bCs/>
          <w:sz w:val="22"/>
          <w:szCs w:val="22"/>
          <w:lang w:val="fr-FR"/>
        </w:rPr>
        <w:t>et à</w:t>
      </w:r>
      <w:r w:rsidRPr="007260D4">
        <w:rPr>
          <w:rFonts w:ascii="Calibri" w:hAnsi="Calibri" w:cs="Calibri"/>
          <w:bCs/>
          <w:sz w:val="22"/>
          <w:szCs w:val="22"/>
          <w:lang w:val="fr-FR"/>
        </w:rPr>
        <w:t xml:space="preserve"> l’eau, qui contribue au développement durable par l’utilisation rationnelle des zones humides;</w:t>
      </w:r>
    </w:p>
    <w:p w:rsidR="00627DC2" w:rsidRPr="007260D4" w:rsidRDefault="00627DC2" w:rsidP="00533BAA">
      <w:pPr>
        <w:pStyle w:val="ListParagraph"/>
        <w:rPr>
          <w:rFonts w:ascii="Calibri" w:hAnsi="Calibri" w:cs="Palatino Linotype"/>
          <w:color w:val="221E1F"/>
          <w:lang w:val="fr-FR"/>
        </w:rPr>
      </w:pPr>
    </w:p>
    <w:p w:rsidR="00627DC2" w:rsidRPr="007260D4" w:rsidRDefault="00627DC2" w:rsidP="00F13DE2">
      <w:pPr>
        <w:pStyle w:val="ListParagraph"/>
        <w:numPr>
          <w:ilvl w:val="0"/>
          <w:numId w:val="7"/>
        </w:numPr>
        <w:autoSpaceDE w:val="0"/>
        <w:autoSpaceDN w:val="0"/>
        <w:adjustRightInd w:val="0"/>
        <w:ind w:left="426" w:hanging="426"/>
        <w:jc w:val="left"/>
        <w:rPr>
          <w:rFonts w:ascii="Calibri" w:hAnsi="Calibri"/>
          <w:lang w:val="fr-FR"/>
        </w:rPr>
      </w:pPr>
      <w:r w:rsidRPr="007260D4">
        <w:rPr>
          <w:rFonts w:ascii="Calibri" w:hAnsi="Calibri"/>
          <w:lang w:val="fr-FR"/>
        </w:rPr>
        <w:t>RECONNAISSANT le processus en cours sous l’égide de l’Assemblée générale des Nations Unies, concernant le Programme de développement durable et les Objectifs de développement durable</w:t>
      </w:r>
      <w:r w:rsidR="00E307A2" w:rsidRPr="007260D4">
        <w:rPr>
          <w:rFonts w:ascii="Calibri" w:hAnsi="Calibri"/>
          <w:lang w:val="fr-FR"/>
        </w:rPr>
        <w:t xml:space="preserve"> post-2015</w:t>
      </w:r>
      <w:r w:rsidRPr="007260D4">
        <w:rPr>
          <w:rFonts w:ascii="Calibri" w:hAnsi="Calibri"/>
          <w:lang w:val="fr-FR"/>
        </w:rPr>
        <w:t>;</w:t>
      </w:r>
    </w:p>
    <w:p w:rsidR="00627DC2" w:rsidRPr="007260D4" w:rsidRDefault="00627DC2" w:rsidP="00533BAA">
      <w:pPr>
        <w:pStyle w:val="ListParagraph"/>
        <w:rPr>
          <w:rFonts w:ascii="Calibri" w:hAnsi="Calibri"/>
          <w:lang w:val="fr-FR"/>
        </w:rPr>
      </w:pPr>
    </w:p>
    <w:p w:rsidR="00F57993" w:rsidRPr="007260D4" w:rsidRDefault="00F57993" w:rsidP="00F13DE2">
      <w:pPr>
        <w:pStyle w:val="ListParagraph"/>
        <w:numPr>
          <w:ilvl w:val="0"/>
          <w:numId w:val="7"/>
        </w:numPr>
        <w:autoSpaceDE w:val="0"/>
        <w:autoSpaceDN w:val="0"/>
        <w:adjustRightInd w:val="0"/>
        <w:ind w:left="426" w:hanging="426"/>
        <w:jc w:val="left"/>
        <w:rPr>
          <w:rFonts w:ascii="Calibri" w:hAnsi="Calibri"/>
          <w:lang w:val="fr-FR"/>
        </w:rPr>
      </w:pPr>
      <w:r w:rsidRPr="007260D4">
        <w:rPr>
          <w:rFonts w:ascii="Calibri" w:hAnsi="Calibri"/>
          <w:lang w:val="fr-FR"/>
        </w:rPr>
        <w:t>ANTICIPANT que certains Objectifs de développement durable post-2015, ainsi que leurs buts et objectifs, lorsqu’ils seront adoptés, pourraient concerner directement les zones humides;</w:t>
      </w:r>
    </w:p>
    <w:p w:rsidR="00F57993" w:rsidRPr="007260D4" w:rsidRDefault="00F57993" w:rsidP="00533BAA">
      <w:pPr>
        <w:pStyle w:val="ListParagraph"/>
        <w:rPr>
          <w:rFonts w:ascii="Calibri" w:hAnsi="Calibri"/>
          <w:lang w:val="fr-FR"/>
        </w:rPr>
      </w:pPr>
    </w:p>
    <w:p w:rsidR="00E113EE" w:rsidRPr="007260D4" w:rsidRDefault="00F57993" w:rsidP="00F13DE2">
      <w:pPr>
        <w:pStyle w:val="ListParagraph"/>
        <w:numPr>
          <w:ilvl w:val="0"/>
          <w:numId w:val="7"/>
        </w:numPr>
        <w:autoSpaceDE w:val="0"/>
        <w:autoSpaceDN w:val="0"/>
        <w:adjustRightInd w:val="0"/>
        <w:ind w:left="426" w:hanging="426"/>
        <w:jc w:val="left"/>
        <w:rPr>
          <w:rFonts w:ascii="Calibri" w:hAnsi="Calibri"/>
          <w:lang w:val="fr-FR"/>
        </w:rPr>
      </w:pPr>
      <w:r w:rsidRPr="007260D4">
        <w:rPr>
          <w:rFonts w:ascii="Calibri" w:hAnsi="Calibri"/>
          <w:lang w:val="fr-FR"/>
        </w:rPr>
        <w:lastRenderedPageBreak/>
        <w:t xml:space="preserve">RAPPELANT que plusieurs organisations internationales non gouvernementales (OING) ont joué un rôle majeur dans </w:t>
      </w:r>
      <w:r w:rsidR="00E307A2" w:rsidRPr="007260D4">
        <w:rPr>
          <w:rFonts w:ascii="Calibri" w:hAnsi="Calibri"/>
          <w:lang w:val="fr-FR"/>
        </w:rPr>
        <w:t>l’établissement</w:t>
      </w:r>
      <w:r w:rsidRPr="007260D4">
        <w:rPr>
          <w:rFonts w:ascii="Calibri" w:hAnsi="Calibri"/>
          <w:lang w:val="fr-FR"/>
        </w:rPr>
        <w:t xml:space="preserve"> de la Convention et SACHANT que ces organisations ainsi qu’un nombre croissant d’autres OING et organisations gouvernementales contribuent, ou pourraient contribuer, au renforcement et à la mise en œuvre de la mission de la Convention aux niveaux local, national et mondial;</w:t>
      </w:r>
      <w:r w:rsidR="00627DC2" w:rsidRPr="007260D4">
        <w:rPr>
          <w:rFonts w:ascii="Calibri" w:hAnsi="Calibri"/>
          <w:lang w:val="fr-FR"/>
        </w:rPr>
        <w:t xml:space="preserve"> </w:t>
      </w:r>
    </w:p>
    <w:p w:rsidR="00F57993" w:rsidRPr="007260D4" w:rsidRDefault="00F57993" w:rsidP="00533BAA">
      <w:pPr>
        <w:pStyle w:val="ListParagraph"/>
        <w:rPr>
          <w:rFonts w:ascii="Calibri" w:hAnsi="Calibri"/>
          <w:lang w:val="fr-FR"/>
        </w:rPr>
      </w:pPr>
    </w:p>
    <w:p w:rsidR="00F57993" w:rsidRPr="007260D4" w:rsidRDefault="00F57993" w:rsidP="00F13DE2">
      <w:pPr>
        <w:pStyle w:val="ListParagraph"/>
        <w:numPr>
          <w:ilvl w:val="0"/>
          <w:numId w:val="7"/>
        </w:numPr>
        <w:autoSpaceDE w:val="0"/>
        <w:autoSpaceDN w:val="0"/>
        <w:adjustRightInd w:val="0"/>
        <w:ind w:left="426" w:hanging="426"/>
        <w:jc w:val="left"/>
        <w:rPr>
          <w:rFonts w:ascii="Calibri" w:hAnsi="Calibri"/>
          <w:lang w:val="fr-FR"/>
        </w:rPr>
      </w:pPr>
      <w:r w:rsidRPr="007260D4">
        <w:rPr>
          <w:rFonts w:ascii="Calibri" w:hAnsi="Calibri"/>
          <w:lang w:val="fr-FR"/>
        </w:rPr>
        <w:t>RAPPELANT ÉGALEMENT que dans la Résolution VII.3</w:t>
      </w:r>
      <w:r w:rsidR="0034103D" w:rsidRPr="007260D4">
        <w:rPr>
          <w:rFonts w:ascii="Calibri" w:hAnsi="Calibri"/>
          <w:lang w:val="fr-FR"/>
        </w:rPr>
        <w:t xml:space="preserve"> </w:t>
      </w:r>
      <w:r w:rsidR="007D66D3" w:rsidRPr="007260D4">
        <w:rPr>
          <w:rFonts w:ascii="Calibri" w:hAnsi="Calibri"/>
          <w:i/>
          <w:lang w:val="fr-FR"/>
        </w:rPr>
        <w:t>Partenariat avec des organisations internationales</w:t>
      </w:r>
      <w:r w:rsidR="007D66D3" w:rsidRPr="007260D4">
        <w:rPr>
          <w:rFonts w:ascii="Calibri" w:hAnsi="Calibri"/>
          <w:lang w:val="fr-FR"/>
        </w:rPr>
        <w:t xml:space="preserve">, les Parties contractantes ont établi les règles de l’attribution du statut d’Organisation internationale partenaire de la Convention et ont conféré ce statut à BirdLife International, </w:t>
      </w:r>
      <w:r w:rsidR="00896FF4" w:rsidRPr="007260D4">
        <w:rPr>
          <w:rFonts w:ascii="Calibri" w:hAnsi="Calibri"/>
          <w:lang w:val="fr-FR"/>
        </w:rPr>
        <w:t xml:space="preserve">à </w:t>
      </w:r>
      <w:r w:rsidR="007D66D3" w:rsidRPr="007260D4">
        <w:rPr>
          <w:rFonts w:ascii="Calibri" w:hAnsi="Calibri"/>
          <w:lang w:val="fr-FR"/>
        </w:rPr>
        <w:t xml:space="preserve">l’UICN-Union </w:t>
      </w:r>
      <w:r w:rsidR="00896FF4" w:rsidRPr="007260D4">
        <w:rPr>
          <w:rFonts w:ascii="Calibri" w:hAnsi="Calibri"/>
          <w:lang w:val="fr-FR"/>
        </w:rPr>
        <w:t>mondiale</w:t>
      </w:r>
      <w:r w:rsidR="007D66D3" w:rsidRPr="007260D4">
        <w:rPr>
          <w:rFonts w:ascii="Calibri" w:hAnsi="Calibri"/>
          <w:lang w:val="fr-FR"/>
        </w:rPr>
        <w:t xml:space="preserve"> pour la nature</w:t>
      </w:r>
      <w:r w:rsidR="00475C13">
        <w:rPr>
          <w:rFonts w:ascii="Calibri" w:hAnsi="Calibri"/>
          <w:lang w:val="fr-FR"/>
        </w:rPr>
        <w:t xml:space="preserve"> (désormais Union internationale pour la conservation de la nature)</w:t>
      </w:r>
      <w:r w:rsidR="00896FF4" w:rsidRPr="007260D4">
        <w:rPr>
          <w:rFonts w:ascii="Calibri" w:hAnsi="Calibri"/>
          <w:lang w:val="fr-FR"/>
        </w:rPr>
        <w:t>, à Wetlands International et au WWF, et que dans la Résolution IX.16, les Parties ont reconnu l’</w:t>
      </w:r>
      <w:r w:rsidR="00896FF4" w:rsidRPr="007260D4">
        <w:rPr>
          <w:rFonts w:asciiTheme="minorHAnsi" w:hAnsiTheme="minorHAnsi"/>
          <w:lang w:val="fr-FR"/>
        </w:rPr>
        <w:t>International Water Management Institute (IWMI) comme cinquième Organisation internationale partenaire;</w:t>
      </w:r>
      <w:r w:rsidR="00B56E92" w:rsidRPr="007260D4">
        <w:rPr>
          <w:rFonts w:asciiTheme="minorHAnsi" w:hAnsiTheme="minorHAnsi"/>
          <w:lang w:val="fr-FR"/>
        </w:rPr>
        <w:t xml:space="preserve"> et</w:t>
      </w:r>
      <w:r w:rsidR="00896FF4" w:rsidRPr="007260D4">
        <w:rPr>
          <w:rFonts w:asciiTheme="minorHAnsi" w:hAnsiTheme="minorHAnsi"/>
          <w:lang w:val="fr-FR"/>
        </w:rPr>
        <w:t xml:space="preserve">  </w:t>
      </w:r>
    </w:p>
    <w:p w:rsidR="00896FF4" w:rsidRPr="007260D4" w:rsidRDefault="00896FF4" w:rsidP="00533BAA">
      <w:pPr>
        <w:pStyle w:val="ListParagraph"/>
        <w:rPr>
          <w:rFonts w:ascii="Calibri" w:hAnsi="Calibri"/>
          <w:lang w:val="fr-FR"/>
        </w:rPr>
      </w:pPr>
    </w:p>
    <w:p w:rsidR="00896FF4" w:rsidRPr="007260D4" w:rsidRDefault="00896FF4" w:rsidP="00F13DE2">
      <w:pPr>
        <w:pStyle w:val="ListParagraph"/>
        <w:numPr>
          <w:ilvl w:val="0"/>
          <w:numId w:val="7"/>
        </w:numPr>
        <w:autoSpaceDE w:val="0"/>
        <w:autoSpaceDN w:val="0"/>
        <w:adjustRightInd w:val="0"/>
        <w:ind w:left="426" w:hanging="426"/>
        <w:jc w:val="left"/>
        <w:rPr>
          <w:rFonts w:ascii="Calibri" w:hAnsi="Calibri"/>
          <w:lang w:val="fr-FR"/>
        </w:rPr>
      </w:pPr>
      <w:r w:rsidRPr="007260D4">
        <w:rPr>
          <w:rFonts w:ascii="Calibri" w:hAnsi="Calibri"/>
          <w:lang w:val="fr-FR"/>
        </w:rPr>
        <w:t xml:space="preserve">NOTANT que le </w:t>
      </w:r>
      <w:r w:rsidRPr="007260D4">
        <w:rPr>
          <w:rFonts w:asciiTheme="minorHAnsi" w:hAnsiTheme="minorHAnsi"/>
          <w:lang w:val="fr-FR"/>
        </w:rPr>
        <w:t xml:space="preserve">Wildfowl </w:t>
      </w:r>
      <w:r w:rsidR="00B56E92" w:rsidRPr="007260D4">
        <w:rPr>
          <w:rFonts w:asciiTheme="minorHAnsi" w:hAnsiTheme="minorHAnsi"/>
          <w:lang w:val="fr-FR"/>
        </w:rPr>
        <w:t>&amp;</w:t>
      </w:r>
      <w:r w:rsidRPr="007260D4">
        <w:rPr>
          <w:rFonts w:asciiTheme="minorHAnsi" w:hAnsiTheme="minorHAnsi"/>
          <w:lang w:val="fr-FR"/>
        </w:rPr>
        <w:t xml:space="preserve"> Wetlands Trust (WWT) a sollicité le statut d’Organisation internationale partenaire et </w:t>
      </w:r>
      <w:r w:rsidR="00475C13">
        <w:rPr>
          <w:rFonts w:asciiTheme="minorHAnsi" w:hAnsiTheme="minorHAnsi"/>
          <w:lang w:val="fr-FR"/>
        </w:rPr>
        <w:t xml:space="preserve">qu’il </w:t>
      </w:r>
      <w:r w:rsidRPr="007260D4">
        <w:rPr>
          <w:rFonts w:asciiTheme="minorHAnsi" w:hAnsiTheme="minorHAnsi"/>
          <w:lang w:val="fr-FR"/>
        </w:rPr>
        <w:t xml:space="preserve">remplit les critères établis dans les règles énoncées dans la Résolution VII.3; </w:t>
      </w:r>
    </w:p>
    <w:p w:rsidR="00DF4A75" w:rsidRPr="007260D4" w:rsidRDefault="00DF4A75" w:rsidP="00F13DE2">
      <w:pPr>
        <w:autoSpaceDE w:val="0"/>
        <w:autoSpaceDN w:val="0"/>
        <w:adjustRightInd w:val="0"/>
        <w:ind w:left="426" w:hanging="426"/>
        <w:rPr>
          <w:rFonts w:ascii="Calibri" w:hAnsi="Calibri"/>
          <w:sz w:val="22"/>
          <w:szCs w:val="22"/>
          <w:lang w:val="fr-FR"/>
        </w:rPr>
      </w:pPr>
    </w:p>
    <w:p w:rsidR="00DF4A75" w:rsidRPr="007260D4" w:rsidRDefault="00DF4A75" w:rsidP="009D7A5C">
      <w:pPr>
        <w:autoSpaceDE w:val="0"/>
        <w:autoSpaceDN w:val="0"/>
        <w:adjustRightInd w:val="0"/>
        <w:ind w:left="426" w:hanging="426"/>
        <w:jc w:val="center"/>
        <w:rPr>
          <w:rFonts w:ascii="Calibri" w:hAnsi="Calibri"/>
          <w:sz w:val="22"/>
          <w:szCs w:val="22"/>
          <w:lang w:val="fr-FR"/>
        </w:rPr>
      </w:pPr>
      <w:r w:rsidRPr="007260D4">
        <w:rPr>
          <w:rFonts w:ascii="Calibri" w:hAnsi="Calibri"/>
          <w:sz w:val="22"/>
          <w:szCs w:val="22"/>
          <w:lang w:val="fr-FR"/>
        </w:rPr>
        <w:t>LA CONFÉRENCE DES PARTIES CONTRACTANTES</w:t>
      </w:r>
    </w:p>
    <w:p w:rsidR="00DF4A75" w:rsidRPr="007260D4" w:rsidRDefault="00DF4A75" w:rsidP="005C7921">
      <w:pPr>
        <w:autoSpaceDE w:val="0"/>
        <w:autoSpaceDN w:val="0"/>
        <w:adjustRightInd w:val="0"/>
        <w:rPr>
          <w:rFonts w:ascii="Calibri" w:hAnsi="Calibri"/>
          <w:sz w:val="22"/>
          <w:szCs w:val="22"/>
          <w:lang w:val="fr-FR"/>
        </w:rPr>
      </w:pPr>
    </w:p>
    <w:p w:rsidR="00403E19" w:rsidRPr="007260D4" w:rsidRDefault="00DF4A75" w:rsidP="005C7921">
      <w:pPr>
        <w:autoSpaceDE w:val="0"/>
        <w:autoSpaceDN w:val="0"/>
        <w:adjustRightInd w:val="0"/>
        <w:rPr>
          <w:rFonts w:ascii="Calibri" w:hAnsi="Calibri" w:cs="Calibri-Bold"/>
          <w:bCs/>
          <w:sz w:val="22"/>
          <w:szCs w:val="22"/>
          <w:u w:val="single"/>
          <w:lang w:val="fr-FR" w:eastAsia="en-US"/>
        </w:rPr>
      </w:pPr>
      <w:r w:rsidRPr="007260D4">
        <w:rPr>
          <w:rFonts w:ascii="Calibri" w:hAnsi="Calibri" w:cs="Calibri-Bold"/>
          <w:bCs/>
          <w:sz w:val="22"/>
          <w:szCs w:val="22"/>
          <w:u w:val="single"/>
          <w:lang w:val="fr-FR" w:eastAsia="en-US"/>
        </w:rPr>
        <w:t>Concernant la visibilité et la stature, ainsi que l’amélioration des synergies :</w:t>
      </w:r>
    </w:p>
    <w:p w:rsidR="001B347E" w:rsidRPr="007260D4" w:rsidRDefault="001B347E" w:rsidP="005C7921">
      <w:pPr>
        <w:autoSpaceDE w:val="0"/>
        <w:autoSpaceDN w:val="0"/>
        <w:adjustRightInd w:val="0"/>
        <w:rPr>
          <w:rFonts w:ascii="Calibri" w:hAnsi="Calibri" w:cs="Calibri-Bold"/>
          <w:bCs/>
          <w:sz w:val="22"/>
          <w:szCs w:val="22"/>
          <w:lang w:val="fr-FR" w:eastAsia="en-US"/>
        </w:rPr>
      </w:pPr>
    </w:p>
    <w:p w:rsidR="001B347E" w:rsidRPr="007260D4" w:rsidRDefault="001B347E" w:rsidP="001B347E">
      <w:pPr>
        <w:pStyle w:val="ListParagraph"/>
        <w:numPr>
          <w:ilvl w:val="0"/>
          <w:numId w:val="7"/>
        </w:numPr>
        <w:autoSpaceDE w:val="0"/>
        <w:autoSpaceDN w:val="0"/>
        <w:adjustRightInd w:val="0"/>
        <w:ind w:left="426" w:hanging="426"/>
        <w:jc w:val="left"/>
        <w:rPr>
          <w:rFonts w:ascii="Calibri" w:hAnsi="Calibri" w:cs="Calibri"/>
          <w:bCs/>
          <w:lang w:val="fr-FR"/>
        </w:rPr>
      </w:pPr>
      <w:r w:rsidRPr="007260D4">
        <w:rPr>
          <w:rFonts w:ascii="Calibri" w:hAnsi="Calibri" w:cs="Calibri"/>
          <w:bCs/>
          <w:lang w:val="fr-FR"/>
        </w:rPr>
        <w:t xml:space="preserve">INVITE toutes les Parties qui se proposent d’accueillir des sessions de la Conférence des Parties à envisager d’inclure un segment ministériel de haut niveau </w:t>
      </w:r>
      <w:r w:rsidR="00F054CD" w:rsidRPr="007260D4">
        <w:rPr>
          <w:rFonts w:ascii="Calibri" w:hAnsi="Calibri" w:cs="Calibri"/>
          <w:bCs/>
          <w:lang w:val="fr-FR"/>
        </w:rPr>
        <w:t>au cours de</w:t>
      </w:r>
      <w:r w:rsidRPr="007260D4">
        <w:rPr>
          <w:rFonts w:ascii="Calibri" w:hAnsi="Calibri" w:cs="Calibri"/>
          <w:bCs/>
          <w:lang w:val="fr-FR"/>
        </w:rPr>
        <w:t xml:space="preserve"> la Conférence pour traiter de thèmes clairement définis, en appui à l’ordre du jour de la COP, comme moyen possible d’améliorer la visibilité, l’appui politique et l’effet de la Convention</w:t>
      </w:r>
      <w:r w:rsidR="00F054CD" w:rsidRPr="007260D4">
        <w:rPr>
          <w:rFonts w:ascii="Calibri" w:hAnsi="Calibri" w:cs="Calibri"/>
          <w:bCs/>
          <w:lang w:val="fr-FR"/>
        </w:rPr>
        <w:t xml:space="preserve"> et en tenant compte d’éventuelles autres réunions internationales concomitantes relatives à la biodiversité afin de renforcer la coopération et la collaboration avec d’autres AME relatifs à la b</w:t>
      </w:r>
      <w:r w:rsidR="002F29DF" w:rsidRPr="007260D4">
        <w:rPr>
          <w:rFonts w:ascii="Calibri" w:hAnsi="Calibri" w:cs="Calibri"/>
          <w:bCs/>
          <w:lang w:val="fr-FR"/>
        </w:rPr>
        <w:t>i</w:t>
      </w:r>
      <w:r w:rsidR="00F054CD" w:rsidRPr="007260D4">
        <w:rPr>
          <w:rFonts w:ascii="Calibri" w:hAnsi="Calibri" w:cs="Calibri"/>
          <w:bCs/>
          <w:lang w:val="fr-FR"/>
        </w:rPr>
        <w:t>odiversité.</w:t>
      </w:r>
    </w:p>
    <w:p w:rsidR="0021321D" w:rsidRPr="007260D4" w:rsidRDefault="0021321D" w:rsidP="00533BAA">
      <w:pPr>
        <w:autoSpaceDE w:val="0"/>
        <w:autoSpaceDN w:val="0"/>
        <w:adjustRightInd w:val="0"/>
        <w:rPr>
          <w:rFonts w:ascii="Calibri" w:hAnsi="Calibri" w:cs="Calibri"/>
          <w:bCs/>
          <w:lang w:val="fr-FR"/>
        </w:rPr>
      </w:pPr>
    </w:p>
    <w:p w:rsidR="0021321D" w:rsidRPr="007260D4" w:rsidRDefault="0021321D" w:rsidP="001B347E">
      <w:pPr>
        <w:pStyle w:val="ListParagraph"/>
        <w:numPr>
          <w:ilvl w:val="0"/>
          <w:numId w:val="7"/>
        </w:numPr>
        <w:autoSpaceDE w:val="0"/>
        <w:autoSpaceDN w:val="0"/>
        <w:adjustRightInd w:val="0"/>
        <w:ind w:left="426" w:hanging="426"/>
        <w:jc w:val="left"/>
        <w:rPr>
          <w:rFonts w:ascii="Calibri" w:hAnsi="Calibri" w:cs="Calibri"/>
          <w:bCs/>
          <w:lang w:val="fr-FR"/>
        </w:rPr>
      </w:pPr>
      <w:r w:rsidRPr="007260D4">
        <w:rPr>
          <w:rFonts w:ascii="Calibri" w:hAnsi="Calibri" w:cs="Calibri"/>
          <w:bCs/>
          <w:lang w:val="fr-FR"/>
        </w:rPr>
        <w:t xml:space="preserve">DEMANDE au Secrétariat </w:t>
      </w:r>
      <w:r w:rsidR="00F054CD" w:rsidRPr="007260D4">
        <w:rPr>
          <w:rFonts w:ascii="Calibri" w:hAnsi="Calibri" w:cs="Calibri"/>
          <w:bCs/>
          <w:lang w:val="fr-FR"/>
        </w:rPr>
        <w:t>de consulter les</w:t>
      </w:r>
      <w:r w:rsidRPr="007260D4">
        <w:rPr>
          <w:rFonts w:ascii="Calibri" w:hAnsi="Calibri" w:cs="Calibri"/>
          <w:bCs/>
          <w:lang w:val="fr-FR"/>
        </w:rPr>
        <w:t xml:space="preserve"> autres AME </w:t>
      </w:r>
      <w:r w:rsidR="00F054CD" w:rsidRPr="007260D4">
        <w:rPr>
          <w:rFonts w:ascii="Calibri" w:hAnsi="Calibri" w:cs="Calibri"/>
          <w:bCs/>
          <w:lang w:val="fr-FR"/>
        </w:rPr>
        <w:t>quant à leur expérience concernant l’accueil de</w:t>
      </w:r>
      <w:r w:rsidRPr="007260D4">
        <w:rPr>
          <w:rFonts w:ascii="Calibri" w:hAnsi="Calibri" w:cs="Calibri"/>
          <w:bCs/>
          <w:lang w:val="fr-FR"/>
        </w:rPr>
        <w:t xml:space="preserve"> segments ministériels de haut niveau afin </w:t>
      </w:r>
      <w:r w:rsidR="00F054CD" w:rsidRPr="007260D4">
        <w:rPr>
          <w:rFonts w:ascii="Calibri" w:hAnsi="Calibri" w:cs="Calibri"/>
          <w:bCs/>
          <w:lang w:val="fr-FR"/>
        </w:rPr>
        <w:t>de déterminer des moyens possibles de recourir à de telles possibilités pour améliorer</w:t>
      </w:r>
      <w:r w:rsidR="002F29DF" w:rsidRPr="007260D4">
        <w:rPr>
          <w:rFonts w:ascii="Calibri" w:hAnsi="Calibri" w:cs="Calibri"/>
          <w:bCs/>
          <w:lang w:val="fr-FR"/>
        </w:rPr>
        <w:t xml:space="preserve"> la visibilité, l’appui politique et l’effet de la Convention</w:t>
      </w:r>
      <w:r w:rsidRPr="007260D4">
        <w:rPr>
          <w:rFonts w:ascii="Calibri" w:hAnsi="Calibri" w:cs="Calibri"/>
          <w:bCs/>
          <w:lang w:val="fr-FR"/>
        </w:rPr>
        <w:t>.</w:t>
      </w:r>
    </w:p>
    <w:p w:rsidR="0021321D" w:rsidRPr="007260D4" w:rsidRDefault="0021321D" w:rsidP="00533BAA">
      <w:pPr>
        <w:pStyle w:val="ListParagraph"/>
        <w:rPr>
          <w:rFonts w:ascii="Calibri" w:hAnsi="Calibri" w:cs="Calibri"/>
          <w:bCs/>
          <w:lang w:val="fr-FR"/>
        </w:rPr>
      </w:pPr>
    </w:p>
    <w:p w:rsidR="00391A4D" w:rsidRPr="007260D4" w:rsidRDefault="00DF4A75" w:rsidP="00006D55">
      <w:pPr>
        <w:pStyle w:val="ListParagraph"/>
        <w:numPr>
          <w:ilvl w:val="0"/>
          <w:numId w:val="7"/>
        </w:numPr>
        <w:autoSpaceDE w:val="0"/>
        <w:autoSpaceDN w:val="0"/>
        <w:adjustRightInd w:val="0"/>
        <w:ind w:left="426" w:hanging="426"/>
        <w:jc w:val="left"/>
        <w:rPr>
          <w:rFonts w:ascii="Calibri" w:hAnsi="Calibri" w:cs="Calibri"/>
          <w:lang w:val="fr-FR"/>
        </w:rPr>
      </w:pPr>
      <w:r w:rsidRPr="007260D4">
        <w:rPr>
          <w:rFonts w:ascii="Calibri" w:hAnsi="Calibri" w:cs="Calibri"/>
          <w:bCs/>
          <w:lang w:val="fr-FR"/>
        </w:rPr>
        <w:t>INVITE les Parties</w:t>
      </w:r>
      <w:r w:rsidR="002F29DF" w:rsidRPr="007260D4">
        <w:rPr>
          <w:rFonts w:ascii="Calibri" w:hAnsi="Calibri" w:cs="Calibri"/>
          <w:bCs/>
          <w:lang w:val="fr-FR"/>
        </w:rPr>
        <w:t xml:space="preserve"> à s’efforcer d’améliorer la visibilité de la Convention aux niveaux national, local et régional, notamment en invitant des ministres à des tables rondes ou à des conférences, en qualité d’orateurs.</w:t>
      </w:r>
    </w:p>
    <w:p w:rsidR="002F29DF" w:rsidRPr="007260D4" w:rsidRDefault="002F29DF" w:rsidP="002F29DF">
      <w:pPr>
        <w:pStyle w:val="ListParagraph"/>
        <w:autoSpaceDE w:val="0"/>
        <w:autoSpaceDN w:val="0"/>
        <w:adjustRightInd w:val="0"/>
        <w:ind w:left="426"/>
        <w:jc w:val="left"/>
        <w:rPr>
          <w:rFonts w:ascii="Calibri" w:hAnsi="Calibri" w:cs="Calibri"/>
          <w:lang w:val="fr-FR"/>
        </w:rPr>
      </w:pPr>
    </w:p>
    <w:p w:rsidR="002F29DF" w:rsidRPr="007260D4" w:rsidRDefault="002F29DF" w:rsidP="00006D55">
      <w:pPr>
        <w:pStyle w:val="ListParagraph"/>
        <w:numPr>
          <w:ilvl w:val="0"/>
          <w:numId w:val="7"/>
        </w:numPr>
        <w:autoSpaceDE w:val="0"/>
        <w:autoSpaceDN w:val="0"/>
        <w:adjustRightInd w:val="0"/>
        <w:ind w:left="426" w:hanging="426"/>
        <w:jc w:val="left"/>
        <w:rPr>
          <w:rFonts w:ascii="Calibri" w:hAnsi="Calibri" w:cs="Calibri"/>
          <w:lang w:val="fr-FR"/>
        </w:rPr>
      </w:pPr>
      <w:r w:rsidRPr="007260D4">
        <w:rPr>
          <w:rFonts w:ascii="Calibri" w:hAnsi="Calibri" w:cs="Calibri"/>
          <w:lang w:val="fr-FR"/>
        </w:rPr>
        <w:t>DEMANDE au Secrétariat de poursuivre la recherche d’autres moyens d’améliorer la visibilité de la Convention.</w:t>
      </w:r>
    </w:p>
    <w:p w:rsidR="00262AC8" w:rsidRPr="007260D4" w:rsidRDefault="00262AC8" w:rsidP="00533BAA">
      <w:pPr>
        <w:autoSpaceDE w:val="0"/>
        <w:autoSpaceDN w:val="0"/>
        <w:adjustRightInd w:val="0"/>
        <w:rPr>
          <w:rFonts w:ascii="Calibri" w:hAnsi="Calibri" w:cs="Calibri"/>
          <w:lang w:val="fr-FR"/>
        </w:rPr>
      </w:pPr>
    </w:p>
    <w:p w:rsidR="003A72F1" w:rsidRPr="007260D4" w:rsidRDefault="003A72F1" w:rsidP="008C405D">
      <w:pPr>
        <w:pStyle w:val="ListParagraph"/>
        <w:autoSpaceDE w:val="0"/>
        <w:autoSpaceDN w:val="0"/>
        <w:adjustRightInd w:val="0"/>
        <w:ind w:left="426"/>
        <w:jc w:val="left"/>
        <w:rPr>
          <w:rFonts w:ascii="Calibri" w:hAnsi="Calibri" w:cs="Calibri"/>
          <w:bCs/>
          <w:u w:val="single"/>
          <w:lang w:val="fr-FR"/>
        </w:rPr>
      </w:pPr>
      <w:r w:rsidRPr="007260D4">
        <w:rPr>
          <w:rFonts w:ascii="Calibri" w:hAnsi="Calibri" w:cs="Calibri"/>
          <w:bCs/>
          <w:u w:val="single"/>
          <w:lang w:val="fr-FR"/>
        </w:rPr>
        <w:t>Concernant l’amélioration des synergies</w:t>
      </w:r>
    </w:p>
    <w:p w:rsidR="003A72F1" w:rsidRPr="007260D4" w:rsidRDefault="003A72F1" w:rsidP="008C405D">
      <w:pPr>
        <w:pStyle w:val="ListParagraph"/>
        <w:autoSpaceDE w:val="0"/>
        <w:autoSpaceDN w:val="0"/>
        <w:adjustRightInd w:val="0"/>
        <w:ind w:left="426"/>
        <w:jc w:val="left"/>
        <w:rPr>
          <w:rFonts w:ascii="Calibri" w:hAnsi="Calibri" w:cs="Calibri"/>
          <w:bCs/>
          <w:lang w:val="fr-FR"/>
        </w:rPr>
      </w:pPr>
    </w:p>
    <w:p w:rsidR="006122AC" w:rsidRPr="007260D4" w:rsidRDefault="006A063D" w:rsidP="00EC1777">
      <w:pPr>
        <w:pStyle w:val="ListParagraph"/>
        <w:numPr>
          <w:ilvl w:val="0"/>
          <w:numId w:val="7"/>
        </w:numPr>
        <w:autoSpaceDE w:val="0"/>
        <w:autoSpaceDN w:val="0"/>
        <w:adjustRightInd w:val="0"/>
        <w:ind w:left="426" w:hanging="426"/>
        <w:jc w:val="left"/>
        <w:rPr>
          <w:rFonts w:ascii="Calibri" w:hAnsi="Calibri" w:cs="Calibri"/>
          <w:bCs/>
          <w:lang w:val="fr-FR"/>
        </w:rPr>
      </w:pPr>
      <w:r w:rsidRPr="007260D4">
        <w:rPr>
          <w:rFonts w:ascii="Calibri" w:hAnsi="Calibri" w:cs="Calibri"/>
          <w:bCs/>
          <w:lang w:val="fr-FR"/>
        </w:rPr>
        <w:t>PREND NOTE de la recommandation figurant</w:t>
      </w:r>
      <w:r w:rsidR="00C43512" w:rsidRPr="007260D4">
        <w:rPr>
          <w:rFonts w:ascii="Calibri" w:hAnsi="Calibri" w:cs="Calibri"/>
          <w:bCs/>
          <w:lang w:val="fr-FR"/>
        </w:rPr>
        <w:t xml:space="preserve"> </w:t>
      </w:r>
      <w:r w:rsidRPr="007260D4">
        <w:rPr>
          <w:rFonts w:ascii="Calibri" w:hAnsi="Calibri" w:cs="Calibri"/>
          <w:bCs/>
          <w:lang w:val="fr-FR"/>
        </w:rPr>
        <w:t>dans le rapport du</w:t>
      </w:r>
      <w:r w:rsidR="00C43512" w:rsidRPr="007260D4">
        <w:rPr>
          <w:rFonts w:ascii="Calibri" w:hAnsi="Calibri" w:cs="Calibri"/>
          <w:bCs/>
          <w:lang w:val="fr-FR"/>
        </w:rPr>
        <w:t xml:space="preserve"> PNUE</w:t>
      </w:r>
      <w:r w:rsidR="00EC1777" w:rsidRPr="007260D4">
        <w:rPr>
          <w:rFonts w:ascii="Calibri" w:hAnsi="Calibri" w:cs="Calibri"/>
          <w:bCs/>
          <w:lang w:val="fr-FR"/>
        </w:rPr>
        <w:t xml:space="preserve"> «</w:t>
      </w:r>
      <w:r w:rsidR="00E64ABD" w:rsidRPr="007260D4">
        <w:rPr>
          <w:rFonts w:ascii="Calibri" w:hAnsi="Calibri" w:cs="Calibri-Bold"/>
          <w:bCs/>
          <w:i/>
          <w:lang w:val="fr-FR"/>
        </w:rPr>
        <w:t>Improving the effectiveness of and cooperation among biodiversity-related conventions and exploring opportunities for further synergies </w:t>
      </w:r>
      <w:r w:rsidR="00A317D1" w:rsidRPr="007260D4">
        <w:rPr>
          <w:rFonts w:ascii="Calibri" w:hAnsi="Calibri" w:cs="Calibri"/>
          <w:bCs/>
          <w:lang w:val="fr-FR"/>
        </w:rPr>
        <w:t>» et de ses résultats</w:t>
      </w:r>
      <w:r w:rsidR="00EC1777" w:rsidRPr="007260D4">
        <w:rPr>
          <w:rFonts w:ascii="Calibri" w:hAnsi="Calibri" w:cs="Calibri"/>
          <w:bCs/>
          <w:lang w:val="fr-FR"/>
        </w:rPr>
        <w:t>,</w:t>
      </w:r>
      <w:r w:rsidR="00A317D1" w:rsidRPr="007260D4">
        <w:rPr>
          <w:rFonts w:ascii="Calibri" w:hAnsi="Calibri" w:cs="Calibri"/>
          <w:bCs/>
          <w:lang w:val="fr-FR"/>
        </w:rPr>
        <w:t xml:space="preserve"> notamment </w:t>
      </w:r>
      <w:r w:rsidR="00FB139D" w:rsidRPr="007260D4">
        <w:rPr>
          <w:rFonts w:ascii="Calibri" w:hAnsi="Calibri" w:cs="Calibri"/>
          <w:bCs/>
          <w:lang w:val="fr-FR"/>
        </w:rPr>
        <w:t xml:space="preserve">le </w:t>
      </w:r>
      <w:r w:rsidR="00C43512" w:rsidRPr="007260D4">
        <w:rPr>
          <w:rFonts w:ascii="Calibri" w:hAnsi="Calibri" w:cs="Calibri"/>
          <w:bCs/>
          <w:i/>
          <w:lang w:val="fr-FR"/>
        </w:rPr>
        <w:t>S</w:t>
      </w:r>
      <w:r w:rsidR="00FB139D" w:rsidRPr="007260D4">
        <w:rPr>
          <w:rFonts w:ascii="Calibri" w:hAnsi="Calibri" w:cs="Calibri"/>
          <w:bCs/>
          <w:i/>
          <w:lang w:val="fr-FR"/>
        </w:rPr>
        <w:t>ourcebook</w:t>
      </w:r>
      <w:r w:rsidRPr="007260D4">
        <w:rPr>
          <w:rFonts w:ascii="Calibri" w:hAnsi="Calibri" w:cs="Calibri"/>
          <w:bCs/>
          <w:i/>
          <w:lang w:val="fr-FR"/>
        </w:rPr>
        <w:t xml:space="preserve"> </w:t>
      </w:r>
      <w:r w:rsidR="005A4E29" w:rsidRPr="007260D4">
        <w:rPr>
          <w:rFonts w:ascii="Calibri" w:hAnsi="Calibri" w:cs="Calibri"/>
          <w:bCs/>
          <w:lang w:val="fr-FR"/>
        </w:rPr>
        <w:t xml:space="preserve">visant à promouvoir </w:t>
      </w:r>
      <w:r w:rsidR="006122AC" w:rsidRPr="007260D4">
        <w:rPr>
          <w:rFonts w:ascii="Calibri" w:hAnsi="Calibri" w:cs="Calibri"/>
          <w:bCs/>
          <w:lang w:val="fr-FR"/>
        </w:rPr>
        <w:t xml:space="preserve">les synergies dans le groupe des </w:t>
      </w:r>
      <w:r w:rsidR="005A4E29" w:rsidRPr="007260D4">
        <w:rPr>
          <w:rFonts w:ascii="Calibri" w:hAnsi="Calibri" w:cs="Calibri"/>
          <w:bCs/>
          <w:lang w:val="fr-FR"/>
        </w:rPr>
        <w:t xml:space="preserve">accords </w:t>
      </w:r>
      <w:r w:rsidR="006122AC" w:rsidRPr="007260D4">
        <w:rPr>
          <w:rFonts w:ascii="Calibri" w:hAnsi="Calibri" w:cs="Calibri"/>
          <w:bCs/>
          <w:lang w:val="fr-FR"/>
        </w:rPr>
        <w:t>multilatéraux sur l’environnement relatifs à la biodiversité.</w:t>
      </w:r>
    </w:p>
    <w:p w:rsidR="006122AC" w:rsidRPr="007260D4" w:rsidRDefault="006122AC" w:rsidP="00533BAA">
      <w:pPr>
        <w:autoSpaceDE w:val="0"/>
        <w:autoSpaceDN w:val="0"/>
        <w:adjustRightInd w:val="0"/>
        <w:rPr>
          <w:rFonts w:ascii="Calibri" w:hAnsi="Calibri" w:cs="Calibri"/>
          <w:bCs/>
          <w:lang w:val="fr-FR"/>
        </w:rPr>
      </w:pPr>
    </w:p>
    <w:p w:rsidR="00DF4A75" w:rsidRPr="007260D4" w:rsidRDefault="00DF4A75" w:rsidP="006A063D">
      <w:pPr>
        <w:pStyle w:val="ListParagraph"/>
        <w:numPr>
          <w:ilvl w:val="0"/>
          <w:numId w:val="7"/>
        </w:numPr>
        <w:autoSpaceDE w:val="0"/>
        <w:autoSpaceDN w:val="0"/>
        <w:adjustRightInd w:val="0"/>
        <w:ind w:left="426" w:hanging="426"/>
        <w:jc w:val="left"/>
        <w:rPr>
          <w:rFonts w:ascii="Calibri" w:hAnsi="Calibri" w:cs="Calibri"/>
          <w:bCs/>
          <w:lang w:val="fr-FR"/>
        </w:rPr>
      </w:pPr>
      <w:r w:rsidRPr="007260D4">
        <w:rPr>
          <w:rFonts w:ascii="Calibri" w:hAnsi="Calibri" w:cs="Calibri"/>
          <w:bCs/>
          <w:lang w:val="fr-FR"/>
        </w:rPr>
        <w:t xml:space="preserve">ENCOURAGE les Correspondants nationaux Ramsar à redoubler d’efforts pour assurer la coordination avec leurs homologues nationaux </w:t>
      </w:r>
      <w:r w:rsidR="00A317D1" w:rsidRPr="007260D4">
        <w:rPr>
          <w:rFonts w:ascii="Calibri" w:hAnsi="Calibri" w:cs="Calibri"/>
          <w:bCs/>
          <w:lang w:val="fr-FR"/>
        </w:rPr>
        <w:t xml:space="preserve">correspondants </w:t>
      </w:r>
      <w:r w:rsidRPr="007260D4">
        <w:rPr>
          <w:rFonts w:ascii="Calibri" w:hAnsi="Calibri" w:cs="Calibri"/>
          <w:bCs/>
          <w:lang w:val="fr-FR"/>
        </w:rPr>
        <w:t xml:space="preserve">d’autres conventions </w:t>
      </w:r>
      <w:r w:rsidR="005A4E29" w:rsidRPr="007260D4">
        <w:rPr>
          <w:rFonts w:ascii="Calibri" w:hAnsi="Calibri" w:cs="Calibri"/>
          <w:bCs/>
          <w:lang w:val="fr-FR"/>
        </w:rPr>
        <w:t xml:space="preserve">et accords </w:t>
      </w:r>
      <w:r w:rsidR="005A4E29" w:rsidRPr="007260D4">
        <w:rPr>
          <w:rFonts w:ascii="Calibri" w:hAnsi="Calibri" w:cs="Calibri"/>
          <w:bCs/>
          <w:lang w:val="fr-FR"/>
        </w:rPr>
        <w:lastRenderedPageBreak/>
        <w:t xml:space="preserve">internationaux pertinents, </w:t>
      </w:r>
      <w:r w:rsidRPr="007260D4">
        <w:rPr>
          <w:rFonts w:ascii="Calibri" w:hAnsi="Calibri" w:cs="Calibri"/>
          <w:bCs/>
          <w:lang w:val="fr-FR"/>
        </w:rPr>
        <w:t xml:space="preserve">et avec tous les praticiens des zones humides, y compris les administrateurs de Sites Ramsar, </w:t>
      </w:r>
      <w:r w:rsidR="00820EF8" w:rsidRPr="007260D4">
        <w:rPr>
          <w:rFonts w:ascii="Calibri" w:hAnsi="Calibri" w:cs="Calibri"/>
          <w:bCs/>
          <w:lang w:val="fr-FR"/>
        </w:rPr>
        <w:t>afin de</w:t>
      </w:r>
      <w:r w:rsidRPr="007260D4">
        <w:rPr>
          <w:rFonts w:ascii="Calibri" w:hAnsi="Calibri" w:cs="Calibri"/>
          <w:bCs/>
          <w:lang w:val="fr-FR"/>
        </w:rPr>
        <w:t xml:space="preserve"> les informer</w:t>
      </w:r>
      <w:r w:rsidR="00A317D1" w:rsidRPr="007260D4">
        <w:rPr>
          <w:rFonts w:ascii="Calibri" w:hAnsi="Calibri" w:cs="Calibri"/>
          <w:bCs/>
          <w:lang w:val="fr-FR"/>
        </w:rPr>
        <w:t xml:space="preserve"> des activités Ramsar</w:t>
      </w:r>
      <w:r w:rsidRPr="007260D4">
        <w:rPr>
          <w:rFonts w:ascii="Calibri" w:hAnsi="Calibri" w:cs="Calibri"/>
          <w:bCs/>
          <w:lang w:val="fr-FR"/>
        </w:rPr>
        <w:t xml:space="preserve"> </w:t>
      </w:r>
      <w:r w:rsidR="00A317D1" w:rsidRPr="007260D4">
        <w:rPr>
          <w:rFonts w:ascii="Calibri" w:hAnsi="Calibri" w:cs="Calibri"/>
          <w:bCs/>
          <w:lang w:val="fr-FR"/>
        </w:rPr>
        <w:t xml:space="preserve">et d’être informés par eux </w:t>
      </w:r>
      <w:r w:rsidRPr="007260D4">
        <w:rPr>
          <w:rFonts w:ascii="Calibri" w:hAnsi="Calibri" w:cs="Calibri"/>
          <w:bCs/>
          <w:lang w:val="fr-FR"/>
        </w:rPr>
        <w:t xml:space="preserve">des activités, processus et questions d’intérêt commun. </w:t>
      </w:r>
    </w:p>
    <w:p w:rsidR="00DF4A75" w:rsidRPr="007260D4" w:rsidRDefault="00DF4A75" w:rsidP="00404C57">
      <w:pPr>
        <w:pStyle w:val="ListParagraph"/>
        <w:rPr>
          <w:rFonts w:ascii="Calibri" w:hAnsi="Calibri" w:cs="Calibri"/>
          <w:bCs/>
          <w:lang w:val="fr-FR"/>
        </w:rPr>
      </w:pPr>
    </w:p>
    <w:p w:rsidR="006A063D" w:rsidRPr="007260D4" w:rsidRDefault="00DF4A75" w:rsidP="00A27140">
      <w:pPr>
        <w:pStyle w:val="ListParagraph"/>
        <w:numPr>
          <w:ilvl w:val="0"/>
          <w:numId w:val="7"/>
        </w:numPr>
        <w:autoSpaceDE w:val="0"/>
        <w:autoSpaceDN w:val="0"/>
        <w:adjustRightInd w:val="0"/>
        <w:ind w:left="426" w:hanging="426"/>
        <w:jc w:val="left"/>
        <w:rPr>
          <w:rFonts w:ascii="Calibri" w:hAnsi="Calibri" w:cs="Calibri"/>
          <w:bCs/>
          <w:lang w:val="fr-FR"/>
        </w:rPr>
      </w:pPr>
      <w:r w:rsidRPr="007260D4">
        <w:rPr>
          <w:rFonts w:ascii="Calibri" w:hAnsi="Calibri" w:cs="Calibri"/>
          <w:bCs/>
          <w:lang w:val="fr-FR"/>
        </w:rPr>
        <w:t xml:space="preserve">APPELLE les Parties contractantes à activer et </w:t>
      </w:r>
      <w:r w:rsidR="00D0300F" w:rsidRPr="007260D4">
        <w:rPr>
          <w:rFonts w:ascii="Calibri" w:hAnsi="Calibri" w:cs="Calibri"/>
          <w:bCs/>
          <w:lang w:val="fr-FR"/>
        </w:rPr>
        <w:t>développer</w:t>
      </w:r>
      <w:r w:rsidRPr="007260D4">
        <w:rPr>
          <w:rFonts w:ascii="Calibri" w:hAnsi="Calibri" w:cs="Calibri"/>
          <w:bCs/>
          <w:lang w:val="fr-FR"/>
        </w:rPr>
        <w:t xml:space="preserve"> des mécanismes d’établissement de réseaux, </w:t>
      </w:r>
      <w:r w:rsidR="005A4E29" w:rsidRPr="007260D4">
        <w:rPr>
          <w:rFonts w:ascii="Calibri" w:hAnsi="Calibri" w:cs="Calibri"/>
          <w:bCs/>
          <w:lang w:val="fr-FR"/>
        </w:rPr>
        <w:t>tels que les</w:t>
      </w:r>
      <w:r w:rsidRPr="007260D4">
        <w:rPr>
          <w:rFonts w:ascii="Calibri" w:hAnsi="Calibri" w:cs="Calibri"/>
          <w:bCs/>
          <w:lang w:val="fr-FR"/>
        </w:rPr>
        <w:t xml:space="preserve"> Comités nationaux Ramsar pour les zones humides, pour assurer la collaboration avec les ministères, </w:t>
      </w:r>
      <w:r w:rsidR="00D0300F" w:rsidRPr="007260D4">
        <w:rPr>
          <w:rFonts w:ascii="Calibri" w:hAnsi="Calibri" w:cs="Calibri"/>
          <w:bCs/>
          <w:lang w:val="fr-FR"/>
        </w:rPr>
        <w:t>services et organismes</w:t>
      </w:r>
      <w:r w:rsidRPr="007260D4">
        <w:rPr>
          <w:rFonts w:ascii="Calibri" w:hAnsi="Calibri" w:cs="Calibri"/>
          <w:bCs/>
          <w:lang w:val="fr-FR"/>
        </w:rPr>
        <w:t xml:space="preserve"> nationaux ainsi qu</w:t>
      </w:r>
      <w:r w:rsidR="00820EF8" w:rsidRPr="007260D4">
        <w:rPr>
          <w:rFonts w:ascii="Calibri" w:hAnsi="Calibri" w:cs="Calibri"/>
          <w:bCs/>
          <w:lang w:val="fr-FR"/>
        </w:rPr>
        <w:t>’avec</w:t>
      </w:r>
      <w:r w:rsidRPr="007260D4">
        <w:rPr>
          <w:rFonts w:ascii="Calibri" w:hAnsi="Calibri" w:cs="Calibri"/>
          <w:bCs/>
          <w:lang w:val="fr-FR"/>
        </w:rPr>
        <w:t xml:space="preserve"> les organ</w:t>
      </w:r>
      <w:r w:rsidR="00820EF8" w:rsidRPr="007260D4">
        <w:rPr>
          <w:rFonts w:ascii="Calibri" w:hAnsi="Calibri" w:cs="Calibri"/>
          <w:bCs/>
          <w:lang w:val="fr-FR"/>
        </w:rPr>
        <w:t>isme</w:t>
      </w:r>
      <w:r w:rsidRPr="007260D4">
        <w:rPr>
          <w:rFonts w:ascii="Calibri" w:hAnsi="Calibri" w:cs="Calibri"/>
          <w:bCs/>
          <w:lang w:val="fr-FR"/>
        </w:rPr>
        <w:t xml:space="preserve">s mondiaux et régionaux tels que le PNUE, le </w:t>
      </w:r>
      <w:r w:rsidR="00C43512" w:rsidRPr="007260D4">
        <w:rPr>
          <w:rFonts w:ascii="Calibri" w:hAnsi="Calibri" w:cs="Calibri"/>
          <w:bCs/>
          <w:lang w:val="fr-FR"/>
        </w:rPr>
        <w:t>Programme des Nations Unies pour le développement (</w:t>
      </w:r>
      <w:r w:rsidRPr="007260D4">
        <w:rPr>
          <w:rFonts w:ascii="Calibri" w:hAnsi="Calibri" w:cs="Calibri"/>
          <w:bCs/>
          <w:lang w:val="fr-FR"/>
        </w:rPr>
        <w:t>PNUD</w:t>
      </w:r>
      <w:r w:rsidR="00C43512" w:rsidRPr="007260D4">
        <w:rPr>
          <w:rFonts w:ascii="Calibri" w:hAnsi="Calibri" w:cs="Calibri"/>
          <w:bCs/>
          <w:lang w:val="fr-FR"/>
        </w:rPr>
        <w:t>)</w:t>
      </w:r>
      <w:r w:rsidRPr="007260D4">
        <w:rPr>
          <w:rFonts w:ascii="Calibri" w:hAnsi="Calibri" w:cs="Calibri"/>
          <w:bCs/>
          <w:lang w:val="fr-FR"/>
        </w:rPr>
        <w:t>, l’</w:t>
      </w:r>
      <w:r w:rsidR="00C43512" w:rsidRPr="007260D4">
        <w:rPr>
          <w:rFonts w:ascii="Calibri" w:hAnsi="Calibri" w:cs="Calibri"/>
          <w:bCs/>
          <w:lang w:val="fr-FR"/>
        </w:rPr>
        <w:t>Organisation mondiale de la santé (</w:t>
      </w:r>
      <w:r w:rsidRPr="007260D4">
        <w:rPr>
          <w:rFonts w:ascii="Calibri" w:hAnsi="Calibri" w:cs="Calibri"/>
          <w:bCs/>
          <w:lang w:val="fr-FR"/>
        </w:rPr>
        <w:t>OMS</w:t>
      </w:r>
      <w:r w:rsidR="00C43512" w:rsidRPr="007260D4">
        <w:rPr>
          <w:rFonts w:ascii="Calibri" w:hAnsi="Calibri" w:cs="Calibri"/>
          <w:bCs/>
          <w:lang w:val="fr-FR"/>
        </w:rPr>
        <w:t>)</w:t>
      </w:r>
      <w:r w:rsidRPr="007260D4">
        <w:rPr>
          <w:rFonts w:ascii="Calibri" w:hAnsi="Calibri" w:cs="Calibri"/>
          <w:bCs/>
          <w:lang w:val="fr-FR"/>
        </w:rPr>
        <w:t xml:space="preserve">, </w:t>
      </w:r>
      <w:r w:rsidR="00C43512" w:rsidRPr="007260D4">
        <w:rPr>
          <w:rFonts w:ascii="Calibri" w:hAnsi="Calibri" w:cs="Calibri"/>
          <w:bCs/>
          <w:lang w:val="fr-FR"/>
        </w:rPr>
        <w:t>l’Organisation des Nations Unies pour l’alimentation et l’agriculture (</w:t>
      </w:r>
      <w:r w:rsidRPr="007260D4">
        <w:rPr>
          <w:rFonts w:ascii="Calibri" w:hAnsi="Calibri" w:cs="Calibri"/>
          <w:bCs/>
          <w:lang w:val="fr-FR"/>
        </w:rPr>
        <w:t>FAO</w:t>
      </w:r>
      <w:r w:rsidR="00C43512" w:rsidRPr="007260D4">
        <w:rPr>
          <w:rFonts w:ascii="Calibri" w:hAnsi="Calibri" w:cs="Calibri"/>
          <w:bCs/>
          <w:lang w:val="fr-FR"/>
        </w:rPr>
        <w:t>)</w:t>
      </w:r>
      <w:r w:rsidRPr="007260D4">
        <w:rPr>
          <w:rFonts w:ascii="Calibri" w:hAnsi="Calibri" w:cs="Calibri"/>
          <w:bCs/>
          <w:lang w:val="fr-FR"/>
        </w:rPr>
        <w:t xml:space="preserve">, la </w:t>
      </w:r>
      <w:r w:rsidR="00C43512" w:rsidRPr="007260D4">
        <w:rPr>
          <w:rFonts w:ascii="Calibri" w:hAnsi="Calibri" w:cs="Calibri"/>
          <w:bCs/>
          <w:lang w:val="fr-FR"/>
        </w:rPr>
        <w:t>Commission économique pour l’Europe des Nations Unies (</w:t>
      </w:r>
      <w:r w:rsidRPr="007260D4">
        <w:rPr>
          <w:rFonts w:ascii="Calibri" w:hAnsi="Calibri" w:cs="Calibri"/>
          <w:bCs/>
          <w:lang w:val="fr-FR"/>
        </w:rPr>
        <w:t>CEE</w:t>
      </w:r>
      <w:r w:rsidRPr="007260D4">
        <w:rPr>
          <w:rFonts w:ascii="Calibri" w:hAnsi="Calibri" w:cs="Calibri"/>
          <w:bCs/>
          <w:lang w:val="fr-FR"/>
        </w:rPr>
        <w:noBreakHyphen/>
        <w:t>ONU</w:t>
      </w:r>
      <w:r w:rsidR="00C43512" w:rsidRPr="007260D4">
        <w:rPr>
          <w:rFonts w:ascii="Calibri" w:hAnsi="Calibri" w:cs="Calibri"/>
          <w:bCs/>
          <w:lang w:val="fr-FR"/>
        </w:rPr>
        <w:t>)</w:t>
      </w:r>
      <w:r w:rsidR="00A317D1" w:rsidRPr="007260D4">
        <w:rPr>
          <w:rFonts w:ascii="Calibri" w:hAnsi="Calibri" w:cs="Calibri"/>
          <w:bCs/>
          <w:lang w:val="fr-FR"/>
        </w:rPr>
        <w:t xml:space="preserve"> et autres commissions économiques régionales des Nations Unies</w:t>
      </w:r>
      <w:r w:rsidRPr="007260D4">
        <w:rPr>
          <w:rFonts w:ascii="Calibri" w:hAnsi="Calibri" w:cs="Calibri"/>
          <w:bCs/>
          <w:lang w:val="fr-FR"/>
        </w:rPr>
        <w:t>, l’</w:t>
      </w:r>
      <w:r w:rsidR="00C43512" w:rsidRPr="007260D4">
        <w:rPr>
          <w:rFonts w:ascii="Calibri" w:hAnsi="Calibri" w:cs="Calibri"/>
          <w:bCs/>
          <w:lang w:val="fr-FR"/>
        </w:rPr>
        <w:t>Organisation internationale des bois tropicaux (</w:t>
      </w:r>
      <w:r w:rsidRPr="007260D4">
        <w:rPr>
          <w:rFonts w:ascii="Calibri" w:hAnsi="Calibri" w:cs="Calibri"/>
          <w:bCs/>
          <w:lang w:val="fr-FR"/>
        </w:rPr>
        <w:t>OIBT</w:t>
      </w:r>
      <w:r w:rsidR="00C43512" w:rsidRPr="007260D4">
        <w:rPr>
          <w:rFonts w:ascii="Calibri" w:hAnsi="Calibri" w:cs="Calibri"/>
          <w:bCs/>
          <w:lang w:val="fr-FR"/>
        </w:rPr>
        <w:t>)</w:t>
      </w:r>
      <w:r w:rsidR="005A4E29" w:rsidRPr="007260D4">
        <w:rPr>
          <w:rFonts w:ascii="Calibri" w:hAnsi="Calibri" w:cs="Calibri"/>
          <w:bCs/>
          <w:lang w:val="fr-FR"/>
        </w:rPr>
        <w:t>,</w:t>
      </w:r>
      <w:r w:rsidR="008C405D" w:rsidRPr="007260D4">
        <w:rPr>
          <w:rFonts w:ascii="Calibri" w:hAnsi="Calibri" w:cs="Calibri"/>
          <w:bCs/>
          <w:lang w:val="fr-FR"/>
        </w:rPr>
        <w:t xml:space="preserve"> </w:t>
      </w:r>
      <w:r w:rsidRPr="007260D4">
        <w:rPr>
          <w:rFonts w:ascii="Calibri" w:hAnsi="Calibri" w:cs="Calibri"/>
          <w:bCs/>
          <w:lang w:val="fr-FR"/>
        </w:rPr>
        <w:t>le Fonds pour l’environnement mondial</w:t>
      </w:r>
      <w:r w:rsidR="00C43512" w:rsidRPr="007260D4">
        <w:rPr>
          <w:rFonts w:ascii="Calibri" w:hAnsi="Calibri" w:cs="Calibri"/>
          <w:bCs/>
          <w:lang w:val="fr-FR"/>
        </w:rPr>
        <w:t xml:space="preserve"> (FEM)</w:t>
      </w:r>
      <w:r w:rsidR="005A4E29" w:rsidRPr="007260D4">
        <w:rPr>
          <w:rFonts w:ascii="Calibri" w:hAnsi="Calibri" w:cs="Calibri"/>
          <w:bCs/>
          <w:lang w:val="fr-FR"/>
        </w:rPr>
        <w:t xml:space="preserve"> et la Banque mondiale,</w:t>
      </w:r>
      <w:r w:rsidRPr="007260D4">
        <w:rPr>
          <w:rFonts w:ascii="Calibri" w:hAnsi="Calibri" w:cs="Calibri"/>
          <w:bCs/>
          <w:lang w:val="fr-FR"/>
        </w:rPr>
        <w:t xml:space="preserve"> en vue d’améliorer l’utilisation rationnelle des zones humides.</w:t>
      </w:r>
    </w:p>
    <w:p w:rsidR="006A063D" w:rsidRPr="007260D4" w:rsidRDefault="006A063D" w:rsidP="006A063D">
      <w:pPr>
        <w:pStyle w:val="ListParagraph"/>
        <w:autoSpaceDE w:val="0"/>
        <w:autoSpaceDN w:val="0"/>
        <w:adjustRightInd w:val="0"/>
        <w:ind w:left="426"/>
        <w:jc w:val="left"/>
        <w:rPr>
          <w:rFonts w:ascii="Calibri" w:hAnsi="Calibri" w:cs="Calibri"/>
          <w:bCs/>
          <w:lang w:val="fr-FR"/>
        </w:rPr>
      </w:pPr>
    </w:p>
    <w:p w:rsidR="00DF4A75" w:rsidRPr="007260D4" w:rsidRDefault="00A317D1" w:rsidP="006A063D">
      <w:pPr>
        <w:pStyle w:val="ListParagraph"/>
        <w:numPr>
          <w:ilvl w:val="0"/>
          <w:numId w:val="7"/>
        </w:numPr>
        <w:autoSpaceDE w:val="0"/>
        <w:autoSpaceDN w:val="0"/>
        <w:adjustRightInd w:val="0"/>
        <w:ind w:left="426" w:hanging="426"/>
        <w:jc w:val="left"/>
        <w:rPr>
          <w:rFonts w:ascii="Calibri" w:hAnsi="Calibri" w:cs="Calibri"/>
          <w:bCs/>
          <w:lang w:val="fr-FR"/>
        </w:rPr>
      </w:pPr>
      <w:r w:rsidRPr="007260D4">
        <w:rPr>
          <w:rFonts w:ascii="Calibri" w:hAnsi="Calibri" w:cs="Calibri"/>
          <w:bCs/>
          <w:lang w:val="fr-FR"/>
        </w:rPr>
        <w:t>DEMANDE aux</w:t>
      </w:r>
      <w:r w:rsidR="00DF4A75" w:rsidRPr="007260D4">
        <w:rPr>
          <w:rFonts w:ascii="Calibri" w:hAnsi="Calibri" w:cs="Calibri"/>
          <w:bCs/>
          <w:lang w:val="fr-FR"/>
        </w:rPr>
        <w:t xml:space="preserve"> Parties contractantes</w:t>
      </w:r>
      <w:r w:rsidR="006A063D" w:rsidRPr="007260D4">
        <w:rPr>
          <w:rFonts w:ascii="Calibri" w:hAnsi="Calibri" w:cs="Calibri"/>
          <w:bCs/>
          <w:lang w:val="fr-FR"/>
        </w:rPr>
        <w:t xml:space="preserve"> concernées</w:t>
      </w:r>
      <w:r w:rsidR="00DF4A75" w:rsidRPr="007260D4">
        <w:rPr>
          <w:rFonts w:ascii="Calibri" w:hAnsi="Calibri" w:cs="Calibri"/>
          <w:bCs/>
          <w:lang w:val="fr-FR"/>
        </w:rPr>
        <w:t xml:space="preserve"> </w:t>
      </w:r>
      <w:r w:rsidRPr="007260D4">
        <w:rPr>
          <w:rFonts w:ascii="Calibri" w:hAnsi="Calibri" w:cs="Calibri"/>
          <w:bCs/>
          <w:lang w:val="fr-FR"/>
        </w:rPr>
        <w:t>de poursuivre la mise en œuvre</w:t>
      </w:r>
      <w:r w:rsidR="008C405D" w:rsidRPr="007260D4">
        <w:rPr>
          <w:rFonts w:ascii="Calibri" w:hAnsi="Calibri" w:cs="Calibri"/>
          <w:bCs/>
          <w:lang w:val="fr-FR"/>
        </w:rPr>
        <w:t xml:space="preserve"> </w:t>
      </w:r>
      <w:r w:rsidRPr="007260D4">
        <w:rPr>
          <w:rFonts w:ascii="Calibri" w:hAnsi="Calibri" w:cs="Calibri"/>
          <w:bCs/>
          <w:lang w:val="fr-FR"/>
        </w:rPr>
        <w:t>des</w:t>
      </w:r>
      <w:r w:rsidR="00DF4A75" w:rsidRPr="007260D4">
        <w:rPr>
          <w:rFonts w:ascii="Calibri" w:hAnsi="Calibri" w:cs="Calibri"/>
          <w:bCs/>
          <w:lang w:val="fr-FR"/>
        </w:rPr>
        <w:t xml:space="preserve"> </w:t>
      </w:r>
      <w:r w:rsidR="00DF4A75" w:rsidRPr="007260D4">
        <w:rPr>
          <w:rFonts w:ascii="Calibri" w:hAnsi="Calibri"/>
          <w:bCs/>
          <w:i/>
          <w:lang w:val="fr-FR"/>
        </w:rPr>
        <w:t xml:space="preserve">Lignes directrices pour la coopération internationale dans le cadre de la Convention de Ramsar </w:t>
      </w:r>
      <w:r w:rsidR="00DF4A75" w:rsidRPr="007260D4">
        <w:rPr>
          <w:rFonts w:ascii="Calibri" w:hAnsi="Calibri"/>
          <w:bCs/>
          <w:lang w:val="fr-FR"/>
        </w:rPr>
        <w:t>(Résolution VII.19)</w:t>
      </w:r>
      <w:r w:rsidR="005A4E29" w:rsidRPr="007260D4">
        <w:rPr>
          <w:rFonts w:ascii="Calibri" w:hAnsi="Calibri"/>
          <w:bCs/>
          <w:lang w:val="fr-FR"/>
        </w:rPr>
        <w:t>.</w:t>
      </w:r>
      <w:r w:rsidR="00DF4A75" w:rsidRPr="007260D4">
        <w:rPr>
          <w:rFonts w:ascii="Calibri" w:hAnsi="Calibri"/>
          <w:bCs/>
          <w:lang w:val="fr-FR"/>
        </w:rPr>
        <w:t xml:space="preserve"> </w:t>
      </w:r>
      <w:r w:rsidR="00DF4A75" w:rsidRPr="007260D4">
        <w:rPr>
          <w:rFonts w:ascii="Calibri" w:hAnsi="Calibri" w:cs="Calibri"/>
          <w:bCs/>
          <w:lang w:val="fr-FR"/>
        </w:rPr>
        <w:t xml:space="preserve"> </w:t>
      </w:r>
    </w:p>
    <w:p w:rsidR="00DF4A75" w:rsidRPr="007260D4" w:rsidRDefault="00DF4A75" w:rsidP="00F13DE2">
      <w:pPr>
        <w:autoSpaceDE w:val="0"/>
        <w:autoSpaceDN w:val="0"/>
        <w:adjustRightInd w:val="0"/>
        <w:ind w:left="426" w:hanging="426"/>
        <w:rPr>
          <w:rFonts w:ascii="Calibri" w:hAnsi="Calibri" w:cs="Calibri"/>
          <w:bCs/>
          <w:sz w:val="22"/>
          <w:szCs w:val="22"/>
          <w:lang w:val="fr-FR"/>
        </w:rPr>
      </w:pPr>
    </w:p>
    <w:p w:rsidR="00DF4A75" w:rsidRPr="007260D4" w:rsidRDefault="00DF4A75" w:rsidP="00F13DE2">
      <w:pPr>
        <w:pStyle w:val="ListParagraph"/>
        <w:numPr>
          <w:ilvl w:val="0"/>
          <w:numId w:val="7"/>
        </w:numPr>
        <w:autoSpaceDE w:val="0"/>
        <w:autoSpaceDN w:val="0"/>
        <w:adjustRightInd w:val="0"/>
        <w:ind w:left="426" w:hanging="426"/>
        <w:jc w:val="left"/>
        <w:rPr>
          <w:rFonts w:ascii="Calibri" w:hAnsi="Calibri" w:cs="Calibri"/>
          <w:bCs/>
          <w:lang w:val="fr-FR"/>
        </w:rPr>
      </w:pPr>
      <w:r w:rsidRPr="007260D4">
        <w:rPr>
          <w:rFonts w:ascii="Calibri" w:hAnsi="Calibri" w:cs="Calibri"/>
          <w:bCs/>
          <w:lang w:val="fr-FR"/>
        </w:rPr>
        <w:t xml:space="preserve">PRIE INSTAMMENT les Parties contractantes, les Organisations internationales partenaires et les partenaires mondiaux et régionaux de continuer de soutenir les Initiatives régionales Ramsar et d’appliquer les </w:t>
      </w:r>
      <w:r w:rsidRPr="007260D4">
        <w:rPr>
          <w:rFonts w:ascii="Calibri" w:hAnsi="Calibri"/>
          <w:i/>
          <w:iCs/>
          <w:lang w:val="fr-FR"/>
        </w:rPr>
        <w:t xml:space="preserve">Directives opérationnelles 2016-2018 pour les initiatives régionales dans le cadre de la Convention sur les zones humides </w:t>
      </w:r>
      <w:r w:rsidRPr="007260D4">
        <w:rPr>
          <w:rFonts w:ascii="Calibri" w:hAnsi="Calibri"/>
          <w:lang w:val="fr-FR"/>
        </w:rPr>
        <w:t>(</w:t>
      </w:r>
      <w:r w:rsidR="00E009D8" w:rsidRPr="007260D4">
        <w:rPr>
          <w:rFonts w:ascii="Calibri" w:hAnsi="Calibri"/>
          <w:lang w:val="fr-FR"/>
        </w:rPr>
        <w:t xml:space="preserve">approuvées par </w:t>
      </w:r>
      <w:r w:rsidRPr="007260D4">
        <w:rPr>
          <w:rFonts w:ascii="Calibri" w:hAnsi="Calibri"/>
          <w:lang w:val="fr-FR"/>
        </w:rPr>
        <w:t>la Résolution XII.</w:t>
      </w:r>
      <w:r w:rsidR="006A063D" w:rsidRPr="007260D4">
        <w:rPr>
          <w:rFonts w:ascii="Calibri" w:hAnsi="Calibri"/>
          <w:lang w:val="fr-FR"/>
        </w:rPr>
        <w:t>8</w:t>
      </w:r>
      <w:r w:rsidR="00E009D8" w:rsidRPr="007260D4">
        <w:rPr>
          <w:rFonts w:ascii="Calibri" w:hAnsi="Calibri"/>
          <w:lang w:val="fr-FR"/>
        </w:rPr>
        <w:t xml:space="preserve">, </w:t>
      </w:r>
      <w:r w:rsidR="00E009D8" w:rsidRPr="007260D4">
        <w:rPr>
          <w:rFonts w:ascii="Calibri" w:hAnsi="Calibri"/>
          <w:i/>
          <w:lang w:val="fr-FR"/>
        </w:rPr>
        <w:t>Initiatives régionales 2016-2018 fonctionnant dans le cadre de la Convention de Ramsar</w:t>
      </w:r>
      <w:r w:rsidRPr="007260D4">
        <w:rPr>
          <w:rFonts w:ascii="Calibri" w:hAnsi="Calibri"/>
          <w:lang w:val="fr-FR"/>
        </w:rPr>
        <w:t xml:space="preserve">), </w:t>
      </w:r>
      <w:r w:rsidR="00820EF8" w:rsidRPr="007260D4">
        <w:rPr>
          <w:rFonts w:ascii="Calibri" w:hAnsi="Calibri"/>
          <w:lang w:val="fr-FR"/>
        </w:rPr>
        <w:t>pour</w:t>
      </w:r>
      <w:r w:rsidRPr="007260D4">
        <w:rPr>
          <w:rFonts w:ascii="Calibri" w:hAnsi="Calibri"/>
          <w:lang w:val="fr-FR"/>
        </w:rPr>
        <w:t xml:space="preserve"> </w:t>
      </w:r>
      <w:r w:rsidR="00A317D1" w:rsidRPr="007260D4">
        <w:rPr>
          <w:rFonts w:ascii="Calibri" w:hAnsi="Calibri"/>
          <w:lang w:val="fr-FR"/>
        </w:rPr>
        <w:t>stimuler un</w:t>
      </w:r>
      <w:r w:rsidR="008C405D" w:rsidRPr="007260D4">
        <w:rPr>
          <w:rFonts w:ascii="Calibri" w:hAnsi="Calibri"/>
          <w:lang w:val="fr-FR"/>
        </w:rPr>
        <w:t xml:space="preserve"> </w:t>
      </w:r>
      <w:r w:rsidRPr="007260D4">
        <w:rPr>
          <w:rFonts w:ascii="Calibri" w:hAnsi="Calibri"/>
          <w:lang w:val="fr-FR"/>
        </w:rPr>
        <w:t xml:space="preserve">engagement politique </w:t>
      </w:r>
      <w:r w:rsidR="00A317D1" w:rsidRPr="007260D4">
        <w:rPr>
          <w:rFonts w:ascii="Calibri" w:hAnsi="Calibri"/>
          <w:lang w:val="fr-FR"/>
        </w:rPr>
        <w:t xml:space="preserve">accru aux niveaux national et régional </w:t>
      </w:r>
      <w:r w:rsidRPr="007260D4">
        <w:rPr>
          <w:rFonts w:ascii="Calibri" w:hAnsi="Calibri"/>
          <w:lang w:val="fr-FR"/>
        </w:rPr>
        <w:t xml:space="preserve">et l’application de la Convention. </w:t>
      </w:r>
    </w:p>
    <w:p w:rsidR="0099612E" w:rsidRPr="007260D4" w:rsidRDefault="0099612E" w:rsidP="00533BAA">
      <w:pPr>
        <w:autoSpaceDE w:val="0"/>
        <w:autoSpaceDN w:val="0"/>
        <w:adjustRightInd w:val="0"/>
        <w:rPr>
          <w:rFonts w:ascii="Calibri" w:hAnsi="Calibri" w:cs="Calibri"/>
          <w:bCs/>
          <w:lang w:val="fr-FR"/>
        </w:rPr>
      </w:pPr>
    </w:p>
    <w:p w:rsidR="005A4E29" w:rsidRPr="007260D4" w:rsidRDefault="005A4E29" w:rsidP="00F13DE2">
      <w:pPr>
        <w:pStyle w:val="ListParagraph"/>
        <w:numPr>
          <w:ilvl w:val="0"/>
          <w:numId w:val="7"/>
        </w:numPr>
        <w:autoSpaceDE w:val="0"/>
        <w:autoSpaceDN w:val="0"/>
        <w:adjustRightInd w:val="0"/>
        <w:ind w:left="426" w:hanging="426"/>
        <w:jc w:val="left"/>
        <w:rPr>
          <w:rFonts w:ascii="Calibri" w:hAnsi="Calibri" w:cs="Calibri"/>
          <w:bCs/>
          <w:lang w:val="fr-FR"/>
        </w:rPr>
      </w:pPr>
      <w:r w:rsidRPr="007260D4">
        <w:rPr>
          <w:rFonts w:ascii="Calibri" w:hAnsi="Calibri" w:cs="Calibri"/>
          <w:bCs/>
          <w:lang w:val="fr-FR"/>
        </w:rPr>
        <w:t>DEMANDE au Secrétaire général de faire rapport à la 13</w:t>
      </w:r>
      <w:r w:rsidRPr="007260D4">
        <w:rPr>
          <w:rFonts w:ascii="Calibri" w:hAnsi="Calibri" w:cs="Calibri"/>
          <w:bCs/>
          <w:vertAlign w:val="superscript"/>
          <w:lang w:val="fr-FR"/>
        </w:rPr>
        <w:t>e</w:t>
      </w:r>
      <w:r w:rsidRPr="007260D4">
        <w:rPr>
          <w:rFonts w:ascii="Calibri" w:hAnsi="Calibri" w:cs="Calibri"/>
          <w:bCs/>
          <w:lang w:val="fr-FR"/>
        </w:rPr>
        <w:t> Session de la Conférence des Parties contractantes sur les possibilités de renforcer la contribution de la Convention au Programme d</w:t>
      </w:r>
      <w:r w:rsidR="00B86B95" w:rsidRPr="007260D4">
        <w:rPr>
          <w:rFonts w:ascii="Calibri" w:hAnsi="Calibri" w:cs="Calibri"/>
          <w:bCs/>
          <w:lang w:val="fr-FR"/>
        </w:rPr>
        <w:t>e</w:t>
      </w:r>
      <w:r w:rsidRPr="007260D4">
        <w:rPr>
          <w:rFonts w:ascii="Calibri" w:hAnsi="Calibri" w:cs="Calibri"/>
          <w:bCs/>
          <w:lang w:val="fr-FR"/>
        </w:rPr>
        <w:t xml:space="preserve"> développement durable et aux Objectifs de développement durable </w:t>
      </w:r>
      <w:r w:rsidR="00B86B95" w:rsidRPr="007260D4">
        <w:rPr>
          <w:rFonts w:ascii="Calibri" w:hAnsi="Calibri" w:cs="Calibri"/>
          <w:bCs/>
          <w:lang w:val="fr-FR"/>
        </w:rPr>
        <w:t xml:space="preserve">post-2015 </w:t>
      </w:r>
      <w:r w:rsidR="0099612E" w:rsidRPr="007260D4">
        <w:rPr>
          <w:rFonts w:ascii="Calibri" w:hAnsi="Calibri" w:cs="Calibri"/>
          <w:bCs/>
          <w:lang w:val="fr-FR"/>
        </w:rPr>
        <w:t>en ce qu’ils touchent aux zones humides.</w:t>
      </w:r>
    </w:p>
    <w:p w:rsidR="00DF4A75" w:rsidRPr="007260D4" w:rsidRDefault="00DF4A75" w:rsidP="00F13DE2">
      <w:pPr>
        <w:autoSpaceDE w:val="0"/>
        <w:autoSpaceDN w:val="0"/>
        <w:adjustRightInd w:val="0"/>
        <w:ind w:left="426" w:hanging="426"/>
        <w:rPr>
          <w:rFonts w:ascii="Calibri" w:hAnsi="Calibri" w:cs="Calibri"/>
          <w:bCs/>
          <w:sz w:val="22"/>
          <w:szCs w:val="22"/>
          <w:lang w:val="fr-FR"/>
        </w:rPr>
      </w:pPr>
    </w:p>
    <w:p w:rsidR="00DF4A75" w:rsidRPr="007260D4" w:rsidRDefault="00DF4A75" w:rsidP="00F13DE2">
      <w:pPr>
        <w:pStyle w:val="ListParagraph"/>
        <w:numPr>
          <w:ilvl w:val="0"/>
          <w:numId w:val="7"/>
        </w:numPr>
        <w:autoSpaceDE w:val="0"/>
        <w:autoSpaceDN w:val="0"/>
        <w:adjustRightInd w:val="0"/>
        <w:ind w:left="426" w:hanging="426"/>
        <w:jc w:val="left"/>
        <w:rPr>
          <w:rFonts w:ascii="Calibri" w:hAnsi="Calibri" w:cs="Calibri"/>
          <w:bCs/>
          <w:lang w:val="fr-FR"/>
        </w:rPr>
      </w:pPr>
      <w:r w:rsidRPr="007260D4">
        <w:rPr>
          <w:rFonts w:ascii="Calibri" w:hAnsi="Calibri" w:cs="Calibri"/>
          <w:bCs/>
          <w:lang w:val="fr-FR"/>
        </w:rPr>
        <w:t xml:space="preserve">DONNE INSTRUCTION au Secrétariat de </w:t>
      </w:r>
      <w:r w:rsidR="00A317D1" w:rsidRPr="007260D4">
        <w:rPr>
          <w:rFonts w:ascii="Calibri" w:hAnsi="Calibri" w:cs="Calibri"/>
          <w:bCs/>
          <w:lang w:val="fr-FR"/>
        </w:rPr>
        <w:t xml:space="preserve">faire rapport </w:t>
      </w:r>
      <w:r w:rsidR="0099612E" w:rsidRPr="007260D4">
        <w:rPr>
          <w:rFonts w:ascii="Calibri" w:hAnsi="Calibri" w:cs="Calibri"/>
          <w:bCs/>
          <w:lang w:val="fr-FR"/>
        </w:rPr>
        <w:t xml:space="preserve">chaque année </w:t>
      </w:r>
      <w:r w:rsidR="00A317D1" w:rsidRPr="007260D4">
        <w:rPr>
          <w:rFonts w:ascii="Calibri" w:hAnsi="Calibri" w:cs="Calibri"/>
          <w:bCs/>
          <w:lang w:val="fr-FR"/>
        </w:rPr>
        <w:t>au Comité permanent sur les progrès d’application de</w:t>
      </w:r>
      <w:r w:rsidRPr="007260D4">
        <w:rPr>
          <w:rFonts w:ascii="Calibri" w:hAnsi="Calibri" w:cs="Calibri"/>
          <w:bCs/>
          <w:lang w:val="fr-FR"/>
        </w:rPr>
        <w:t xml:space="preserve"> la Résolution XI.6, </w:t>
      </w:r>
      <w:r w:rsidRPr="007260D4">
        <w:rPr>
          <w:rFonts w:ascii="Calibri" w:hAnsi="Calibri" w:cs="Calibri"/>
          <w:bCs/>
          <w:i/>
          <w:lang w:val="fr-FR"/>
        </w:rPr>
        <w:t>Partenariat</w:t>
      </w:r>
      <w:r w:rsidR="00A864FD">
        <w:rPr>
          <w:rFonts w:ascii="Calibri" w:hAnsi="Calibri" w:cs="Calibri"/>
          <w:bCs/>
          <w:i/>
          <w:lang w:val="fr-FR"/>
        </w:rPr>
        <w:t>s</w:t>
      </w:r>
      <w:r w:rsidRPr="007260D4">
        <w:rPr>
          <w:rFonts w:ascii="Calibri" w:hAnsi="Calibri" w:cs="Calibri"/>
          <w:bCs/>
          <w:i/>
          <w:lang w:val="fr-FR"/>
        </w:rPr>
        <w:t xml:space="preserve"> et synergies avec les </w:t>
      </w:r>
      <w:r w:rsidR="00A864FD">
        <w:rPr>
          <w:rFonts w:ascii="Calibri" w:hAnsi="Calibri" w:cs="Calibri"/>
          <w:bCs/>
          <w:i/>
          <w:lang w:val="fr-FR"/>
        </w:rPr>
        <w:t>A</w:t>
      </w:r>
      <w:r w:rsidRPr="007260D4">
        <w:rPr>
          <w:rFonts w:ascii="Calibri" w:hAnsi="Calibri" w:cs="Calibri"/>
          <w:bCs/>
          <w:i/>
          <w:lang w:val="fr-FR"/>
        </w:rPr>
        <w:t>ccords multilatéraux sur l’environnement et autres institutions</w:t>
      </w:r>
      <w:r w:rsidRPr="007260D4">
        <w:rPr>
          <w:rFonts w:ascii="Calibri" w:hAnsi="Calibri" w:cs="Calibri"/>
          <w:bCs/>
          <w:lang w:val="fr-FR"/>
        </w:rPr>
        <w:t xml:space="preserve">. </w:t>
      </w:r>
    </w:p>
    <w:p w:rsidR="00DF4A75" w:rsidRPr="007260D4" w:rsidRDefault="00DF4A75" w:rsidP="00F13DE2">
      <w:pPr>
        <w:autoSpaceDE w:val="0"/>
        <w:autoSpaceDN w:val="0"/>
        <w:adjustRightInd w:val="0"/>
        <w:ind w:left="426" w:hanging="426"/>
        <w:rPr>
          <w:rFonts w:ascii="Calibri" w:hAnsi="Calibri" w:cs="Calibri"/>
          <w:bCs/>
          <w:sz w:val="22"/>
          <w:szCs w:val="22"/>
          <w:lang w:val="fr-FR"/>
        </w:rPr>
      </w:pPr>
    </w:p>
    <w:p w:rsidR="006A063D" w:rsidRPr="007260D4" w:rsidRDefault="00DF4A75" w:rsidP="00F13DE2">
      <w:pPr>
        <w:pStyle w:val="ListParagraph"/>
        <w:numPr>
          <w:ilvl w:val="0"/>
          <w:numId w:val="7"/>
        </w:numPr>
        <w:autoSpaceDE w:val="0"/>
        <w:autoSpaceDN w:val="0"/>
        <w:adjustRightInd w:val="0"/>
        <w:ind w:left="426" w:hanging="426"/>
        <w:jc w:val="left"/>
        <w:rPr>
          <w:rFonts w:ascii="Calibri" w:hAnsi="Calibri"/>
          <w:lang w:val="fr-FR"/>
        </w:rPr>
      </w:pPr>
      <w:r w:rsidRPr="007260D4">
        <w:rPr>
          <w:rFonts w:ascii="Calibri" w:hAnsi="Calibri" w:cs="Calibri"/>
          <w:bCs/>
          <w:lang w:val="fr-FR"/>
        </w:rPr>
        <w:t>DONNE EN OUTRE INSTRUCTION au Secrétariat de continuer de travailler de manière à renforcer la collaboration avec</w:t>
      </w:r>
      <w:r w:rsidR="00D250A2" w:rsidRPr="007260D4">
        <w:rPr>
          <w:rFonts w:ascii="Calibri" w:hAnsi="Calibri" w:cs="Calibri"/>
          <w:bCs/>
          <w:lang w:val="fr-FR"/>
        </w:rPr>
        <w:t xml:space="preserve"> la Perspective pour le patrimoine mondial de l’UICN, </w:t>
      </w:r>
      <w:r w:rsidRPr="007260D4">
        <w:rPr>
          <w:rFonts w:ascii="Calibri" w:hAnsi="Calibri" w:cs="Calibri"/>
          <w:bCs/>
          <w:lang w:val="fr-FR"/>
        </w:rPr>
        <w:t xml:space="preserve">le </w:t>
      </w:r>
      <w:r w:rsidR="000347EA" w:rsidRPr="007260D4">
        <w:rPr>
          <w:rFonts w:ascii="Calibri" w:hAnsi="Calibri" w:cs="Calibri"/>
          <w:bCs/>
          <w:lang w:val="fr-FR"/>
        </w:rPr>
        <w:t xml:space="preserve">PNUE, </w:t>
      </w:r>
      <w:r w:rsidR="00D250A2" w:rsidRPr="007260D4">
        <w:rPr>
          <w:rFonts w:ascii="Calibri" w:hAnsi="Calibri" w:cs="Calibri"/>
          <w:bCs/>
          <w:lang w:val="fr-FR"/>
        </w:rPr>
        <w:t xml:space="preserve">le PNUE-GRID, </w:t>
      </w:r>
      <w:r w:rsidR="000347EA" w:rsidRPr="007260D4">
        <w:rPr>
          <w:rFonts w:ascii="Calibri" w:hAnsi="Calibri" w:cs="Calibri"/>
          <w:bCs/>
          <w:lang w:val="fr-FR"/>
        </w:rPr>
        <w:t xml:space="preserve">le </w:t>
      </w:r>
      <w:r w:rsidRPr="007260D4">
        <w:rPr>
          <w:rFonts w:ascii="Calibri" w:hAnsi="Calibri" w:cs="Calibri"/>
          <w:bCs/>
          <w:lang w:val="fr-FR"/>
        </w:rPr>
        <w:t>PNUD, l’</w:t>
      </w:r>
      <w:r w:rsidR="00A40670" w:rsidRPr="007260D4">
        <w:rPr>
          <w:rFonts w:ascii="Calibri" w:hAnsi="Calibri" w:cs="Calibri"/>
          <w:bCs/>
          <w:lang w:val="fr-FR"/>
        </w:rPr>
        <w:t>Organisation des Nations Unies pour l’éducation, la science et la culture (</w:t>
      </w:r>
      <w:r w:rsidRPr="007260D4">
        <w:rPr>
          <w:rFonts w:ascii="Calibri" w:hAnsi="Calibri" w:cs="Calibri"/>
          <w:bCs/>
          <w:lang w:val="fr-FR"/>
        </w:rPr>
        <w:t>UNESCO</w:t>
      </w:r>
      <w:r w:rsidR="00A40670" w:rsidRPr="007260D4">
        <w:rPr>
          <w:rFonts w:ascii="Calibri" w:hAnsi="Calibri" w:cs="Calibri"/>
          <w:bCs/>
          <w:lang w:val="fr-FR"/>
        </w:rPr>
        <w:t>)</w:t>
      </w:r>
      <w:r w:rsidRPr="007260D4">
        <w:rPr>
          <w:rFonts w:ascii="Calibri" w:hAnsi="Calibri" w:cs="Calibri"/>
          <w:bCs/>
          <w:lang w:val="fr-FR"/>
        </w:rPr>
        <w:t xml:space="preserve">, </w:t>
      </w:r>
      <w:r w:rsidR="00D250A2" w:rsidRPr="007260D4">
        <w:rPr>
          <w:rFonts w:ascii="Calibri" w:hAnsi="Calibri" w:cs="Calibri"/>
          <w:bCs/>
          <w:lang w:val="fr-FR"/>
        </w:rPr>
        <w:t>les</w:t>
      </w:r>
      <w:r w:rsidR="000347EA" w:rsidRPr="007260D4">
        <w:rPr>
          <w:rFonts w:ascii="Calibri" w:hAnsi="Calibri" w:cs="Calibri"/>
          <w:bCs/>
          <w:lang w:val="fr-FR"/>
        </w:rPr>
        <w:t xml:space="preserve"> commissions économiques régionales des Nations Unies</w:t>
      </w:r>
      <w:r w:rsidRPr="007260D4">
        <w:rPr>
          <w:rFonts w:ascii="Calibri" w:hAnsi="Calibri" w:cs="Calibri"/>
          <w:bCs/>
          <w:lang w:val="fr-FR"/>
        </w:rPr>
        <w:t>, la Banque mondiale, l’OMS, l’</w:t>
      </w:r>
      <w:r w:rsidR="00A40670" w:rsidRPr="007260D4">
        <w:rPr>
          <w:rFonts w:ascii="Calibri" w:hAnsi="Calibri" w:cs="Calibri"/>
          <w:bCs/>
          <w:lang w:val="fr-FR"/>
        </w:rPr>
        <w:t>Organisation météorologique mondiale (</w:t>
      </w:r>
      <w:r w:rsidRPr="007260D4">
        <w:rPr>
          <w:rFonts w:ascii="Calibri" w:hAnsi="Calibri" w:cs="Calibri"/>
          <w:bCs/>
          <w:lang w:val="fr-FR"/>
        </w:rPr>
        <w:t>OMM</w:t>
      </w:r>
      <w:r w:rsidR="00A40670" w:rsidRPr="007260D4">
        <w:rPr>
          <w:rFonts w:ascii="Calibri" w:hAnsi="Calibri" w:cs="Calibri"/>
          <w:bCs/>
          <w:lang w:val="fr-FR"/>
        </w:rPr>
        <w:t>)</w:t>
      </w:r>
      <w:r w:rsidRPr="007260D4">
        <w:rPr>
          <w:rFonts w:ascii="Calibri" w:hAnsi="Calibri" w:cs="Calibri"/>
          <w:bCs/>
          <w:lang w:val="fr-FR"/>
        </w:rPr>
        <w:t xml:space="preserve">, la FAO, </w:t>
      </w:r>
      <w:r w:rsidR="000347EA" w:rsidRPr="007260D4">
        <w:rPr>
          <w:rFonts w:ascii="Calibri" w:hAnsi="Calibri" w:cs="Calibri"/>
          <w:bCs/>
          <w:lang w:val="fr-FR"/>
        </w:rPr>
        <w:t xml:space="preserve">le FEM, </w:t>
      </w:r>
      <w:r w:rsidR="00D250A2" w:rsidRPr="007260D4">
        <w:rPr>
          <w:rFonts w:ascii="Calibri" w:hAnsi="Calibri" w:cs="Calibri"/>
          <w:bCs/>
          <w:lang w:val="fr-FR"/>
        </w:rPr>
        <w:t>la Plateforme intergouvernementale, politique et scientifique</w:t>
      </w:r>
      <w:r w:rsidR="00B86B95" w:rsidRPr="007260D4">
        <w:rPr>
          <w:rFonts w:ascii="Calibri" w:hAnsi="Calibri" w:cs="Calibri"/>
          <w:bCs/>
          <w:lang w:val="fr-FR"/>
        </w:rPr>
        <w:t>,</w:t>
      </w:r>
      <w:r w:rsidR="00D250A2" w:rsidRPr="007260D4">
        <w:rPr>
          <w:rFonts w:ascii="Calibri" w:hAnsi="Calibri" w:cs="Calibri"/>
          <w:bCs/>
          <w:lang w:val="fr-FR"/>
        </w:rPr>
        <w:t xml:space="preserve"> sur la biodiversité et les services écosystémiques (IPBES), </w:t>
      </w:r>
      <w:r w:rsidRPr="007260D4">
        <w:rPr>
          <w:rFonts w:ascii="Calibri" w:hAnsi="Calibri" w:cs="Calibri"/>
          <w:bCs/>
          <w:lang w:val="fr-FR"/>
        </w:rPr>
        <w:t xml:space="preserve">entre autres, et </w:t>
      </w:r>
      <w:r w:rsidR="00820EF8" w:rsidRPr="007260D4">
        <w:rPr>
          <w:rFonts w:ascii="Calibri" w:hAnsi="Calibri" w:cs="Calibri"/>
          <w:bCs/>
          <w:lang w:val="fr-FR"/>
        </w:rPr>
        <w:t>de</w:t>
      </w:r>
      <w:r w:rsidRPr="007260D4">
        <w:rPr>
          <w:rFonts w:ascii="Calibri" w:hAnsi="Calibri" w:cs="Calibri"/>
          <w:bCs/>
          <w:lang w:val="fr-FR"/>
        </w:rPr>
        <w:t xml:space="preserve"> faire </w:t>
      </w:r>
      <w:r w:rsidR="000347EA" w:rsidRPr="007260D4">
        <w:rPr>
          <w:rFonts w:ascii="Calibri" w:hAnsi="Calibri" w:cs="Calibri"/>
          <w:bCs/>
          <w:lang w:val="fr-FR"/>
        </w:rPr>
        <w:t xml:space="preserve">régulièrement </w:t>
      </w:r>
      <w:r w:rsidRPr="007260D4">
        <w:rPr>
          <w:rFonts w:ascii="Calibri" w:hAnsi="Calibri" w:cs="Calibri"/>
          <w:bCs/>
          <w:lang w:val="fr-FR"/>
        </w:rPr>
        <w:t>rapport sur les progrès</w:t>
      </w:r>
      <w:r w:rsidR="008C405D" w:rsidRPr="007260D4">
        <w:rPr>
          <w:rFonts w:ascii="Calibri" w:hAnsi="Calibri" w:cs="Calibri"/>
          <w:bCs/>
          <w:lang w:val="fr-FR"/>
        </w:rPr>
        <w:t xml:space="preserve"> </w:t>
      </w:r>
      <w:r w:rsidRPr="007260D4">
        <w:rPr>
          <w:rFonts w:ascii="Calibri" w:hAnsi="Calibri" w:cs="Calibri"/>
          <w:bCs/>
          <w:lang w:val="fr-FR"/>
        </w:rPr>
        <w:t>au Comité permanent</w:t>
      </w:r>
      <w:r w:rsidR="00D250A2" w:rsidRPr="007260D4">
        <w:rPr>
          <w:rFonts w:ascii="Calibri" w:hAnsi="Calibri" w:cs="Calibri"/>
          <w:bCs/>
          <w:lang w:val="fr-FR"/>
        </w:rPr>
        <w:t xml:space="preserve"> et aux Parties contractantes</w:t>
      </w:r>
      <w:r w:rsidR="00A864FD">
        <w:rPr>
          <w:rFonts w:ascii="Calibri" w:hAnsi="Calibri" w:cs="Calibri"/>
          <w:bCs/>
          <w:lang w:val="fr-FR"/>
        </w:rPr>
        <w:t>.</w:t>
      </w:r>
    </w:p>
    <w:p w:rsidR="006A063D" w:rsidRPr="007260D4" w:rsidRDefault="006A063D" w:rsidP="006A063D">
      <w:pPr>
        <w:pStyle w:val="ListParagraph"/>
        <w:autoSpaceDE w:val="0"/>
        <w:autoSpaceDN w:val="0"/>
        <w:adjustRightInd w:val="0"/>
        <w:ind w:left="426"/>
        <w:jc w:val="left"/>
        <w:rPr>
          <w:rFonts w:ascii="Calibri" w:hAnsi="Calibri"/>
          <w:lang w:val="fr-FR"/>
        </w:rPr>
      </w:pPr>
    </w:p>
    <w:p w:rsidR="003C072A" w:rsidRPr="007260D4" w:rsidRDefault="006A063D" w:rsidP="000D6C2E">
      <w:pPr>
        <w:pStyle w:val="ListParagraph"/>
        <w:numPr>
          <w:ilvl w:val="0"/>
          <w:numId w:val="7"/>
        </w:numPr>
        <w:autoSpaceDE w:val="0"/>
        <w:autoSpaceDN w:val="0"/>
        <w:adjustRightInd w:val="0"/>
        <w:ind w:left="426" w:hanging="426"/>
        <w:jc w:val="left"/>
        <w:rPr>
          <w:rFonts w:ascii="Calibri" w:hAnsi="Calibri"/>
          <w:lang w:val="fr-FR"/>
        </w:rPr>
      </w:pPr>
      <w:r w:rsidRPr="007260D4">
        <w:rPr>
          <w:rFonts w:ascii="Calibri" w:hAnsi="Calibri" w:cs="Calibri"/>
          <w:bCs/>
          <w:lang w:val="fr-FR"/>
        </w:rPr>
        <w:t>DEMANDE au</w:t>
      </w:r>
      <w:r w:rsidR="00D250A2" w:rsidRPr="007260D4">
        <w:rPr>
          <w:rFonts w:ascii="Calibri" w:hAnsi="Calibri" w:cs="Calibri"/>
          <w:bCs/>
          <w:lang w:val="fr-FR"/>
        </w:rPr>
        <w:t xml:space="preserve"> Secrétariat </w:t>
      </w:r>
      <w:r w:rsidRPr="007260D4">
        <w:rPr>
          <w:rFonts w:ascii="Calibri" w:hAnsi="Calibri" w:cs="Calibri"/>
          <w:bCs/>
          <w:lang w:val="fr-FR"/>
        </w:rPr>
        <w:t>de</w:t>
      </w:r>
      <w:r w:rsidR="00D250A2" w:rsidRPr="007260D4">
        <w:rPr>
          <w:rFonts w:ascii="Calibri" w:hAnsi="Calibri" w:cs="Calibri"/>
          <w:bCs/>
          <w:lang w:val="fr-FR"/>
        </w:rPr>
        <w:t xml:space="preserve"> poursuivre ses travaux avec le Groupe de liaison </w:t>
      </w:r>
      <w:r w:rsidR="00B86B95" w:rsidRPr="007260D4">
        <w:rPr>
          <w:rFonts w:ascii="Calibri" w:hAnsi="Calibri" w:cs="Calibri"/>
          <w:bCs/>
          <w:lang w:val="fr-FR"/>
        </w:rPr>
        <w:t>sur</w:t>
      </w:r>
      <w:r w:rsidR="00D250A2" w:rsidRPr="007260D4">
        <w:rPr>
          <w:rFonts w:ascii="Calibri" w:hAnsi="Calibri" w:cs="Calibri"/>
          <w:bCs/>
          <w:lang w:val="fr-FR"/>
        </w:rPr>
        <w:t xml:space="preserve"> la biodiversité pour renforcer la cohérence et la coopération</w:t>
      </w:r>
      <w:r w:rsidR="00B86B95" w:rsidRPr="007260D4">
        <w:rPr>
          <w:rFonts w:ascii="Calibri" w:hAnsi="Calibri" w:cs="Calibri"/>
          <w:bCs/>
          <w:lang w:val="fr-FR"/>
        </w:rPr>
        <w:t>,</w:t>
      </w:r>
      <w:r w:rsidR="00D250A2" w:rsidRPr="007260D4">
        <w:rPr>
          <w:rFonts w:ascii="Calibri" w:hAnsi="Calibri" w:cs="Calibri"/>
          <w:bCs/>
          <w:lang w:val="fr-FR"/>
        </w:rPr>
        <w:t xml:space="preserve"> poursuivre les efforts d’amélioration de l’efficacité et réduire le recouvrement et le dédoublement inutiles à tous les niveaux pertinents entre les conventions relatives à la biodiversité, </w:t>
      </w:r>
      <w:r w:rsidR="002725F8" w:rsidRPr="007260D4">
        <w:rPr>
          <w:rFonts w:ascii="Calibri" w:hAnsi="Calibri" w:cs="Calibri"/>
          <w:bCs/>
          <w:lang w:val="fr-FR"/>
        </w:rPr>
        <w:t xml:space="preserve">et </w:t>
      </w:r>
      <w:r w:rsidR="00D250A2" w:rsidRPr="007260D4">
        <w:rPr>
          <w:rFonts w:ascii="Calibri" w:hAnsi="Calibri" w:cs="Calibri"/>
          <w:bCs/>
          <w:lang w:val="fr-FR"/>
        </w:rPr>
        <w:t>notamment :</w:t>
      </w:r>
    </w:p>
    <w:p w:rsidR="003C072A" w:rsidRPr="007260D4" w:rsidRDefault="003C072A" w:rsidP="003C072A">
      <w:pPr>
        <w:pStyle w:val="ListParagraph"/>
        <w:autoSpaceDE w:val="0"/>
        <w:autoSpaceDN w:val="0"/>
        <w:adjustRightInd w:val="0"/>
        <w:ind w:left="426"/>
        <w:jc w:val="left"/>
        <w:rPr>
          <w:rFonts w:ascii="Calibri" w:hAnsi="Calibri" w:cs="Calibri"/>
          <w:bCs/>
          <w:lang w:val="fr-FR"/>
        </w:rPr>
      </w:pPr>
    </w:p>
    <w:p w:rsidR="003C072A" w:rsidRPr="007260D4" w:rsidRDefault="00B86B95" w:rsidP="003C072A">
      <w:pPr>
        <w:pStyle w:val="ListParagraph"/>
        <w:numPr>
          <w:ilvl w:val="0"/>
          <w:numId w:val="24"/>
        </w:numPr>
        <w:autoSpaceDE w:val="0"/>
        <w:autoSpaceDN w:val="0"/>
        <w:adjustRightInd w:val="0"/>
        <w:ind w:left="900" w:hanging="450"/>
        <w:jc w:val="left"/>
        <w:rPr>
          <w:rFonts w:ascii="Calibri" w:hAnsi="Calibri"/>
          <w:lang w:val="fr-FR"/>
        </w:rPr>
      </w:pPr>
      <w:r w:rsidRPr="007260D4">
        <w:rPr>
          <w:rFonts w:ascii="Calibri" w:hAnsi="Calibri"/>
          <w:lang w:val="fr-FR"/>
        </w:rPr>
        <w:t>r</w:t>
      </w:r>
      <w:r w:rsidR="00FA7C55" w:rsidRPr="007260D4">
        <w:rPr>
          <w:rFonts w:ascii="Calibri" w:hAnsi="Calibri"/>
          <w:lang w:val="fr-FR"/>
        </w:rPr>
        <w:t xml:space="preserve">enforcer la coopération, la coordination et l’attention accordées aux synergies </w:t>
      </w:r>
      <w:r w:rsidRPr="007260D4">
        <w:rPr>
          <w:rFonts w:ascii="Calibri" w:hAnsi="Calibri"/>
          <w:lang w:val="fr-FR"/>
        </w:rPr>
        <w:t xml:space="preserve">pour </w:t>
      </w:r>
      <w:r w:rsidR="002725F8" w:rsidRPr="007260D4">
        <w:rPr>
          <w:rFonts w:ascii="Calibri" w:hAnsi="Calibri"/>
          <w:lang w:val="fr-FR"/>
        </w:rPr>
        <w:t>l’exploration</w:t>
      </w:r>
      <w:r w:rsidR="00FA7C55" w:rsidRPr="007260D4">
        <w:rPr>
          <w:rFonts w:ascii="Calibri" w:hAnsi="Calibri"/>
          <w:lang w:val="fr-FR"/>
        </w:rPr>
        <w:t xml:space="preserve"> de systèmes d’établissement des rapports, y compris de futurs systèmes d’établissement des rapports</w:t>
      </w:r>
      <w:r w:rsidR="00A864FD">
        <w:rPr>
          <w:rFonts w:ascii="Calibri" w:hAnsi="Calibri"/>
          <w:lang w:val="fr-FR"/>
        </w:rPr>
        <w:t xml:space="preserve"> et d’indicateurs</w:t>
      </w:r>
      <w:r w:rsidR="00FA7C55" w:rsidRPr="007260D4">
        <w:rPr>
          <w:rFonts w:ascii="Calibri" w:hAnsi="Calibri"/>
          <w:lang w:val="fr-FR"/>
        </w:rPr>
        <w:t xml:space="preserve"> en ligne, comme moyen d’améliorer la </w:t>
      </w:r>
      <w:r w:rsidR="00FA7C55" w:rsidRPr="007260D4">
        <w:rPr>
          <w:rFonts w:ascii="Calibri" w:hAnsi="Calibri"/>
          <w:lang w:val="fr-FR"/>
        </w:rPr>
        <w:lastRenderedPageBreak/>
        <w:t xml:space="preserve">synergie en matière d’établissement des rapports nationaux </w:t>
      </w:r>
      <w:r w:rsidRPr="007260D4">
        <w:rPr>
          <w:rFonts w:ascii="Calibri" w:hAnsi="Calibri"/>
          <w:lang w:val="fr-FR"/>
        </w:rPr>
        <w:t>aux</w:t>
      </w:r>
      <w:r w:rsidR="00FA7C55" w:rsidRPr="007260D4">
        <w:rPr>
          <w:rFonts w:ascii="Calibri" w:hAnsi="Calibri"/>
          <w:lang w:val="fr-FR"/>
        </w:rPr>
        <w:t xml:space="preserve"> conventions relatives à la biodiversité;</w:t>
      </w:r>
    </w:p>
    <w:p w:rsidR="003C072A" w:rsidRPr="007260D4" w:rsidRDefault="00B86B95" w:rsidP="003C072A">
      <w:pPr>
        <w:pStyle w:val="ListParagraph"/>
        <w:numPr>
          <w:ilvl w:val="0"/>
          <w:numId w:val="24"/>
        </w:numPr>
        <w:autoSpaceDE w:val="0"/>
        <w:autoSpaceDN w:val="0"/>
        <w:adjustRightInd w:val="0"/>
        <w:ind w:left="900" w:hanging="450"/>
        <w:jc w:val="left"/>
        <w:rPr>
          <w:rFonts w:ascii="Calibri" w:hAnsi="Calibri"/>
          <w:lang w:val="fr-FR"/>
        </w:rPr>
      </w:pPr>
      <w:r w:rsidRPr="007260D4">
        <w:rPr>
          <w:rFonts w:ascii="Calibri" w:hAnsi="Calibri"/>
          <w:lang w:val="fr-FR"/>
        </w:rPr>
        <w:t>e</w:t>
      </w:r>
      <w:r w:rsidR="00FA7C55" w:rsidRPr="007260D4">
        <w:rPr>
          <w:rFonts w:ascii="Calibri" w:hAnsi="Calibri"/>
          <w:lang w:val="fr-FR"/>
        </w:rPr>
        <w:t>nvisager des moyens de renforcer la coopération en matière de stratégies d’</w:t>
      </w:r>
      <w:r w:rsidR="002725F8" w:rsidRPr="007260D4">
        <w:rPr>
          <w:rFonts w:ascii="Calibri" w:hAnsi="Calibri"/>
          <w:lang w:val="fr-FR"/>
        </w:rPr>
        <w:t>information et de communication</w:t>
      </w:r>
      <w:r w:rsidR="00FA7C55" w:rsidRPr="007260D4">
        <w:rPr>
          <w:rFonts w:ascii="Calibri" w:hAnsi="Calibri"/>
          <w:lang w:val="fr-FR"/>
        </w:rPr>
        <w:t>;</w:t>
      </w:r>
    </w:p>
    <w:p w:rsidR="00FA7C55" w:rsidRPr="007260D4" w:rsidRDefault="002725F8" w:rsidP="003C072A">
      <w:pPr>
        <w:pStyle w:val="ListParagraph"/>
        <w:numPr>
          <w:ilvl w:val="0"/>
          <w:numId w:val="24"/>
        </w:numPr>
        <w:autoSpaceDE w:val="0"/>
        <w:autoSpaceDN w:val="0"/>
        <w:adjustRightInd w:val="0"/>
        <w:ind w:left="900" w:hanging="450"/>
        <w:jc w:val="left"/>
        <w:rPr>
          <w:rFonts w:ascii="Calibri" w:hAnsi="Calibri"/>
          <w:lang w:val="fr-FR"/>
        </w:rPr>
      </w:pPr>
      <w:r w:rsidRPr="007260D4">
        <w:rPr>
          <w:rFonts w:ascii="Calibri" w:hAnsi="Calibri"/>
          <w:lang w:val="fr-FR"/>
        </w:rPr>
        <w:t xml:space="preserve">définir des possibilités de renforcer la coopération </w:t>
      </w:r>
      <w:r w:rsidR="000D6C2E" w:rsidRPr="007260D4">
        <w:rPr>
          <w:rFonts w:ascii="Calibri" w:hAnsi="Calibri" w:cs="Palatino Linotype"/>
          <w:color w:val="221E1F"/>
          <w:lang w:val="fr-FR"/>
        </w:rPr>
        <w:t>pour les travaux relatifs à des questions intersectorielles</w:t>
      </w:r>
      <w:r w:rsidRPr="007260D4">
        <w:rPr>
          <w:rFonts w:ascii="Calibri" w:hAnsi="Calibri"/>
          <w:lang w:val="fr-FR"/>
        </w:rPr>
        <w:t>.</w:t>
      </w:r>
    </w:p>
    <w:p w:rsidR="000D6C2E" w:rsidRPr="007260D4" w:rsidRDefault="000D6C2E" w:rsidP="000D6C2E">
      <w:pPr>
        <w:pStyle w:val="ListParagraph"/>
        <w:autoSpaceDE w:val="0"/>
        <w:autoSpaceDN w:val="0"/>
        <w:adjustRightInd w:val="0"/>
        <w:ind w:left="426"/>
        <w:jc w:val="left"/>
        <w:rPr>
          <w:rFonts w:ascii="Calibri" w:hAnsi="Calibri"/>
          <w:lang w:val="fr-FR"/>
        </w:rPr>
      </w:pPr>
    </w:p>
    <w:p w:rsidR="00DF4A75" w:rsidRPr="007260D4" w:rsidRDefault="00DF4A75" w:rsidP="000D6C2E">
      <w:pPr>
        <w:pStyle w:val="ListParagraph"/>
        <w:numPr>
          <w:ilvl w:val="0"/>
          <w:numId w:val="7"/>
        </w:numPr>
        <w:autoSpaceDE w:val="0"/>
        <w:autoSpaceDN w:val="0"/>
        <w:adjustRightInd w:val="0"/>
        <w:ind w:left="426" w:hanging="426"/>
        <w:jc w:val="left"/>
        <w:rPr>
          <w:rFonts w:ascii="Calibri" w:hAnsi="Calibri"/>
          <w:lang w:val="fr-FR"/>
        </w:rPr>
      </w:pPr>
      <w:r w:rsidRPr="007260D4">
        <w:rPr>
          <w:rFonts w:ascii="Calibri" w:hAnsi="Calibri" w:cs="Calibri"/>
          <w:bCs/>
          <w:lang w:val="fr-FR"/>
        </w:rPr>
        <w:t xml:space="preserve">DEMANDE </w:t>
      </w:r>
      <w:r w:rsidR="000347EA" w:rsidRPr="007260D4">
        <w:rPr>
          <w:rFonts w:ascii="Calibri" w:hAnsi="Calibri" w:cs="Calibri"/>
          <w:bCs/>
          <w:lang w:val="fr-FR"/>
        </w:rPr>
        <w:t>au</w:t>
      </w:r>
      <w:r w:rsidRPr="007260D4">
        <w:rPr>
          <w:rFonts w:ascii="Calibri" w:hAnsi="Calibri" w:cs="Calibri"/>
          <w:bCs/>
          <w:lang w:val="fr-FR"/>
        </w:rPr>
        <w:t xml:space="preserve"> Secrétariat </w:t>
      </w:r>
      <w:r w:rsidR="000347EA" w:rsidRPr="007260D4">
        <w:rPr>
          <w:rFonts w:ascii="Calibri" w:hAnsi="Calibri" w:cs="Calibri"/>
          <w:bCs/>
          <w:lang w:val="fr-FR"/>
        </w:rPr>
        <w:t xml:space="preserve">de collaborer avec </w:t>
      </w:r>
      <w:r w:rsidRPr="007260D4">
        <w:rPr>
          <w:rFonts w:ascii="Calibri" w:hAnsi="Calibri" w:cs="Calibri"/>
          <w:bCs/>
          <w:lang w:val="fr-FR"/>
        </w:rPr>
        <w:t xml:space="preserve">le PNUE à l’application de leur protocole </w:t>
      </w:r>
      <w:r w:rsidR="002725F8" w:rsidRPr="007260D4">
        <w:rPr>
          <w:rFonts w:ascii="Calibri" w:hAnsi="Calibri" w:cs="Calibri"/>
          <w:bCs/>
          <w:lang w:val="fr-FR"/>
        </w:rPr>
        <w:t>de coopération</w:t>
      </w:r>
      <w:r w:rsidRPr="007260D4">
        <w:rPr>
          <w:rFonts w:ascii="Calibri" w:hAnsi="Calibri" w:cs="Calibri"/>
          <w:bCs/>
          <w:lang w:val="fr-FR"/>
        </w:rPr>
        <w:t xml:space="preserve"> et </w:t>
      </w:r>
      <w:r w:rsidR="000347EA" w:rsidRPr="007260D4">
        <w:rPr>
          <w:rFonts w:ascii="Calibri" w:hAnsi="Calibri" w:cs="Calibri"/>
          <w:bCs/>
          <w:lang w:val="fr-FR"/>
        </w:rPr>
        <w:t xml:space="preserve">de faire </w:t>
      </w:r>
      <w:r w:rsidRPr="007260D4">
        <w:rPr>
          <w:rFonts w:ascii="Calibri" w:hAnsi="Calibri" w:cs="Calibri"/>
          <w:bCs/>
          <w:lang w:val="fr-FR"/>
        </w:rPr>
        <w:t>rapport au Comité permanent sur les progrès des activités concernées.</w:t>
      </w:r>
    </w:p>
    <w:p w:rsidR="000D6C2E" w:rsidRPr="007260D4" w:rsidRDefault="000D6C2E" w:rsidP="000D6C2E">
      <w:pPr>
        <w:pStyle w:val="ListParagraph"/>
        <w:autoSpaceDE w:val="0"/>
        <w:autoSpaceDN w:val="0"/>
        <w:adjustRightInd w:val="0"/>
        <w:ind w:left="426"/>
        <w:jc w:val="left"/>
        <w:rPr>
          <w:rFonts w:ascii="Calibri" w:hAnsi="Calibri"/>
          <w:lang w:val="fr-FR"/>
        </w:rPr>
      </w:pPr>
    </w:p>
    <w:p w:rsidR="003C072A" w:rsidRPr="007260D4" w:rsidRDefault="000D6C2E" w:rsidP="003C072A">
      <w:pPr>
        <w:pStyle w:val="ListParagraph"/>
        <w:numPr>
          <w:ilvl w:val="0"/>
          <w:numId w:val="7"/>
        </w:numPr>
        <w:autoSpaceDE w:val="0"/>
        <w:autoSpaceDN w:val="0"/>
        <w:adjustRightInd w:val="0"/>
        <w:ind w:left="450" w:hanging="450"/>
        <w:jc w:val="left"/>
        <w:rPr>
          <w:rFonts w:ascii="Calibri" w:hAnsi="Calibri"/>
          <w:lang w:val="fr-FR"/>
        </w:rPr>
      </w:pPr>
      <w:r w:rsidRPr="007260D4">
        <w:rPr>
          <w:rFonts w:ascii="Calibri" w:hAnsi="Calibri" w:cs="Calibri"/>
          <w:bCs/>
          <w:lang w:val="fr-FR"/>
        </w:rPr>
        <w:t>DEMANDE au Secrétariat et au Comité permanent de faciliter la sélection des représentants qui participeront aux ateliers dirigés par l</w:t>
      </w:r>
      <w:r w:rsidR="00A864FD">
        <w:rPr>
          <w:rFonts w:ascii="Calibri" w:hAnsi="Calibri" w:cs="Calibri"/>
          <w:bCs/>
          <w:lang w:val="fr-FR"/>
        </w:rPr>
        <w:t>a</w:t>
      </w:r>
      <w:r w:rsidRPr="007260D4">
        <w:rPr>
          <w:rFonts w:ascii="Calibri" w:hAnsi="Calibri" w:cs="Calibri"/>
          <w:bCs/>
          <w:lang w:val="fr-FR"/>
        </w:rPr>
        <w:t xml:space="preserve"> Convention</w:t>
      </w:r>
      <w:r w:rsidR="00A864FD">
        <w:rPr>
          <w:rFonts w:ascii="Calibri" w:hAnsi="Calibri" w:cs="Calibri"/>
          <w:bCs/>
          <w:lang w:val="fr-FR"/>
        </w:rPr>
        <w:t xml:space="preserve"> sur la diversité biologique (CDB)</w:t>
      </w:r>
      <w:r w:rsidRPr="007260D4">
        <w:rPr>
          <w:rFonts w:ascii="Calibri" w:hAnsi="Calibri" w:cs="Calibri"/>
          <w:bCs/>
          <w:lang w:val="fr-FR"/>
        </w:rPr>
        <w:t xml:space="preserve"> pour explorer les synergies entre les conventions</w:t>
      </w:r>
      <w:r w:rsidR="000347EA" w:rsidRPr="007260D4">
        <w:rPr>
          <w:rFonts w:ascii="Calibri" w:hAnsi="Calibri" w:cs="Calibri"/>
          <w:bCs/>
          <w:lang w:val="fr-FR"/>
        </w:rPr>
        <w:t>.</w:t>
      </w:r>
    </w:p>
    <w:p w:rsidR="003C072A" w:rsidRPr="007260D4" w:rsidRDefault="003C072A" w:rsidP="003C072A">
      <w:pPr>
        <w:pStyle w:val="ListParagraph"/>
        <w:autoSpaceDE w:val="0"/>
        <w:autoSpaceDN w:val="0"/>
        <w:adjustRightInd w:val="0"/>
        <w:ind w:left="450"/>
        <w:jc w:val="left"/>
        <w:rPr>
          <w:rFonts w:ascii="Calibri" w:hAnsi="Calibri"/>
          <w:lang w:val="fr-FR"/>
        </w:rPr>
      </w:pPr>
    </w:p>
    <w:p w:rsidR="00004387" w:rsidRPr="007260D4" w:rsidRDefault="003C072A" w:rsidP="003C072A">
      <w:pPr>
        <w:pStyle w:val="ListParagraph"/>
        <w:numPr>
          <w:ilvl w:val="0"/>
          <w:numId w:val="7"/>
        </w:numPr>
        <w:autoSpaceDE w:val="0"/>
        <w:autoSpaceDN w:val="0"/>
        <w:adjustRightInd w:val="0"/>
        <w:ind w:left="450" w:hanging="450"/>
        <w:jc w:val="left"/>
        <w:rPr>
          <w:rFonts w:ascii="Calibri" w:hAnsi="Calibri"/>
          <w:lang w:val="fr-FR"/>
        </w:rPr>
      </w:pPr>
      <w:r w:rsidRPr="007260D4">
        <w:rPr>
          <w:rFonts w:ascii="Calibri" w:hAnsi="Calibri" w:cs="Palatino Linotype"/>
          <w:color w:val="221E1F"/>
          <w:lang w:val="fr-FR"/>
        </w:rPr>
        <w:t xml:space="preserve">DEMANDE </w:t>
      </w:r>
      <w:r w:rsidR="00A40670" w:rsidRPr="007260D4">
        <w:rPr>
          <w:rFonts w:ascii="Calibri" w:hAnsi="Calibri" w:cs="Palatino Linotype"/>
          <w:color w:val="221E1F"/>
          <w:lang w:val="fr-FR"/>
        </w:rPr>
        <w:t xml:space="preserve">au Secrétariat, dans le cadre du Plan de travail conjoint entre la CDB et la Convention de Ramsar, de continuer de collaborer afin de promouvoir la sensibilisation aux solutions de gestion de l’eau fondées sur les </w:t>
      </w:r>
      <w:r w:rsidRPr="007260D4">
        <w:rPr>
          <w:rFonts w:ascii="Calibri" w:hAnsi="Calibri" w:cs="Palatino Linotype"/>
          <w:color w:val="221E1F"/>
          <w:lang w:val="fr-FR"/>
        </w:rPr>
        <w:t>écosystèmes et</w:t>
      </w:r>
      <w:r w:rsidR="00A40670" w:rsidRPr="007260D4">
        <w:rPr>
          <w:rFonts w:ascii="Calibri" w:hAnsi="Calibri" w:cs="Palatino Linotype"/>
          <w:color w:val="221E1F"/>
          <w:lang w:val="fr-FR"/>
        </w:rPr>
        <w:t xml:space="preserve"> </w:t>
      </w:r>
      <w:r w:rsidR="00004387" w:rsidRPr="007260D4">
        <w:rPr>
          <w:rFonts w:ascii="Calibri" w:hAnsi="Calibri" w:cs="Palatino Linotype"/>
          <w:color w:val="221E1F"/>
          <w:lang w:val="fr-FR"/>
        </w:rPr>
        <w:t>le</w:t>
      </w:r>
      <w:r w:rsidR="00A40670" w:rsidRPr="007260D4">
        <w:rPr>
          <w:rFonts w:ascii="Calibri" w:hAnsi="Calibri" w:cs="Palatino Linotype"/>
          <w:color w:val="221E1F"/>
          <w:lang w:val="fr-FR"/>
        </w:rPr>
        <w:t xml:space="preserve"> renforcement des capacités à cet effet, </w:t>
      </w:r>
      <w:r w:rsidR="00004387" w:rsidRPr="007260D4">
        <w:rPr>
          <w:rFonts w:ascii="Calibri" w:hAnsi="Calibri" w:cs="Palatino Linotype"/>
          <w:color w:val="221E1F"/>
          <w:lang w:val="fr-FR"/>
        </w:rPr>
        <w:t xml:space="preserve">pour contribuer au développement durable, conformément à la </w:t>
      </w:r>
      <w:r w:rsidR="00800F5C">
        <w:rPr>
          <w:rFonts w:ascii="Calibri" w:hAnsi="Calibri" w:cs="Palatino Linotype"/>
          <w:color w:val="221E1F"/>
          <w:lang w:val="fr-FR"/>
        </w:rPr>
        <w:t>d</w:t>
      </w:r>
      <w:r w:rsidR="00004387" w:rsidRPr="007260D4">
        <w:rPr>
          <w:rFonts w:ascii="Calibri" w:hAnsi="Calibri" w:cs="Palatino Linotype"/>
          <w:color w:val="221E1F"/>
          <w:lang w:val="fr-FR"/>
        </w:rPr>
        <w:t>écision XI/23 de la CDB</w:t>
      </w:r>
      <w:r w:rsidR="00800F5C">
        <w:rPr>
          <w:rFonts w:ascii="Calibri" w:hAnsi="Calibri" w:cs="Palatino Linotype"/>
          <w:color w:val="221E1F"/>
          <w:lang w:val="fr-FR"/>
        </w:rPr>
        <w:t>,</w:t>
      </w:r>
      <w:r w:rsidR="003E38AC" w:rsidRPr="007260D4">
        <w:rPr>
          <w:rFonts w:ascii="Calibri" w:hAnsi="Calibri" w:cs="Palatino Linotype"/>
          <w:color w:val="221E1F"/>
          <w:lang w:val="fr-FR"/>
        </w:rPr>
        <w:t xml:space="preserve"> et </w:t>
      </w:r>
      <w:r w:rsidR="00800F5C">
        <w:rPr>
          <w:rFonts w:ascii="Calibri" w:hAnsi="Calibri" w:cs="Palatino Linotype"/>
          <w:color w:val="221E1F"/>
          <w:lang w:val="fr-FR"/>
        </w:rPr>
        <w:t>d’</w:t>
      </w:r>
      <w:r w:rsidR="003E38AC" w:rsidRPr="007260D4">
        <w:rPr>
          <w:rFonts w:ascii="Calibri" w:hAnsi="Calibri" w:cs="Palatino Linotype"/>
          <w:color w:val="221E1F"/>
          <w:lang w:val="fr-FR"/>
        </w:rPr>
        <w:t>envisage</w:t>
      </w:r>
      <w:r w:rsidR="00800F5C">
        <w:rPr>
          <w:rFonts w:ascii="Calibri" w:hAnsi="Calibri" w:cs="Palatino Linotype"/>
          <w:color w:val="221E1F"/>
          <w:lang w:val="fr-FR"/>
        </w:rPr>
        <w:t>r</w:t>
      </w:r>
      <w:r w:rsidR="003E38AC" w:rsidRPr="007260D4">
        <w:rPr>
          <w:rFonts w:ascii="Calibri" w:hAnsi="Calibri" w:cs="Palatino Linotype"/>
          <w:color w:val="221E1F"/>
          <w:lang w:val="fr-FR"/>
        </w:rPr>
        <w:t xml:space="preserve"> de soutenir l’organisation d’une activité parallèle sur la Convention de Ramsar à la prochaine COP de la CDB</w:t>
      </w:r>
      <w:r w:rsidR="00004387" w:rsidRPr="007260D4">
        <w:rPr>
          <w:rFonts w:ascii="Calibri" w:hAnsi="Calibri" w:cs="Palatino Linotype"/>
          <w:color w:val="221E1F"/>
          <w:lang w:val="fr-FR"/>
        </w:rPr>
        <w:t>.</w:t>
      </w:r>
    </w:p>
    <w:p w:rsidR="000347EA" w:rsidRPr="007260D4" w:rsidRDefault="00004387" w:rsidP="0037419D">
      <w:pPr>
        <w:pStyle w:val="Default"/>
        <w:ind w:left="426"/>
        <w:rPr>
          <w:rFonts w:ascii="Calibri" w:hAnsi="Calibri" w:cs="Palatino Linotype"/>
          <w:color w:val="221E1F"/>
          <w:sz w:val="22"/>
          <w:szCs w:val="22"/>
          <w:lang w:val="fr-FR"/>
        </w:rPr>
      </w:pPr>
      <w:r w:rsidRPr="007260D4">
        <w:rPr>
          <w:rFonts w:ascii="Calibri" w:hAnsi="Calibri" w:cs="Palatino Linotype"/>
          <w:color w:val="221E1F"/>
          <w:sz w:val="22"/>
          <w:szCs w:val="22"/>
          <w:lang w:val="fr-FR"/>
        </w:rPr>
        <w:t xml:space="preserve"> </w:t>
      </w:r>
    </w:p>
    <w:p w:rsidR="003E38AC" w:rsidRPr="007260D4" w:rsidRDefault="003E38AC" w:rsidP="00F13DE2">
      <w:pPr>
        <w:pStyle w:val="Default"/>
        <w:numPr>
          <w:ilvl w:val="0"/>
          <w:numId w:val="7"/>
        </w:numPr>
        <w:ind w:left="426" w:hanging="426"/>
        <w:rPr>
          <w:rFonts w:ascii="Calibri" w:hAnsi="Calibri" w:cs="Palatino Linotype"/>
          <w:color w:val="221E1F"/>
          <w:sz w:val="22"/>
          <w:szCs w:val="22"/>
          <w:lang w:val="fr-FR"/>
        </w:rPr>
      </w:pPr>
      <w:r w:rsidRPr="007260D4">
        <w:rPr>
          <w:rFonts w:ascii="Calibri" w:hAnsi="Calibri" w:cs="Palatino Linotype"/>
          <w:color w:val="221E1F"/>
          <w:sz w:val="22"/>
          <w:szCs w:val="22"/>
          <w:lang w:val="fr-FR"/>
        </w:rPr>
        <w:t xml:space="preserve">DEMANDE au Secrétariat et au GEST de poursuivre la coopération avec l’IPBES tant du point de vue des demandes de Ramsar à l’IPBES que de l’utilisation des résultats de l’IPBES dans les travaux de la Convention. </w:t>
      </w:r>
    </w:p>
    <w:p w:rsidR="003E38AC" w:rsidRPr="007260D4" w:rsidRDefault="003E38AC" w:rsidP="00533BAA">
      <w:pPr>
        <w:pStyle w:val="Default"/>
        <w:rPr>
          <w:rFonts w:ascii="Calibri" w:hAnsi="Calibri" w:cs="Palatino Linotype"/>
          <w:color w:val="221E1F"/>
          <w:sz w:val="22"/>
          <w:szCs w:val="22"/>
          <w:lang w:val="fr-FR"/>
        </w:rPr>
      </w:pPr>
    </w:p>
    <w:p w:rsidR="003E38AC" w:rsidRPr="007260D4" w:rsidRDefault="003E38AC" w:rsidP="00F13DE2">
      <w:pPr>
        <w:pStyle w:val="Default"/>
        <w:numPr>
          <w:ilvl w:val="0"/>
          <w:numId w:val="7"/>
        </w:numPr>
        <w:ind w:left="426" w:hanging="426"/>
        <w:rPr>
          <w:rFonts w:ascii="Calibri" w:hAnsi="Calibri" w:cs="Palatino Linotype"/>
          <w:color w:val="221E1F"/>
          <w:sz w:val="22"/>
          <w:szCs w:val="22"/>
          <w:lang w:val="fr-FR"/>
        </w:rPr>
      </w:pPr>
      <w:r w:rsidRPr="007260D4">
        <w:rPr>
          <w:rFonts w:ascii="Calibri" w:hAnsi="Calibri" w:cs="Palatino Linotype"/>
          <w:color w:val="221E1F"/>
          <w:sz w:val="22"/>
          <w:szCs w:val="22"/>
          <w:lang w:val="fr-FR"/>
        </w:rPr>
        <w:t>DEMANDE au GEST, avec l’aide du Secrétariat, d’établir des lignes directrices pour la formulation, l’approbation et la communication des demandes de Ramsar à l’IPBES, et de les soumettre à la prochaine session de la Conférence des Parties pour adoption, comme demandé dans la Résolution XI.6 de la COP11.</w:t>
      </w:r>
    </w:p>
    <w:p w:rsidR="003E38AC" w:rsidRPr="007260D4" w:rsidRDefault="003E38AC" w:rsidP="00533BAA">
      <w:pPr>
        <w:pStyle w:val="Default"/>
        <w:rPr>
          <w:rFonts w:ascii="Calibri" w:hAnsi="Calibri" w:cs="Palatino Linotype"/>
          <w:color w:val="221E1F"/>
          <w:sz w:val="22"/>
          <w:szCs w:val="22"/>
          <w:lang w:val="fr-FR"/>
        </w:rPr>
      </w:pPr>
    </w:p>
    <w:p w:rsidR="000347EA" w:rsidRPr="007260D4" w:rsidRDefault="00DF4A75" w:rsidP="00F13DE2">
      <w:pPr>
        <w:pStyle w:val="Default"/>
        <w:numPr>
          <w:ilvl w:val="0"/>
          <w:numId w:val="7"/>
        </w:numPr>
        <w:ind w:left="426" w:hanging="426"/>
        <w:rPr>
          <w:rFonts w:ascii="Calibri" w:hAnsi="Calibri" w:cs="Palatino Linotype"/>
          <w:color w:val="221E1F"/>
          <w:sz w:val="22"/>
          <w:szCs w:val="22"/>
          <w:lang w:val="fr-FR"/>
        </w:rPr>
      </w:pPr>
      <w:r w:rsidRPr="007260D4">
        <w:rPr>
          <w:rFonts w:ascii="Calibri" w:hAnsi="Calibri" w:cs="Calibri"/>
          <w:bCs/>
          <w:sz w:val="22"/>
          <w:szCs w:val="22"/>
          <w:lang w:val="fr-FR"/>
        </w:rPr>
        <w:t xml:space="preserve">APPELLE les Parties contractantes à mettre en œuvre le </w:t>
      </w:r>
      <w:r w:rsidRPr="007260D4">
        <w:rPr>
          <w:rFonts w:ascii="Calibri" w:hAnsi="Calibri" w:cs="Palatino Linotype"/>
          <w:i/>
          <w:iCs/>
          <w:color w:val="221E1F"/>
          <w:sz w:val="22"/>
          <w:szCs w:val="22"/>
          <w:lang w:val="fr-FR"/>
        </w:rPr>
        <w:t xml:space="preserve">Cadre conceptuel pour l’utilisation rationnelle des zones humides </w:t>
      </w:r>
      <w:r w:rsidRPr="007260D4">
        <w:rPr>
          <w:rFonts w:ascii="Calibri" w:hAnsi="Calibri" w:cs="Palatino Linotype"/>
          <w:color w:val="221E1F"/>
          <w:sz w:val="22"/>
          <w:szCs w:val="22"/>
          <w:lang w:val="fr-FR"/>
        </w:rPr>
        <w:t>(</w:t>
      </w:r>
      <w:r w:rsidR="00004387" w:rsidRPr="007260D4">
        <w:rPr>
          <w:rFonts w:ascii="Calibri" w:hAnsi="Calibri" w:cs="Palatino Linotype"/>
          <w:color w:val="221E1F"/>
          <w:sz w:val="22"/>
          <w:szCs w:val="22"/>
          <w:lang w:val="fr-FR"/>
        </w:rPr>
        <w:t xml:space="preserve">annexe A de la </w:t>
      </w:r>
      <w:r w:rsidRPr="007260D4">
        <w:rPr>
          <w:rFonts w:ascii="Calibri" w:hAnsi="Calibri" w:cs="Palatino Linotype"/>
          <w:color w:val="221E1F"/>
          <w:sz w:val="22"/>
          <w:szCs w:val="22"/>
          <w:lang w:val="fr-FR"/>
        </w:rPr>
        <w:t>Résolution IX.1)</w:t>
      </w:r>
      <w:r w:rsidR="008C405D" w:rsidRPr="007260D4">
        <w:rPr>
          <w:rFonts w:ascii="Calibri" w:hAnsi="Calibri" w:cs="Palatino Linotype"/>
          <w:color w:val="221E1F"/>
          <w:sz w:val="22"/>
          <w:szCs w:val="22"/>
          <w:lang w:val="fr-FR"/>
        </w:rPr>
        <w:t>,</w:t>
      </w:r>
      <w:r w:rsidRPr="007260D4">
        <w:rPr>
          <w:rFonts w:ascii="Calibri" w:hAnsi="Calibri" w:cs="Palatino Linotype"/>
          <w:color w:val="221E1F"/>
          <w:sz w:val="22"/>
          <w:szCs w:val="22"/>
          <w:lang w:val="fr-FR"/>
        </w:rPr>
        <w:t xml:space="preserve"> le </w:t>
      </w:r>
      <w:r w:rsidRPr="007260D4">
        <w:rPr>
          <w:rFonts w:ascii="Calibri" w:hAnsi="Calibri" w:cs="Palatino Linotype"/>
          <w:i/>
          <w:iCs/>
          <w:color w:val="221E1F"/>
          <w:sz w:val="22"/>
          <w:szCs w:val="22"/>
          <w:lang w:val="fr-FR"/>
        </w:rPr>
        <w:t xml:space="preserve">Cadre intégré pour les orientations de la Convention </w:t>
      </w:r>
      <w:r w:rsidR="00F97945" w:rsidRPr="007260D4">
        <w:rPr>
          <w:rFonts w:ascii="Calibri" w:hAnsi="Calibri" w:cs="Palatino Linotype"/>
          <w:i/>
          <w:iCs/>
          <w:color w:val="221E1F"/>
          <w:sz w:val="22"/>
          <w:szCs w:val="22"/>
          <w:lang w:val="fr-FR"/>
        </w:rPr>
        <w:t xml:space="preserve">de Ramsar </w:t>
      </w:r>
      <w:r w:rsidRPr="007260D4">
        <w:rPr>
          <w:rFonts w:ascii="Calibri" w:hAnsi="Calibri" w:cs="Palatino Linotype"/>
          <w:i/>
          <w:iCs/>
          <w:color w:val="221E1F"/>
          <w:sz w:val="22"/>
          <w:szCs w:val="22"/>
          <w:lang w:val="fr-FR"/>
        </w:rPr>
        <w:t>relative</w:t>
      </w:r>
      <w:r w:rsidR="00F97945" w:rsidRPr="007260D4">
        <w:rPr>
          <w:rFonts w:ascii="Calibri" w:hAnsi="Calibri" w:cs="Palatino Linotype"/>
          <w:i/>
          <w:iCs/>
          <w:color w:val="221E1F"/>
          <w:sz w:val="22"/>
          <w:szCs w:val="22"/>
          <w:lang w:val="fr-FR"/>
        </w:rPr>
        <w:t>s</w:t>
      </w:r>
      <w:r w:rsidRPr="007260D4">
        <w:rPr>
          <w:rFonts w:ascii="Calibri" w:hAnsi="Calibri" w:cs="Palatino Linotype"/>
          <w:i/>
          <w:iCs/>
          <w:color w:val="221E1F"/>
          <w:sz w:val="22"/>
          <w:szCs w:val="22"/>
          <w:lang w:val="fr-FR"/>
        </w:rPr>
        <w:t xml:space="preserve"> à l’eau </w:t>
      </w:r>
      <w:r w:rsidRPr="007260D4">
        <w:rPr>
          <w:rFonts w:ascii="Calibri" w:hAnsi="Calibri" w:cs="Palatino Linotype"/>
          <w:color w:val="221E1F"/>
          <w:sz w:val="22"/>
          <w:szCs w:val="22"/>
          <w:lang w:val="fr-FR"/>
        </w:rPr>
        <w:t>(</w:t>
      </w:r>
      <w:r w:rsidR="00004387" w:rsidRPr="007260D4">
        <w:rPr>
          <w:rFonts w:ascii="Calibri" w:hAnsi="Calibri" w:cs="Palatino Linotype"/>
          <w:color w:val="221E1F"/>
          <w:sz w:val="22"/>
          <w:szCs w:val="22"/>
          <w:lang w:val="fr-FR"/>
        </w:rPr>
        <w:t xml:space="preserve">annexe C de la </w:t>
      </w:r>
      <w:r w:rsidRPr="007260D4">
        <w:rPr>
          <w:rFonts w:ascii="Calibri" w:hAnsi="Calibri" w:cs="Palatino Linotype"/>
          <w:color w:val="221E1F"/>
          <w:sz w:val="22"/>
          <w:szCs w:val="22"/>
          <w:lang w:val="fr-FR"/>
        </w:rPr>
        <w:t>Résolution IX.1) et la</w:t>
      </w:r>
      <w:r w:rsidR="008C405D" w:rsidRPr="007260D4">
        <w:rPr>
          <w:rFonts w:ascii="Calibri" w:hAnsi="Calibri" w:cs="Palatino Linotype"/>
          <w:color w:val="221E1F"/>
          <w:sz w:val="22"/>
          <w:szCs w:val="22"/>
          <w:lang w:val="fr-FR"/>
        </w:rPr>
        <w:t xml:space="preserve"> </w:t>
      </w:r>
      <w:r w:rsidRPr="007260D4">
        <w:rPr>
          <w:rFonts w:ascii="Calibri" w:hAnsi="Calibri" w:cs="Palatino Linotype"/>
          <w:color w:val="221E1F"/>
          <w:sz w:val="22"/>
          <w:szCs w:val="22"/>
          <w:lang w:val="fr-FR"/>
        </w:rPr>
        <w:t xml:space="preserve">Résolution XI.21, </w:t>
      </w:r>
      <w:r w:rsidRPr="007260D4">
        <w:rPr>
          <w:rFonts w:ascii="Calibri" w:hAnsi="Calibri" w:cs="Palatino Linotype"/>
          <w:i/>
          <w:color w:val="221E1F"/>
          <w:sz w:val="22"/>
          <w:szCs w:val="22"/>
          <w:lang w:val="fr-FR"/>
        </w:rPr>
        <w:t>Les zones humides et le développement durable</w:t>
      </w:r>
      <w:r w:rsidR="000347EA" w:rsidRPr="007260D4">
        <w:rPr>
          <w:rFonts w:ascii="Calibri" w:hAnsi="Calibri" w:cs="Palatino Linotype"/>
          <w:color w:val="221E1F"/>
          <w:sz w:val="22"/>
          <w:szCs w:val="22"/>
          <w:lang w:val="fr-FR"/>
        </w:rPr>
        <w:t>, et INVITE les partenaires de la Convention et autres acteurs intéressés à soutenir aussi la mise en œuvre de ces Résolutions</w:t>
      </w:r>
      <w:r w:rsidRPr="007260D4">
        <w:rPr>
          <w:rFonts w:ascii="Calibri" w:hAnsi="Calibri" w:cs="Palatino Linotype"/>
          <w:i/>
          <w:color w:val="221E1F"/>
          <w:sz w:val="22"/>
          <w:szCs w:val="22"/>
          <w:lang w:val="fr-FR"/>
        </w:rPr>
        <w:t>.</w:t>
      </w:r>
    </w:p>
    <w:p w:rsidR="00DF4A75" w:rsidRPr="007260D4" w:rsidRDefault="00DF4A75" w:rsidP="0037419D">
      <w:pPr>
        <w:pStyle w:val="Default"/>
        <w:ind w:left="426"/>
        <w:rPr>
          <w:rFonts w:ascii="Calibri" w:hAnsi="Calibri" w:cs="Palatino Linotype"/>
          <w:color w:val="221E1F"/>
          <w:sz w:val="22"/>
          <w:szCs w:val="22"/>
          <w:lang w:val="fr-FR"/>
        </w:rPr>
      </w:pPr>
      <w:r w:rsidRPr="007260D4">
        <w:rPr>
          <w:rFonts w:ascii="Calibri" w:hAnsi="Calibri" w:cs="Palatino Linotype"/>
          <w:i/>
          <w:color w:val="221E1F"/>
          <w:sz w:val="22"/>
          <w:szCs w:val="22"/>
          <w:lang w:val="fr-FR"/>
        </w:rPr>
        <w:t xml:space="preserve"> </w:t>
      </w:r>
    </w:p>
    <w:p w:rsidR="000347EA" w:rsidRPr="007260D4" w:rsidRDefault="003E38AC" w:rsidP="00F13DE2">
      <w:pPr>
        <w:pStyle w:val="Default"/>
        <w:numPr>
          <w:ilvl w:val="0"/>
          <w:numId w:val="7"/>
        </w:numPr>
        <w:ind w:left="426" w:hanging="426"/>
        <w:rPr>
          <w:rFonts w:ascii="Calibri" w:hAnsi="Calibri" w:cs="Palatino Linotype"/>
          <w:color w:val="221E1F"/>
          <w:sz w:val="22"/>
          <w:szCs w:val="22"/>
          <w:lang w:val="fr-FR"/>
        </w:rPr>
      </w:pPr>
      <w:r w:rsidRPr="007260D4">
        <w:rPr>
          <w:rFonts w:ascii="Calibri" w:hAnsi="Calibri" w:cs="Palatino Linotype"/>
          <w:color w:val="221E1F"/>
          <w:sz w:val="22"/>
          <w:szCs w:val="22"/>
          <w:lang w:val="fr-FR"/>
        </w:rPr>
        <w:t>ENCOURAGE les</w:t>
      </w:r>
      <w:r w:rsidR="000347EA" w:rsidRPr="007260D4">
        <w:rPr>
          <w:rFonts w:ascii="Calibri" w:hAnsi="Calibri" w:cs="Palatino Linotype"/>
          <w:color w:val="221E1F"/>
          <w:sz w:val="22"/>
          <w:szCs w:val="22"/>
          <w:lang w:val="fr-FR"/>
        </w:rPr>
        <w:t xml:space="preserve"> Parties contractantes </w:t>
      </w:r>
      <w:r w:rsidRPr="007260D4">
        <w:rPr>
          <w:rFonts w:ascii="Calibri" w:hAnsi="Calibri" w:cs="Palatino Linotype"/>
          <w:color w:val="221E1F"/>
          <w:sz w:val="22"/>
          <w:szCs w:val="22"/>
          <w:lang w:val="fr-FR"/>
        </w:rPr>
        <w:t xml:space="preserve">à </w:t>
      </w:r>
      <w:r w:rsidR="000347EA" w:rsidRPr="007260D4">
        <w:rPr>
          <w:rFonts w:ascii="Calibri" w:hAnsi="Calibri" w:cs="Palatino Linotype"/>
          <w:color w:val="221E1F"/>
          <w:sz w:val="22"/>
          <w:szCs w:val="22"/>
          <w:lang w:val="fr-FR"/>
        </w:rPr>
        <w:t xml:space="preserve">contribuer à la mise en œuvre des </w:t>
      </w:r>
      <w:r w:rsidRPr="007260D4">
        <w:rPr>
          <w:rFonts w:ascii="Calibri" w:hAnsi="Calibri" w:cs="Palatino Linotype"/>
          <w:color w:val="221E1F"/>
          <w:sz w:val="22"/>
          <w:szCs w:val="22"/>
          <w:lang w:val="fr-FR"/>
        </w:rPr>
        <w:t>O</w:t>
      </w:r>
      <w:r w:rsidR="000347EA" w:rsidRPr="007260D4">
        <w:rPr>
          <w:rFonts w:ascii="Calibri" w:hAnsi="Calibri" w:cs="Palatino Linotype"/>
          <w:color w:val="221E1F"/>
          <w:sz w:val="22"/>
          <w:szCs w:val="22"/>
          <w:lang w:val="fr-FR"/>
        </w:rPr>
        <w:t>bjectifs d’Aichi</w:t>
      </w:r>
      <w:r w:rsidR="00004387" w:rsidRPr="007260D4">
        <w:rPr>
          <w:rFonts w:ascii="Calibri" w:hAnsi="Calibri" w:cs="Palatino Linotype"/>
          <w:color w:val="221E1F"/>
          <w:sz w:val="22"/>
          <w:szCs w:val="22"/>
          <w:lang w:val="fr-FR"/>
        </w:rPr>
        <w:t xml:space="preserve"> </w:t>
      </w:r>
      <w:r w:rsidRPr="007260D4">
        <w:rPr>
          <w:rFonts w:ascii="Calibri" w:hAnsi="Calibri" w:cs="Palatino Linotype"/>
          <w:color w:val="221E1F"/>
          <w:sz w:val="22"/>
          <w:szCs w:val="22"/>
          <w:lang w:val="fr-FR"/>
        </w:rPr>
        <w:t xml:space="preserve">sur la biodiversité </w:t>
      </w:r>
      <w:r w:rsidR="00004387" w:rsidRPr="007260D4">
        <w:rPr>
          <w:rFonts w:ascii="Calibri" w:hAnsi="Calibri" w:cs="Palatino Linotype"/>
          <w:color w:val="221E1F"/>
          <w:sz w:val="22"/>
          <w:szCs w:val="22"/>
          <w:lang w:val="fr-FR"/>
        </w:rPr>
        <w:t>de la CDB</w:t>
      </w:r>
      <w:r w:rsidRPr="007260D4">
        <w:rPr>
          <w:rFonts w:ascii="Calibri" w:hAnsi="Calibri" w:cs="Palatino Linotype"/>
          <w:color w:val="221E1F"/>
          <w:sz w:val="22"/>
          <w:szCs w:val="22"/>
          <w:lang w:val="fr-FR"/>
        </w:rPr>
        <w:t xml:space="preserve"> et </w:t>
      </w:r>
      <w:r w:rsidR="003C072A" w:rsidRPr="007260D4">
        <w:rPr>
          <w:rFonts w:ascii="Calibri" w:hAnsi="Calibri" w:cs="Palatino Linotype"/>
          <w:color w:val="221E1F"/>
          <w:sz w:val="22"/>
          <w:szCs w:val="22"/>
          <w:lang w:val="fr-FR"/>
        </w:rPr>
        <w:t>à</w:t>
      </w:r>
      <w:r w:rsidRPr="007260D4">
        <w:rPr>
          <w:rFonts w:ascii="Calibri" w:hAnsi="Calibri" w:cs="Palatino Linotype"/>
          <w:color w:val="221E1F"/>
          <w:sz w:val="22"/>
          <w:szCs w:val="22"/>
          <w:lang w:val="fr-FR"/>
        </w:rPr>
        <w:t xml:space="preserve"> démontrer, dans leurs Rapports nationaux, comment les mesures qu’elles prennent pour appliquer la Convention de Ramsar contribuent à la réalisation des Objectifs d’Aichi</w:t>
      </w:r>
      <w:r w:rsidR="000347EA" w:rsidRPr="007260D4">
        <w:rPr>
          <w:rFonts w:ascii="Calibri" w:hAnsi="Calibri" w:cs="Palatino Linotype"/>
          <w:color w:val="221E1F"/>
          <w:sz w:val="22"/>
          <w:szCs w:val="22"/>
          <w:lang w:val="fr-FR"/>
        </w:rPr>
        <w:t>.</w:t>
      </w:r>
    </w:p>
    <w:p w:rsidR="003E38AC" w:rsidRPr="007260D4" w:rsidRDefault="003E38AC" w:rsidP="00533BAA">
      <w:pPr>
        <w:pStyle w:val="ListParagraph"/>
        <w:rPr>
          <w:rFonts w:ascii="Calibri" w:hAnsi="Calibri" w:cs="Palatino Linotype"/>
          <w:color w:val="221E1F"/>
          <w:lang w:val="fr-FR"/>
        </w:rPr>
      </w:pPr>
    </w:p>
    <w:p w:rsidR="003E38AC" w:rsidRPr="007260D4" w:rsidRDefault="003E38AC" w:rsidP="00F13DE2">
      <w:pPr>
        <w:pStyle w:val="Default"/>
        <w:numPr>
          <w:ilvl w:val="0"/>
          <w:numId w:val="7"/>
        </w:numPr>
        <w:ind w:left="426" w:hanging="426"/>
        <w:rPr>
          <w:rFonts w:ascii="Calibri" w:hAnsi="Calibri" w:cs="Palatino Linotype"/>
          <w:color w:val="221E1F"/>
          <w:sz w:val="22"/>
          <w:szCs w:val="22"/>
          <w:lang w:val="fr-FR"/>
        </w:rPr>
      </w:pPr>
      <w:r w:rsidRPr="007260D4">
        <w:rPr>
          <w:rFonts w:ascii="Calibri" w:hAnsi="Calibri" w:cs="Palatino Linotype"/>
          <w:color w:val="221E1F"/>
          <w:sz w:val="22"/>
          <w:szCs w:val="22"/>
          <w:lang w:val="fr-FR"/>
        </w:rPr>
        <w:t xml:space="preserve">DEMANDE au </w:t>
      </w:r>
      <w:r w:rsidR="003C072A" w:rsidRPr="007260D4">
        <w:rPr>
          <w:rFonts w:ascii="Calibri" w:hAnsi="Calibri" w:cs="Palatino Linotype"/>
          <w:color w:val="221E1F"/>
          <w:sz w:val="22"/>
          <w:szCs w:val="22"/>
          <w:lang w:val="fr-FR"/>
        </w:rPr>
        <w:t>GEST</w:t>
      </w:r>
      <w:r w:rsidRPr="007260D4">
        <w:rPr>
          <w:rFonts w:ascii="Calibri" w:hAnsi="Calibri" w:cs="Palatino Linotype"/>
          <w:color w:val="221E1F"/>
          <w:sz w:val="22"/>
          <w:szCs w:val="22"/>
          <w:lang w:val="fr-FR"/>
        </w:rPr>
        <w:t xml:space="preserve">, en collaboration avec les partenaires pertinents, </w:t>
      </w:r>
      <w:r w:rsidR="003C072A" w:rsidRPr="007260D4">
        <w:rPr>
          <w:rFonts w:ascii="Calibri" w:hAnsi="Calibri" w:cs="Palatino Linotype"/>
          <w:color w:val="221E1F"/>
          <w:sz w:val="22"/>
          <w:szCs w:val="22"/>
          <w:lang w:val="fr-FR"/>
        </w:rPr>
        <w:t>d’examiner comment il pourrait</w:t>
      </w:r>
      <w:r w:rsidRPr="007260D4">
        <w:rPr>
          <w:rFonts w:ascii="Calibri" w:hAnsi="Calibri" w:cs="Palatino Linotype"/>
          <w:color w:val="221E1F"/>
          <w:sz w:val="22"/>
          <w:szCs w:val="22"/>
          <w:lang w:val="fr-FR"/>
        </w:rPr>
        <w:t xml:space="preserve"> contribuer pour les questions relatives aux zones humides, à </w:t>
      </w:r>
      <w:r w:rsidR="003C072A" w:rsidRPr="007260D4">
        <w:rPr>
          <w:rFonts w:ascii="Calibri" w:hAnsi="Calibri" w:cs="Palatino Linotype"/>
          <w:color w:val="221E1F"/>
          <w:sz w:val="22"/>
          <w:szCs w:val="22"/>
          <w:lang w:val="fr-FR"/>
        </w:rPr>
        <w:t>tout</w:t>
      </w:r>
      <w:r w:rsidRPr="007260D4">
        <w:rPr>
          <w:rFonts w:ascii="Calibri" w:hAnsi="Calibri" w:cs="Palatino Linotype"/>
          <w:color w:val="221E1F"/>
          <w:sz w:val="22"/>
          <w:szCs w:val="22"/>
          <w:lang w:val="fr-FR"/>
        </w:rPr>
        <w:t xml:space="preserve"> cadre </w:t>
      </w:r>
      <w:r w:rsidR="003C072A" w:rsidRPr="007260D4">
        <w:rPr>
          <w:rFonts w:ascii="Calibri" w:hAnsi="Calibri" w:cs="Palatino Linotype"/>
          <w:color w:val="221E1F"/>
          <w:sz w:val="22"/>
          <w:szCs w:val="22"/>
          <w:lang w:val="fr-FR"/>
        </w:rPr>
        <w:t xml:space="preserve">éventuel </w:t>
      </w:r>
      <w:r w:rsidRPr="007260D4">
        <w:rPr>
          <w:rFonts w:ascii="Calibri" w:hAnsi="Calibri" w:cs="Palatino Linotype"/>
          <w:color w:val="221E1F"/>
          <w:sz w:val="22"/>
          <w:szCs w:val="22"/>
          <w:lang w:val="fr-FR"/>
        </w:rPr>
        <w:t>de suivi et d’indicateurs pour les Objectifs de développement durable, leurs buts et objectifs</w:t>
      </w:r>
      <w:r w:rsidR="003C072A" w:rsidRPr="007260D4">
        <w:rPr>
          <w:rFonts w:ascii="Calibri" w:hAnsi="Calibri" w:cs="Palatino Linotype"/>
          <w:color w:val="221E1F"/>
          <w:sz w:val="22"/>
          <w:szCs w:val="22"/>
          <w:lang w:val="fr-FR"/>
        </w:rPr>
        <w:t xml:space="preserve"> pertinents</w:t>
      </w:r>
      <w:r w:rsidRPr="007260D4">
        <w:rPr>
          <w:rFonts w:ascii="Calibri" w:hAnsi="Calibri" w:cs="Palatino Linotype"/>
          <w:color w:val="221E1F"/>
          <w:sz w:val="22"/>
          <w:szCs w:val="22"/>
          <w:lang w:val="fr-FR"/>
        </w:rPr>
        <w:t>.</w:t>
      </w:r>
    </w:p>
    <w:p w:rsidR="003C072A" w:rsidRPr="007260D4" w:rsidRDefault="003C072A" w:rsidP="003C072A">
      <w:pPr>
        <w:pStyle w:val="Default"/>
        <w:ind w:left="426"/>
        <w:rPr>
          <w:rFonts w:ascii="Calibri" w:hAnsi="Calibri" w:cs="Palatino Linotype"/>
          <w:color w:val="221E1F"/>
          <w:sz w:val="22"/>
          <w:szCs w:val="22"/>
          <w:lang w:val="fr-FR"/>
        </w:rPr>
      </w:pPr>
    </w:p>
    <w:p w:rsidR="003C072A" w:rsidRPr="007260D4" w:rsidRDefault="003C072A" w:rsidP="00F13DE2">
      <w:pPr>
        <w:pStyle w:val="Default"/>
        <w:numPr>
          <w:ilvl w:val="0"/>
          <w:numId w:val="7"/>
        </w:numPr>
        <w:ind w:left="426" w:hanging="426"/>
        <w:rPr>
          <w:rFonts w:ascii="Calibri" w:hAnsi="Calibri" w:cs="Palatino Linotype"/>
          <w:color w:val="221E1F"/>
          <w:sz w:val="22"/>
          <w:szCs w:val="22"/>
          <w:lang w:val="fr-FR"/>
        </w:rPr>
      </w:pPr>
      <w:r w:rsidRPr="007260D4">
        <w:rPr>
          <w:rFonts w:ascii="Calibri" w:hAnsi="Calibri" w:cs="Palatino Linotype"/>
          <w:color w:val="221E1F"/>
          <w:sz w:val="22"/>
          <w:szCs w:val="22"/>
          <w:lang w:val="fr-FR"/>
        </w:rPr>
        <w:t>DEMANDE au Secrétariat d’estimer le coût des possibilités de collaboration avec les différents partenaires (p.ex. le PNUE-GRID) et de renforcement de l’accès des Parties à ce type de données et outils de suivi</w:t>
      </w:r>
      <w:r w:rsidR="00EB188C" w:rsidRPr="007260D4">
        <w:rPr>
          <w:rFonts w:ascii="Calibri" w:hAnsi="Calibri" w:cs="Palatino Linotype"/>
          <w:color w:val="221E1F"/>
          <w:sz w:val="22"/>
          <w:szCs w:val="22"/>
          <w:lang w:val="fr-FR"/>
        </w:rPr>
        <w:t>.</w:t>
      </w:r>
    </w:p>
    <w:p w:rsidR="00DF4A75" w:rsidRPr="007260D4" w:rsidRDefault="00DF4A75" w:rsidP="00F13DE2">
      <w:pPr>
        <w:pStyle w:val="Default"/>
        <w:ind w:left="426" w:hanging="426"/>
        <w:rPr>
          <w:rFonts w:ascii="Calibri" w:hAnsi="Calibri" w:cs="Palatino Linotype"/>
          <w:color w:val="221E1F"/>
          <w:sz w:val="22"/>
          <w:szCs w:val="22"/>
          <w:lang w:val="fr-FR"/>
        </w:rPr>
      </w:pPr>
    </w:p>
    <w:p w:rsidR="007D07CC" w:rsidRPr="007260D4" w:rsidRDefault="00DF4A75" w:rsidP="00F13DE2">
      <w:pPr>
        <w:pStyle w:val="Default"/>
        <w:numPr>
          <w:ilvl w:val="0"/>
          <w:numId w:val="7"/>
        </w:numPr>
        <w:ind w:left="426" w:hanging="426"/>
        <w:rPr>
          <w:rFonts w:ascii="Calibri" w:hAnsi="Calibri" w:cs="Calibri"/>
          <w:bCs/>
          <w:sz w:val="22"/>
          <w:szCs w:val="22"/>
          <w:lang w:val="fr-FR"/>
        </w:rPr>
      </w:pPr>
      <w:r w:rsidRPr="007260D4">
        <w:rPr>
          <w:rFonts w:ascii="Calibri" w:hAnsi="Calibri" w:cs="Palatino Linotype"/>
          <w:color w:val="221E1F"/>
          <w:sz w:val="22"/>
          <w:szCs w:val="22"/>
          <w:lang w:val="fr-FR"/>
        </w:rPr>
        <w:lastRenderedPageBreak/>
        <w:t xml:space="preserve">ENCOURAGE les Parties et autres acteurs à redoubler d’efforts </w:t>
      </w:r>
      <w:r w:rsidR="000347EA" w:rsidRPr="007260D4">
        <w:rPr>
          <w:rFonts w:ascii="Calibri" w:hAnsi="Calibri" w:cs="Palatino Linotype"/>
          <w:color w:val="221E1F"/>
          <w:sz w:val="22"/>
          <w:szCs w:val="22"/>
          <w:lang w:val="fr-FR"/>
        </w:rPr>
        <w:t xml:space="preserve">pour intégrer les plans de gestion des zones humides dans les plans de gestion intégrée des ressources en eau et dans les plans d’économie d’eau à l’échelle du bassin, ainsi que </w:t>
      </w:r>
      <w:r w:rsidR="007D07CC" w:rsidRPr="007260D4">
        <w:rPr>
          <w:rFonts w:ascii="Calibri" w:hAnsi="Calibri" w:cs="Palatino Linotype"/>
          <w:color w:val="221E1F"/>
          <w:sz w:val="22"/>
          <w:szCs w:val="22"/>
          <w:lang w:val="fr-FR"/>
        </w:rPr>
        <w:t>dans les plans d’aménagement spatial/d’utilisation des terres.</w:t>
      </w:r>
    </w:p>
    <w:p w:rsidR="007D07CC" w:rsidRPr="007260D4" w:rsidRDefault="007D07CC" w:rsidP="0037419D">
      <w:pPr>
        <w:pStyle w:val="Default"/>
        <w:ind w:left="426"/>
        <w:rPr>
          <w:rFonts w:ascii="Calibri" w:hAnsi="Calibri" w:cs="Calibri"/>
          <w:bCs/>
          <w:sz w:val="22"/>
          <w:szCs w:val="22"/>
          <w:lang w:val="fr-FR"/>
        </w:rPr>
      </w:pPr>
    </w:p>
    <w:p w:rsidR="00F629CD" w:rsidRPr="007260D4" w:rsidRDefault="007D07CC" w:rsidP="00F13DE2">
      <w:pPr>
        <w:pStyle w:val="Default"/>
        <w:numPr>
          <w:ilvl w:val="0"/>
          <w:numId w:val="7"/>
        </w:numPr>
        <w:ind w:left="426" w:hanging="426"/>
        <w:rPr>
          <w:rFonts w:ascii="Calibri" w:hAnsi="Calibri" w:cs="Calibri"/>
          <w:bCs/>
          <w:sz w:val="22"/>
          <w:szCs w:val="22"/>
          <w:lang w:val="fr-FR"/>
        </w:rPr>
      </w:pPr>
      <w:r w:rsidRPr="007260D4">
        <w:rPr>
          <w:rFonts w:ascii="Calibri" w:hAnsi="Calibri" w:cs="Palatino Linotype"/>
          <w:color w:val="221E1F"/>
          <w:sz w:val="22"/>
          <w:szCs w:val="22"/>
          <w:lang w:val="fr-FR"/>
        </w:rPr>
        <w:t xml:space="preserve">ENCOURAGE AUSSI les Parties et autres acteurs à redoubler d’efforts </w:t>
      </w:r>
      <w:r w:rsidR="00DF4A75" w:rsidRPr="007260D4">
        <w:rPr>
          <w:rFonts w:ascii="Calibri" w:hAnsi="Calibri" w:cs="Palatino Linotype"/>
          <w:color w:val="221E1F"/>
          <w:sz w:val="22"/>
          <w:szCs w:val="22"/>
          <w:lang w:val="fr-FR"/>
        </w:rPr>
        <w:t xml:space="preserve">pour </w:t>
      </w:r>
      <w:r w:rsidRPr="007260D4">
        <w:rPr>
          <w:rFonts w:ascii="Calibri" w:hAnsi="Calibri" w:cs="Palatino Linotype"/>
          <w:color w:val="221E1F"/>
          <w:sz w:val="22"/>
          <w:szCs w:val="22"/>
          <w:lang w:val="fr-FR"/>
        </w:rPr>
        <w:t>tenir compte des</w:t>
      </w:r>
      <w:r w:rsidR="00DF4A75" w:rsidRPr="007260D4">
        <w:rPr>
          <w:rFonts w:ascii="Calibri" w:hAnsi="Calibri" w:cs="Palatino Linotype"/>
          <w:color w:val="221E1F"/>
          <w:sz w:val="22"/>
          <w:szCs w:val="22"/>
          <w:lang w:val="fr-FR"/>
        </w:rPr>
        <w:t xml:space="preserve"> valeurs </w:t>
      </w:r>
      <w:r w:rsidR="003E38AC" w:rsidRPr="007260D4">
        <w:rPr>
          <w:rFonts w:ascii="Calibri" w:hAnsi="Calibri" w:cs="Palatino Linotype"/>
          <w:color w:val="221E1F"/>
          <w:sz w:val="22"/>
          <w:szCs w:val="22"/>
          <w:lang w:val="fr-FR"/>
        </w:rPr>
        <w:t xml:space="preserve">et des services écosystémiques </w:t>
      </w:r>
      <w:r w:rsidR="00DF4A75" w:rsidRPr="007260D4">
        <w:rPr>
          <w:rFonts w:ascii="Calibri" w:hAnsi="Calibri" w:cs="Palatino Linotype"/>
          <w:color w:val="221E1F"/>
          <w:sz w:val="22"/>
          <w:szCs w:val="22"/>
          <w:lang w:val="fr-FR"/>
        </w:rPr>
        <w:t xml:space="preserve">des zones humides </w:t>
      </w:r>
      <w:r w:rsidRPr="007260D4">
        <w:rPr>
          <w:rFonts w:ascii="Calibri" w:hAnsi="Calibri" w:cs="Palatino Linotype"/>
          <w:color w:val="221E1F"/>
          <w:sz w:val="22"/>
          <w:szCs w:val="22"/>
          <w:lang w:val="fr-FR"/>
        </w:rPr>
        <w:t xml:space="preserve">dans les stratégies, plans et règlements d’autres secteurs </w:t>
      </w:r>
      <w:r w:rsidR="00DF4A75" w:rsidRPr="007260D4">
        <w:rPr>
          <w:rFonts w:ascii="Calibri" w:hAnsi="Calibri" w:cs="Palatino Linotype"/>
          <w:color w:val="221E1F"/>
          <w:sz w:val="22"/>
          <w:szCs w:val="22"/>
          <w:lang w:val="fr-FR"/>
        </w:rPr>
        <w:t xml:space="preserve">et </w:t>
      </w:r>
      <w:r w:rsidRPr="007260D4">
        <w:rPr>
          <w:rFonts w:ascii="Calibri" w:hAnsi="Calibri" w:cs="Palatino Linotype"/>
          <w:color w:val="221E1F"/>
          <w:sz w:val="22"/>
          <w:szCs w:val="22"/>
          <w:lang w:val="fr-FR"/>
        </w:rPr>
        <w:t xml:space="preserve">à </w:t>
      </w:r>
      <w:r w:rsidR="00DF4A75" w:rsidRPr="007260D4">
        <w:rPr>
          <w:rFonts w:ascii="Calibri" w:hAnsi="Calibri" w:cs="Palatino Linotype"/>
          <w:color w:val="221E1F"/>
          <w:sz w:val="22"/>
          <w:szCs w:val="22"/>
          <w:lang w:val="fr-FR"/>
        </w:rPr>
        <w:t>les intégrer dans une approche des plans d’occupation des sols au niveau du bassin et autres décisions locales, nationales et mondiales pertinentes.</w:t>
      </w:r>
    </w:p>
    <w:p w:rsidR="00F629CD" w:rsidRPr="007260D4" w:rsidRDefault="00F629CD" w:rsidP="00F629CD">
      <w:pPr>
        <w:pStyle w:val="Default"/>
        <w:ind w:left="426"/>
        <w:rPr>
          <w:rFonts w:ascii="Calibri" w:hAnsi="Calibri" w:cs="Calibri"/>
          <w:bCs/>
          <w:sz w:val="22"/>
          <w:szCs w:val="22"/>
          <w:lang w:val="fr-FR"/>
        </w:rPr>
      </w:pPr>
    </w:p>
    <w:p w:rsidR="00DF4A75" w:rsidRPr="007260D4" w:rsidRDefault="007D07CC" w:rsidP="00F629CD">
      <w:pPr>
        <w:pStyle w:val="Default"/>
        <w:keepNext/>
        <w:keepLines/>
        <w:numPr>
          <w:ilvl w:val="0"/>
          <w:numId w:val="7"/>
        </w:numPr>
        <w:ind w:left="426" w:hanging="426"/>
        <w:rPr>
          <w:rFonts w:asciiTheme="minorHAnsi" w:hAnsiTheme="minorHAnsi" w:cs="Calibri"/>
          <w:b/>
          <w:bCs/>
          <w:sz w:val="22"/>
          <w:szCs w:val="22"/>
          <w:lang w:val="fr-FR"/>
        </w:rPr>
      </w:pPr>
      <w:r w:rsidRPr="007260D4">
        <w:rPr>
          <w:rFonts w:asciiTheme="minorHAnsi" w:hAnsiTheme="minorHAnsi" w:cs="Calibri"/>
          <w:bCs/>
          <w:sz w:val="22"/>
          <w:szCs w:val="22"/>
          <w:lang w:val="fr-FR"/>
        </w:rPr>
        <w:t>PREND NOTE des références aux</w:t>
      </w:r>
      <w:r w:rsidR="00F629CD" w:rsidRPr="007260D4">
        <w:rPr>
          <w:rFonts w:asciiTheme="minorHAnsi" w:hAnsiTheme="minorHAnsi" w:cs="Calibri"/>
          <w:bCs/>
          <w:sz w:val="22"/>
          <w:szCs w:val="22"/>
          <w:lang w:val="fr-FR"/>
        </w:rPr>
        <w:t xml:space="preserve"> zones humides </w:t>
      </w:r>
      <w:r w:rsidRPr="007260D4">
        <w:rPr>
          <w:rFonts w:asciiTheme="minorHAnsi" w:hAnsiTheme="minorHAnsi" w:cs="Calibri"/>
          <w:bCs/>
          <w:sz w:val="22"/>
          <w:szCs w:val="22"/>
          <w:lang w:val="fr-FR"/>
        </w:rPr>
        <w:t xml:space="preserve">contenues dans les propositions du Groupe de travail </w:t>
      </w:r>
      <w:r w:rsidR="00A91EDB" w:rsidRPr="007260D4">
        <w:rPr>
          <w:rFonts w:asciiTheme="minorHAnsi" w:hAnsiTheme="minorHAnsi" w:cs="Calibri"/>
          <w:bCs/>
          <w:sz w:val="22"/>
          <w:szCs w:val="22"/>
          <w:lang w:val="fr-FR"/>
        </w:rPr>
        <w:t>ouvert</w:t>
      </w:r>
      <w:r w:rsidRPr="007260D4">
        <w:rPr>
          <w:rFonts w:asciiTheme="minorHAnsi" w:hAnsiTheme="minorHAnsi" w:cs="Calibri"/>
          <w:bCs/>
          <w:sz w:val="22"/>
          <w:szCs w:val="22"/>
          <w:lang w:val="fr-FR"/>
        </w:rPr>
        <w:t xml:space="preserve"> sur les</w:t>
      </w:r>
      <w:r w:rsidR="00F629CD" w:rsidRPr="007260D4">
        <w:rPr>
          <w:rFonts w:asciiTheme="minorHAnsi" w:hAnsiTheme="minorHAnsi" w:cs="Calibri"/>
          <w:bCs/>
          <w:sz w:val="22"/>
          <w:szCs w:val="22"/>
          <w:lang w:val="fr-FR"/>
        </w:rPr>
        <w:t xml:space="preserve"> objectifs </w:t>
      </w:r>
      <w:r w:rsidR="008C405D" w:rsidRPr="007260D4">
        <w:rPr>
          <w:rFonts w:asciiTheme="minorHAnsi" w:hAnsiTheme="minorHAnsi" w:cs="Calibri"/>
          <w:bCs/>
          <w:sz w:val="22"/>
          <w:szCs w:val="22"/>
          <w:lang w:val="fr-FR"/>
        </w:rPr>
        <w:t xml:space="preserve">de </w:t>
      </w:r>
      <w:r w:rsidR="00F629CD" w:rsidRPr="007260D4">
        <w:rPr>
          <w:rFonts w:asciiTheme="minorHAnsi" w:hAnsiTheme="minorHAnsi" w:cs="Calibri"/>
          <w:bCs/>
          <w:sz w:val="22"/>
          <w:szCs w:val="22"/>
          <w:lang w:val="fr-FR"/>
        </w:rPr>
        <w:t>développement durable</w:t>
      </w:r>
      <w:r w:rsidR="00800F5C">
        <w:rPr>
          <w:rFonts w:asciiTheme="minorHAnsi" w:hAnsiTheme="minorHAnsi" w:cs="Calibri"/>
          <w:bCs/>
          <w:sz w:val="22"/>
          <w:szCs w:val="22"/>
          <w:lang w:val="fr-FR"/>
        </w:rPr>
        <w:t>;</w:t>
      </w:r>
      <w:r w:rsidR="00F629CD" w:rsidRPr="007260D4">
        <w:rPr>
          <w:rFonts w:asciiTheme="minorHAnsi" w:hAnsiTheme="minorHAnsi" w:cs="Calibri"/>
          <w:bCs/>
          <w:sz w:val="22"/>
          <w:szCs w:val="22"/>
          <w:lang w:val="fr-FR"/>
        </w:rPr>
        <w:t xml:space="preserve"> et PRIE INSTAMMENT les Parties contractantes d’inclure, </w:t>
      </w:r>
      <w:r w:rsidR="00DF4A75" w:rsidRPr="007260D4">
        <w:rPr>
          <w:rFonts w:asciiTheme="minorHAnsi" w:hAnsiTheme="minorHAnsi" w:cs="Calibri"/>
          <w:bCs/>
          <w:sz w:val="22"/>
          <w:szCs w:val="22"/>
          <w:lang w:val="fr-FR"/>
        </w:rPr>
        <w:t>dans leurs propres objectifs nationaux, les priorités de gestion</w:t>
      </w:r>
      <w:r w:rsidR="003E38AC" w:rsidRPr="007260D4">
        <w:rPr>
          <w:rFonts w:asciiTheme="minorHAnsi" w:hAnsiTheme="minorHAnsi" w:cs="Calibri"/>
          <w:bCs/>
          <w:sz w:val="22"/>
          <w:szCs w:val="22"/>
          <w:lang w:val="fr-FR"/>
        </w:rPr>
        <w:t xml:space="preserve"> et</w:t>
      </w:r>
      <w:r w:rsidR="00DF4A75" w:rsidRPr="007260D4">
        <w:rPr>
          <w:rFonts w:asciiTheme="minorHAnsi" w:hAnsiTheme="minorHAnsi" w:cs="Calibri"/>
          <w:bCs/>
          <w:sz w:val="22"/>
          <w:szCs w:val="22"/>
          <w:lang w:val="fr-FR"/>
        </w:rPr>
        <w:t xml:space="preserve"> </w:t>
      </w:r>
      <w:r w:rsidR="00EB188C" w:rsidRPr="007260D4">
        <w:rPr>
          <w:rFonts w:asciiTheme="minorHAnsi" w:hAnsiTheme="minorHAnsi" w:cs="Calibri"/>
          <w:bCs/>
          <w:sz w:val="22"/>
          <w:szCs w:val="22"/>
          <w:lang w:val="fr-FR"/>
        </w:rPr>
        <w:t xml:space="preserve">de </w:t>
      </w:r>
      <w:r w:rsidR="00DF4A75" w:rsidRPr="007260D4">
        <w:rPr>
          <w:rFonts w:asciiTheme="minorHAnsi" w:hAnsiTheme="minorHAnsi" w:cs="Calibri"/>
          <w:bCs/>
          <w:sz w:val="22"/>
          <w:szCs w:val="22"/>
          <w:lang w:val="fr-FR"/>
        </w:rPr>
        <w:t xml:space="preserve">restauration des zones humides, conformément </w:t>
      </w:r>
      <w:r w:rsidRPr="007260D4">
        <w:rPr>
          <w:rFonts w:asciiTheme="minorHAnsi" w:hAnsiTheme="minorHAnsi" w:cs="Calibri"/>
          <w:bCs/>
          <w:sz w:val="22"/>
          <w:szCs w:val="22"/>
          <w:lang w:val="fr-FR"/>
        </w:rPr>
        <w:t>au développement durable.</w:t>
      </w:r>
      <w:r w:rsidR="00DF4A75" w:rsidRPr="007260D4">
        <w:rPr>
          <w:rFonts w:asciiTheme="minorHAnsi" w:hAnsiTheme="minorHAnsi" w:cs="Calibri"/>
          <w:b/>
          <w:bCs/>
          <w:sz w:val="22"/>
          <w:szCs w:val="22"/>
          <w:lang w:val="fr-FR"/>
        </w:rPr>
        <w:t xml:space="preserve"> </w:t>
      </w:r>
    </w:p>
    <w:p w:rsidR="00DF4A75" w:rsidRPr="007260D4" w:rsidRDefault="00DF4A75" w:rsidP="00C43948">
      <w:pPr>
        <w:tabs>
          <w:tab w:val="left" w:pos="270"/>
        </w:tabs>
        <w:autoSpaceDE w:val="0"/>
        <w:autoSpaceDN w:val="0"/>
        <w:adjustRightInd w:val="0"/>
        <w:rPr>
          <w:rFonts w:ascii="Calibri" w:hAnsi="Calibri" w:cs="Calibri"/>
          <w:bCs/>
          <w:sz w:val="22"/>
          <w:szCs w:val="22"/>
          <w:lang w:val="fr-FR"/>
        </w:rPr>
      </w:pPr>
    </w:p>
    <w:p w:rsidR="00DF4A75" w:rsidRPr="007260D4" w:rsidRDefault="00CC57CC" w:rsidP="00A14F34">
      <w:pPr>
        <w:pStyle w:val="ListParagraph"/>
        <w:numPr>
          <w:ilvl w:val="0"/>
          <w:numId w:val="7"/>
        </w:numPr>
        <w:autoSpaceDE w:val="0"/>
        <w:autoSpaceDN w:val="0"/>
        <w:adjustRightInd w:val="0"/>
        <w:ind w:left="450" w:hanging="450"/>
        <w:jc w:val="left"/>
        <w:rPr>
          <w:rFonts w:ascii="Calibri" w:hAnsi="Calibri"/>
          <w:lang w:val="fr-FR"/>
        </w:rPr>
      </w:pPr>
      <w:r w:rsidRPr="007260D4">
        <w:rPr>
          <w:rFonts w:ascii="Calibri" w:hAnsi="Calibri" w:cs="Arial"/>
          <w:lang w:val="fr-FR"/>
        </w:rPr>
        <w:t>SE FÉLICITE de</w:t>
      </w:r>
      <w:r w:rsidR="00DF4A75" w:rsidRPr="007260D4">
        <w:rPr>
          <w:rFonts w:ascii="Calibri" w:hAnsi="Calibri" w:cs="Arial"/>
          <w:lang w:val="fr-FR"/>
        </w:rPr>
        <w:t xml:space="preserve"> la collaboration entre le Secrétariat et l’UICN et </w:t>
      </w:r>
      <w:r w:rsidRPr="007260D4">
        <w:rPr>
          <w:rFonts w:ascii="Calibri" w:hAnsi="Calibri" w:cs="Arial"/>
          <w:lang w:val="fr-FR"/>
        </w:rPr>
        <w:t>d</w:t>
      </w:r>
      <w:r w:rsidR="00DF4A75" w:rsidRPr="007260D4">
        <w:rPr>
          <w:rFonts w:ascii="Calibri" w:hAnsi="Calibri" w:cs="Arial"/>
          <w:lang w:val="fr-FR"/>
        </w:rPr>
        <w:t xml:space="preserve">es progrès réalisés </w:t>
      </w:r>
      <w:r w:rsidR="007D07CC" w:rsidRPr="007260D4">
        <w:rPr>
          <w:rFonts w:ascii="Calibri" w:hAnsi="Calibri" w:cs="Arial"/>
          <w:lang w:val="fr-FR"/>
        </w:rPr>
        <w:t>pour évaluer les travaux déjà accomplis</w:t>
      </w:r>
      <w:r w:rsidR="00800F5C">
        <w:rPr>
          <w:rFonts w:ascii="Calibri" w:hAnsi="Calibri" w:cs="Arial"/>
          <w:lang w:val="fr-FR"/>
        </w:rPr>
        <w:t>;</w:t>
      </w:r>
      <w:r w:rsidR="007D07CC" w:rsidRPr="007260D4">
        <w:rPr>
          <w:rFonts w:ascii="Calibri" w:hAnsi="Calibri" w:cs="Arial"/>
          <w:lang w:val="fr-FR"/>
        </w:rPr>
        <w:t xml:space="preserve"> PRIE INSTAMMENT le Secrétariat </w:t>
      </w:r>
      <w:r w:rsidR="008C405D" w:rsidRPr="007260D4">
        <w:rPr>
          <w:rFonts w:ascii="Calibri" w:hAnsi="Calibri" w:cs="Arial"/>
          <w:lang w:val="fr-FR"/>
        </w:rPr>
        <w:t xml:space="preserve">de </w:t>
      </w:r>
      <w:r w:rsidR="007D07CC" w:rsidRPr="007260D4">
        <w:rPr>
          <w:rFonts w:ascii="Calibri" w:hAnsi="Calibri" w:cs="Arial"/>
          <w:lang w:val="fr-FR"/>
        </w:rPr>
        <w:t>mettre à jour tous les accords et lignes directrices avec l’UICN en coopération avec le Groupe de travail sur la gestion, conformément à la Résolution IX.24</w:t>
      </w:r>
      <w:r w:rsidR="00EB188C" w:rsidRPr="007260D4">
        <w:rPr>
          <w:rFonts w:ascii="Calibri" w:hAnsi="Calibri" w:cs="Arial"/>
          <w:lang w:val="fr-FR"/>
        </w:rPr>
        <w:t>,</w:t>
      </w:r>
      <w:r w:rsidR="007D07CC" w:rsidRPr="007260D4">
        <w:rPr>
          <w:rFonts w:ascii="Calibri" w:hAnsi="Calibri" w:cs="Arial"/>
          <w:lang w:val="fr-FR"/>
        </w:rPr>
        <w:t xml:space="preserve"> </w:t>
      </w:r>
      <w:r w:rsidR="00932204" w:rsidRPr="007260D4">
        <w:rPr>
          <w:rFonts w:ascii="Calibri" w:hAnsi="Calibri" w:cs="Arial"/>
          <w:i/>
          <w:lang w:val="fr-FR"/>
        </w:rPr>
        <w:t>Améliorer la ges</w:t>
      </w:r>
      <w:r w:rsidR="009C5AB6" w:rsidRPr="007260D4">
        <w:rPr>
          <w:rFonts w:ascii="Calibri" w:hAnsi="Calibri" w:cs="Arial"/>
          <w:i/>
          <w:lang w:val="fr-FR"/>
        </w:rPr>
        <w:t>tion de la Convention de Ramsar</w:t>
      </w:r>
      <w:r w:rsidR="00932204" w:rsidRPr="00800F5C">
        <w:rPr>
          <w:rFonts w:ascii="Calibri" w:hAnsi="Calibri" w:cs="Arial"/>
          <w:lang w:val="fr-FR"/>
        </w:rPr>
        <w:t>;</w:t>
      </w:r>
      <w:r w:rsidR="00DF4A75" w:rsidRPr="007260D4">
        <w:rPr>
          <w:rFonts w:ascii="Calibri" w:hAnsi="Calibri" w:cs="Arial"/>
          <w:lang w:val="fr-FR"/>
        </w:rPr>
        <w:t xml:space="preserve"> et ENCOURAGE les deux parties à collaborer </w:t>
      </w:r>
      <w:r w:rsidR="00D0300F" w:rsidRPr="007260D4">
        <w:rPr>
          <w:rFonts w:ascii="Calibri" w:hAnsi="Calibri" w:cs="Arial"/>
          <w:lang w:val="fr-FR"/>
        </w:rPr>
        <w:t xml:space="preserve">de manière plus </w:t>
      </w:r>
      <w:r w:rsidR="009C5AB6" w:rsidRPr="007260D4">
        <w:rPr>
          <w:rFonts w:ascii="Calibri" w:hAnsi="Calibri" w:cs="Arial"/>
          <w:lang w:val="fr-FR"/>
        </w:rPr>
        <w:t>étroite</w:t>
      </w:r>
      <w:r w:rsidR="00DF4A75" w:rsidRPr="007260D4">
        <w:rPr>
          <w:rFonts w:ascii="Calibri" w:hAnsi="Calibri" w:cs="Arial"/>
          <w:lang w:val="fr-FR"/>
        </w:rPr>
        <w:t xml:space="preserve"> </w:t>
      </w:r>
      <w:r w:rsidR="0037419D" w:rsidRPr="007260D4">
        <w:rPr>
          <w:rFonts w:ascii="Calibri" w:hAnsi="Calibri" w:cs="Arial"/>
          <w:lang w:val="fr-FR"/>
        </w:rPr>
        <w:t>pour continuer de renforcer l’application de la Convention.</w:t>
      </w:r>
    </w:p>
    <w:p w:rsidR="00EB188C" w:rsidRPr="007260D4" w:rsidRDefault="00EB188C" w:rsidP="00EB188C">
      <w:pPr>
        <w:pStyle w:val="ListParagraph"/>
        <w:autoSpaceDE w:val="0"/>
        <w:autoSpaceDN w:val="0"/>
        <w:adjustRightInd w:val="0"/>
        <w:ind w:left="450"/>
        <w:jc w:val="left"/>
        <w:rPr>
          <w:rFonts w:ascii="Calibri" w:hAnsi="Calibri"/>
          <w:lang w:val="fr-FR"/>
        </w:rPr>
      </w:pPr>
    </w:p>
    <w:p w:rsidR="00E949ED" w:rsidRPr="007260D4" w:rsidRDefault="00E949ED" w:rsidP="00EB188C">
      <w:pPr>
        <w:pStyle w:val="ListParagraph"/>
        <w:numPr>
          <w:ilvl w:val="0"/>
          <w:numId w:val="7"/>
        </w:numPr>
        <w:autoSpaceDE w:val="0"/>
        <w:autoSpaceDN w:val="0"/>
        <w:adjustRightInd w:val="0"/>
        <w:ind w:left="450" w:hanging="450"/>
        <w:jc w:val="left"/>
        <w:rPr>
          <w:rFonts w:ascii="Calibri" w:hAnsi="Calibri"/>
          <w:lang w:val="fr-FR"/>
        </w:rPr>
      </w:pPr>
      <w:r w:rsidRPr="007260D4">
        <w:rPr>
          <w:rFonts w:ascii="Calibri" w:hAnsi="Calibri"/>
          <w:lang w:val="fr-FR"/>
        </w:rPr>
        <w:t>DEMANDE au Comité permanent, pour faciliter la collaboration entre le Secrétariat et l’UICN, d’établir, à sa 50</w:t>
      </w:r>
      <w:r w:rsidRPr="007260D4">
        <w:rPr>
          <w:rFonts w:ascii="Calibri" w:hAnsi="Calibri"/>
          <w:vertAlign w:val="superscript"/>
          <w:lang w:val="fr-FR"/>
        </w:rPr>
        <w:t>e</w:t>
      </w:r>
      <w:r w:rsidRPr="007260D4">
        <w:rPr>
          <w:rFonts w:ascii="Calibri" w:hAnsi="Calibri"/>
          <w:lang w:val="fr-FR"/>
        </w:rPr>
        <w:t> Réunion, un mécanisme composé de Parties contractantes</w:t>
      </w:r>
      <w:r w:rsidR="00EB188C" w:rsidRPr="007260D4">
        <w:rPr>
          <w:rFonts w:ascii="Calibri" w:hAnsi="Calibri"/>
          <w:lang w:val="fr-FR"/>
        </w:rPr>
        <w:t>, respectant une participation régionale équilibrée,</w:t>
      </w:r>
      <w:r w:rsidRPr="007260D4">
        <w:rPr>
          <w:rFonts w:ascii="Calibri" w:hAnsi="Calibri"/>
          <w:lang w:val="fr-FR"/>
        </w:rPr>
        <w:t xml:space="preserve"> qui, tenant compte des besoins des Parties contractantes et du Secrétariat Ramsar, facilitera les discussions entre le Secrétariat Ramsar et l’UICN, afin de trouver des moyens d’améliorer le fonctionnement actuel du Secrétariat et de renforcer l’application de la Convention de Ramsar, et fournir</w:t>
      </w:r>
      <w:r w:rsidR="00A91EDB" w:rsidRPr="007260D4">
        <w:rPr>
          <w:rFonts w:ascii="Calibri" w:hAnsi="Calibri"/>
          <w:lang w:val="fr-FR"/>
        </w:rPr>
        <w:t>a</w:t>
      </w:r>
      <w:r w:rsidRPr="007260D4">
        <w:rPr>
          <w:rFonts w:ascii="Calibri" w:hAnsi="Calibri"/>
          <w:lang w:val="fr-FR"/>
        </w:rPr>
        <w:t xml:space="preserve"> un rapport sur ces discussions à </w:t>
      </w:r>
      <w:r w:rsidR="00A91EDB" w:rsidRPr="007260D4">
        <w:rPr>
          <w:rFonts w:ascii="Calibri" w:hAnsi="Calibri"/>
          <w:lang w:val="fr-FR"/>
        </w:rPr>
        <w:t>la</w:t>
      </w:r>
      <w:r w:rsidRPr="007260D4">
        <w:rPr>
          <w:rFonts w:ascii="Calibri" w:hAnsi="Calibri"/>
          <w:lang w:val="fr-FR"/>
        </w:rPr>
        <w:t xml:space="preserve"> </w:t>
      </w:r>
      <w:r w:rsidRPr="007260D4">
        <w:rPr>
          <w:rFonts w:ascii="Calibri" w:hAnsi="Calibri"/>
          <w:sz w:val="24"/>
          <w:lang w:val="fr-FR"/>
        </w:rPr>
        <w:t>5</w:t>
      </w:r>
      <w:r w:rsidR="00EB188C" w:rsidRPr="007260D4">
        <w:rPr>
          <w:rFonts w:ascii="Calibri" w:hAnsi="Calibri"/>
          <w:sz w:val="24"/>
          <w:lang w:val="fr-FR"/>
        </w:rPr>
        <w:t>1</w:t>
      </w:r>
      <w:r w:rsidRPr="007260D4">
        <w:rPr>
          <w:rFonts w:ascii="Calibri" w:hAnsi="Calibri"/>
          <w:sz w:val="24"/>
          <w:vertAlign w:val="superscript"/>
          <w:lang w:val="fr-FR"/>
        </w:rPr>
        <w:t>e</w:t>
      </w:r>
      <w:r w:rsidRPr="007260D4">
        <w:rPr>
          <w:rFonts w:ascii="Calibri" w:hAnsi="Calibri"/>
          <w:lang w:val="fr-FR"/>
        </w:rPr>
        <w:t> Réunion et à toutes les réunions ultérieures du Comité permanent.</w:t>
      </w:r>
    </w:p>
    <w:p w:rsidR="00E949ED" w:rsidRPr="007260D4" w:rsidRDefault="00E949ED" w:rsidP="00533BAA">
      <w:pPr>
        <w:autoSpaceDE w:val="0"/>
        <w:autoSpaceDN w:val="0"/>
        <w:adjustRightInd w:val="0"/>
        <w:rPr>
          <w:rFonts w:ascii="Calibri" w:hAnsi="Calibri"/>
          <w:lang w:val="fr-FR"/>
        </w:rPr>
      </w:pPr>
    </w:p>
    <w:p w:rsidR="00E949ED" w:rsidRPr="007260D4" w:rsidRDefault="0008215B" w:rsidP="00533BAA">
      <w:pPr>
        <w:pStyle w:val="ListParagraph"/>
        <w:numPr>
          <w:ilvl w:val="0"/>
          <w:numId w:val="7"/>
        </w:numPr>
        <w:autoSpaceDE w:val="0"/>
        <w:autoSpaceDN w:val="0"/>
        <w:adjustRightInd w:val="0"/>
        <w:ind w:left="450" w:hanging="450"/>
        <w:jc w:val="left"/>
        <w:rPr>
          <w:rFonts w:ascii="Calibri" w:hAnsi="Calibri" w:cs="Arial"/>
          <w:lang w:val="fr-FR"/>
        </w:rPr>
      </w:pPr>
      <w:r w:rsidRPr="007260D4">
        <w:rPr>
          <w:rFonts w:ascii="Calibri" w:hAnsi="Calibri" w:cs="Arial"/>
          <w:lang w:val="fr-FR"/>
        </w:rPr>
        <w:t xml:space="preserve">DÉCIDE d’accorder le statut d’Organisation internationale partenaire au </w:t>
      </w:r>
      <w:r w:rsidRPr="007260D4">
        <w:rPr>
          <w:rFonts w:asciiTheme="minorHAnsi" w:hAnsiTheme="minorHAnsi"/>
          <w:lang w:val="fr-FR"/>
        </w:rPr>
        <w:t xml:space="preserve">Wildfowl </w:t>
      </w:r>
      <w:r w:rsidR="00EB188C" w:rsidRPr="007260D4">
        <w:rPr>
          <w:rFonts w:asciiTheme="minorHAnsi" w:hAnsiTheme="minorHAnsi"/>
          <w:lang w:val="fr-FR"/>
        </w:rPr>
        <w:t xml:space="preserve">&amp; </w:t>
      </w:r>
      <w:r w:rsidRPr="007260D4">
        <w:rPr>
          <w:rFonts w:asciiTheme="minorHAnsi" w:hAnsiTheme="minorHAnsi"/>
          <w:lang w:val="fr-FR"/>
        </w:rPr>
        <w:t>Wetlands Trust (WWT).</w:t>
      </w:r>
      <w:r w:rsidRPr="007260D4">
        <w:rPr>
          <w:rFonts w:ascii="Calibri" w:hAnsi="Calibri" w:cs="Arial"/>
          <w:lang w:val="fr-FR"/>
        </w:rPr>
        <w:t xml:space="preserve"> </w:t>
      </w:r>
      <w:bookmarkStart w:id="0" w:name="_GoBack"/>
      <w:bookmarkEnd w:id="0"/>
    </w:p>
    <w:sectPr w:rsidR="00E949ED" w:rsidRPr="007260D4" w:rsidSect="00013AA2">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55C" w:rsidRDefault="0025055C" w:rsidP="001D57E7">
      <w:r>
        <w:separator/>
      </w:r>
    </w:p>
  </w:endnote>
  <w:endnote w:type="continuationSeparator" w:id="0">
    <w:p w:rsidR="0025055C" w:rsidRDefault="0025055C" w:rsidP="001D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A75" w:rsidRPr="004A0400" w:rsidRDefault="00A14F34" w:rsidP="00A14F34">
    <w:pPr>
      <w:pStyle w:val="Footer"/>
      <w:tabs>
        <w:tab w:val="right" w:pos="9072"/>
      </w:tabs>
      <w:rPr>
        <w:sz w:val="20"/>
        <w:szCs w:val="20"/>
        <w:lang w:val="fr-FR"/>
      </w:rPr>
    </w:pPr>
    <w:r w:rsidRPr="004A0400">
      <w:rPr>
        <w:rFonts w:asciiTheme="minorHAnsi" w:hAnsiTheme="minorHAnsi" w:cs="Calibri"/>
        <w:noProof/>
        <w:sz w:val="20"/>
        <w:szCs w:val="20"/>
        <w:lang w:val="fr-FR"/>
      </w:rPr>
      <w:t xml:space="preserve">Ramsar COP12 </w:t>
    </w:r>
    <w:r w:rsidR="003A52B0" w:rsidRPr="004A0400">
      <w:rPr>
        <w:rFonts w:asciiTheme="minorHAnsi" w:hAnsiTheme="minorHAnsi" w:cs="Calibri"/>
        <w:noProof/>
        <w:sz w:val="20"/>
        <w:szCs w:val="20"/>
        <w:lang w:val="fr-FR"/>
      </w:rPr>
      <w:t>Résolution XII.3</w:t>
    </w:r>
    <w:r w:rsidR="004A0400" w:rsidRPr="004A0400">
      <w:rPr>
        <w:rFonts w:asciiTheme="minorHAnsi" w:hAnsiTheme="minorHAnsi" w:cs="Calibri"/>
        <w:noProof/>
        <w:sz w:val="20"/>
        <w:szCs w:val="20"/>
        <w:lang w:val="fr-FR"/>
      </w:rPr>
      <w:t xml:space="preserve"> (Rev. COP13)</w:t>
    </w:r>
    <w:r w:rsidRPr="004A0400">
      <w:rPr>
        <w:rFonts w:asciiTheme="minorHAnsi" w:hAnsiTheme="minorHAnsi" w:cs="Calibri"/>
        <w:noProof/>
        <w:sz w:val="20"/>
        <w:szCs w:val="20"/>
        <w:lang w:val="fr-FR"/>
      </w:rPr>
      <w:tab/>
    </w:r>
    <w:r w:rsidRPr="004A0400">
      <w:rPr>
        <w:rFonts w:asciiTheme="minorHAnsi" w:hAnsiTheme="minorHAnsi" w:cs="Calibri"/>
        <w:noProof/>
        <w:sz w:val="20"/>
        <w:szCs w:val="20"/>
        <w:lang w:val="fr-FR"/>
      </w:rPr>
      <w:tab/>
    </w:r>
    <w:r w:rsidR="00482347" w:rsidRPr="00A9376C">
      <w:rPr>
        <w:rFonts w:asciiTheme="minorHAnsi" w:hAnsiTheme="minorHAnsi" w:cs="Calibri"/>
        <w:noProof/>
        <w:sz w:val="20"/>
        <w:szCs w:val="20"/>
      </w:rPr>
      <w:fldChar w:fldCharType="begin"/>
    </w:r>
    <w:r w:rsidRPr="004A0400">
      <w:rPr>
        <w:rFonts w:asciiTheme="minorHAnsi" w:hAnsiTheme="minorHAnsi" w:cs="Calibri"/>
        <w:noProof/>
        <w:sz w:val="20"/>
        <w:szCs w:val="20"/>
        <w:lang w:val="fr-FR"/>
      </w:rPr>
      <w:instrText xml:space="preserve"> PAGE   \* MERGEFORMAT </w:instrText>
    </w:r>
    <w:r w:rsidR="00482347" w:rsidRPr="00A9376C">
      <w:rPr>
        <w:rFonts w:asciiTheme="minorHAnsi" w:hAnsiTheme="minorHAnsi" w:cs="Calibri"/>
        <w:noProof/>
        <w:sz w:val="20"/>
        <w:szCs w:val="20"/>
      </w:rPr>
      <w:fldChar w:fldCharType="separate"/>
    </w:r>
    <w:r w:rsidR="004A0400">
      <w:rPr>
        <w:rFonts w:asciiTheme="minorHAnsi" w:hAnsiTheme="minorHAnsi" w:cs="Calibri"/>
        <w:noProof/>
        <w:sz w:val="20"/>
        <w:szCs w:val="20"/>
        <w:lang w:val="fr-FR"/>
      </w:rPr>
      <w:t>5</w:t>
    </w:r>
    <w:r w:rsidR="00482347" w:rsidRPr="00A9376C">
      <w:rPr>
        <w:rFonts w:asciiTheme="minorHAnsi" w:hAnsiTheme="minorHAnsi" w:cs="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55C" w:rsidRDefault="0025055C" w:rsidP="001D57E7">
      <w:r>
        <w:separator/>
      </w:r>
    </w:p>
  </w:footnote>
  <w:footnote w:type="continuationSeparator" w:id="0">
    <w:p w:rsidR="0025055C" w:rsidRDefault="0025055C" w:rsidP="001D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A75" w:rsidRPr="00E6069B" w:rsidRDefault="00DF4A75">
    <w:pPr>
      <w:pStyle w:val="Header"/>
      <w:rPr>
        <w:sz w:val="22"/>
        <w:szCs w:val="22"/>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F43"/>
    <w:multiLevelType w:val="hybridMultilevel"/>
    <w:tmpl w:val="09AC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37962"/>
    <w:multiLevelType w:val="hybridMultilevel"/>
    <w:tmpl w:val="E3CA68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00CC3"/>
    <w:multiLevelType w:val="hybridMultilevel"/>
    <w:tmpl w:val="BB286396"/>
    <w:lvl w:ilvl="0" w:tplc="CDCE0122">
      <w:start w:val="1"/>
      <w:numFmt w:val="lowerRoman"/>
      <w:lvlText w:val="%1)"/>
      <w:lvlJc w:val="left"/>
      <w:pPr>
        <w:ind w:left="1146" w:hanging="72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3" w15:restartNumberingAfterBreak="0">
    <w:nsid w:val="195D3718"/>
    <w:multiLevelType w:val="hybridMultilevel"/>
    <w:tmpl w:val="B3FEB450"/>
    <w:lvl w:ilvl="0" w:tplc="0C0C0017">
      <w:start w:val="1"/>
      <w:numFmt w:val="lowerLetter"/>
      <w:lvlText w:val="%1)"/>
      <w:lvlJc w:val="left"/>
      <w:pPr>
        <w:ind w:left="1227" w:hanging="360"/>
      </w:pPr>
    </w:lvl>
    <w:lvl w:ilvl="1" w:tplc="0C0C0019">
      <w:start w:val="1"/>
      <w:numFmt w:val="lowerLetter"/>
      <w:lvlText w:val="%2."/>
      <w:lvlJc w:val="left"/>
      <w:pPr>
        <w:ind w:left="3054" w:hanging="360"/>
      </w:pPr>
    </w:lvl>
    <w:lvl w:ilvl="2" w:tplc="0C0C001B" w:tentative="1">
      <w:start w:val="1"/>
      <w:numFmt w:val="lowerRoman"/>
      <w:lvlText w:val="%3."/>
      <w:lvlJc w:val="right"/>
      <w:pPr>
        <w:ind w:left="2667" w:hanging="180"/>
      </w:pPr>
    </w:lvl>
    <w:lvl w:ilvl="3" w:tplc="0C0C000F" w:tentative="1">
      <w:start w:val="1"/>
      <w:numFmt w:val="decimal"/>
      <w:lvlText w:val="%4."/>
      <w:lvlJc w:val="left"/>
      <w:pPr>
        <w:ind w:left="3387" w:hanging="360"/>
      </w:pPr>
    </w:lvl>
    <w:lvl w:ilvl="4" w:tplc="0C0C0019" w:tentative="1">
      <w:start w:val="1"/>
      <w:numFmt w:val="lowerLetter"/>
      <w:lvlText w:val="%5."/>
      <w:lvlJc w:val="left"/>
      <w:pPr>
        <w:ind w:left="4107" w:hanging="360"/>
      </w:pPr>
    </w:lvl>
    <w:lvl w:ilvl="5" w:tplc="0C0C001B" w:tentative="1">
      <w:start w:val="1"/>
      <w:numFmt w:val="lowerRoman"/>
      <w:lvlText w:val="%6."/>
      <w:lvlJc w:val="right"/>
      <w:pPr>
        <w:ind w:left="4827" w:hanging="180"/>
      </w:pPr>
    </w:lvl>
    <w:lvl w:ilvl="6" w:tplc="0C0C000F" w:tentative="1">
      <w:start w:val="1"/>
      <w:numFmt w:val="decimal"/>
      <w:lvlText w:val="%7."/>
      <w:lvlJc w:val="left"/>
      <w:pPr>
        <w:ind w:left="5547" w:hanging="360"/>
      </w:pPr>
    </w:lvl>
    <w:lvl w:ilvl="7" w:tplc="0C0C0019" w:tentative="1">
      <w:start w:val="1"/>
      <w:numFmt w:val="lowerLetter"/>
      <w:lvlText w:val="%8."/>
      <w:lvlJc w:val="left"/>
      <w:pPr>
        <w:ind w:left="6267" w:hanging="360"/>
      </w:pPr>
    </w:lvl>
    <w:lvl w:ilvl="8" w:tplc="0C0C001B" w:tentative="1">
      <w:start w:val="1"/>
      <w:numFmt w:val="lowerRoman"/>
      <w:lvlText w:val="%9."/>
      <w:lvlJc w:val="right"/>
      <w:pPr>
        <w:ind w:left="6987" w:hanging="180"/>
      </w:pPr>
    </w:lvl>
  </w:abstractNum>
  <w:abstractNum w:abstractNumId="4" w15:restartNumberingAfterBreak="0">
    <w:nsid w:val="1A433A84"/>
    <w:multiLevelType w:val="hybridMultilevel"/>
    <w:tmpl w:val="1A9648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E6E12DD"/>
    <w:multiLevelType w:val="hybridMultilevel"/>
    <w:tmpl w:val="A56E1478"/>
    <w:lvl w:ilvl="0" w:tplc="AFCCB0B4">
      <w:start w:val="1"/>
      <w:numFmt w:val="bullet"/>
      <w:lvlText w:val=""/>
      <w:lvlJc w:val="left"/>
      <w:pPr>
        <w:ind w:left="720" w:hanging="360"/>
      </w:pPr>
      <w:rPr>
        <w:rFonts w:ascii="Symbol" w:hAnsi="Symbol" w:hint="default"/>
        <w:u w:color="FFFFF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C3DB1"/>
    <w:multiLevelType w:val="hybridMultilevel"/>
    <w:tmpl w:val="E4D43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25B7C"/>
    <w:multiLevelType w:val="hybridMultilevel"/>
    <w:tmpl w:val="DB30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C3254"/>
    <w:multiLevelType w:val="hybridMultilevel"/>
    <w:tmpl w:val="1268832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305C0596"/>
    <w:multiLevelType w:val="hybridMultilevel"/>
    <w:tmpl w:val="123250FC"/>
    <w:lvl w:ilvl="0" w:tplc="C3088D46">
      <w:start w:val="1"/>
      <w:numFmt w:val="lowerRoman"/>
      <w:lvlText w:val="%1)"/>
      <w:lvlJc w:val="left"/>
      <w:pPr>
        <w:ind w:left="1146" w:hanging="72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0" w15:restartNumberingAfterBreak="0">
    <w:nsid w:val="34613550"/>
    <w:multiLevelType w:val="hybridMultilevel"/>
    <w:tmpl w:val="ED08F29E"/>
    <w:lvl w:ilvl="0" w:tplc="BBB6E116">
      <w:start w:val="1"/>
      <w:numFmt w:val="bullet"/>
      <w:lvlText w:val="x"/>
      <w:lvlJc w:val="left"/>
      <w:pPr>
        <w:ind w:left="720" w:hanging="360"/>
      </w:pPr>
      <w:rPr>
        <w:rFonts w:ascii="Calibri" w:hAnsi="Calibri" w:hint="default"/>
      </w:rPr>
    </w:lvl>
    <w:lvl w:ilvl="1" w:tplc="761ED18C">
      <w:start w:val="1"/>
      <w:numFmt w:val="lowerRoman"/>
      <w:lvlText w:val="%2."/>
      <w:lvlJc w:val="left"/>
      <w:pPr>
        <w:ind w:left="1440" w:hanging="360"/>
      </w:pPr>
      <w:rPr>
        <w:rFonts w:ascii="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73F91"/>
    <w:multiLevelType w:val="hybridMultilevel"/>
    <w:tmpl w:val="4F5282C0"/>
    <w:lvl w:ilvl="0" w:tplc="BBB6E116">
      <w:start w:val="1"/>
      <w:numFmt w:val="bullet"/>
      <w:lvlText w:val="x"/>
      <w:lvlJc w:val="left"/>
      <w:pPr>
        <w:ind w:left="720" w:hanging="360"/>
      </w:pPr>
      <w:rPr>
        <w:rFonts w:ascii="Calibri" w:hAnsi="Calibri" w:hint="default"/>
      </w:rPr>
    </w:lvl>
    <w:lvl w:ilvl="1" w:tplc="04090013">
      <w:start w:val="1"/>
      <w:numFmt w:val="upperRoman"/>
      <w:lvlText w:val="%2."/>
      <w:lvlJc w:val="righ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11DF7"/>
    <w:multiLevelType w:val="hybridMultilevel"/>
    <w:tmpl w:val="7B7E14EE"/>
    <w:lvl w:ilvl="0" w:tplc="47E0B11A">
      <w:start w:val="1"/>
      <w:numFmt w:val="bullet"/>
      <w:lvlText w:val="•"/>
      <w:lvlJc w:val="left"/>
      <w:pPr>
        <w:tabs>
          <w:tab w:val="num" w:pos="720"/>
        </w:tabs>
        <w:ind w:left="720" w:hanging="360"/>
      </w:pPr>
      <w:rPr>
        <w:rFonts w:ascii="Arial" w:hAnsi="Arial" w:hint="default"/>
      </w:rPr>
    </w:lvl>
    <w:lvl w:ilvl="1" w:tplc="B9188256" w:tentative="1">
      <w:start w:val="1"/>
      <w:numFmt w:val="bullet"/>
      <w:lvlText w:val="•"/>
      <w:lvlJc w:val="left"/>
      <w:pPr>
        <w:tabs>
          <w:tab w:val="num" w:pos="1440"/>
        </w:tabs>
        <w:ind w:left="1440" w:hanging="360"/>
      </w:pPr>
      <w:rPr>
        <w:rFonts w:ascii="Arial" w:hAnsi="Arial" w:hint="default"/>
      </w:rPr>
    </w:lvl>
    <w:lvl w:ilvl="2" w:tplc="AA0895FE" w:tentative="1">
      <w:start w:val="1"/>
      <w:numFmt w:val="bullet"/>
      <w:lvlText w:val="•"/>
      <w:lvlJc w:val="left"/>
      <w:pPr>
        <w:tabs>
          <w:tab w:val="num" w:pos="2160"/>
        </w:tabs>
        <w:ind w:left="2160" w:hanging="360"/>
      </w:pPr>
      <w:rPr>
        <w:rFonts w:ascii="Arial" w:hAnsi="Arial" w:hint="default"/>
      </w:rPr>
    </w:lvl>
    <w:lvl w:ilvl="3" w:tplc="9C1672EC" w:tentative="1">
      <w:start w:val="1"/>
      <w:numFmt w:val="bullet"/>
      <w:lvlText w:val="•"/>
      <w:lvlJc w:val="left"/>
      <w:pPr>
        <w:tabs>
          <w:tab w:val="num" w:pos="2880"/>
        </w:tabs>
        <w:ind w:left="2880" w:hanging="360"/>
      </w:pPr>
      <w:rPr>
        <w:rFonts w:ascii="Arial" w:hAnsi="Arial" w:hint="default"/>
      </w:rPr>
    </w:lvl>
    <w:lvl w:ilvl="4" w:tplc="2FA2B44E" w:tentative="1">
      <w:start w:val="1"/>
      <w:numFmt w:val="bullet"/>
      <w:lvlText w:val="•"/>
      <w:lvlJc w:val="left"/>
      <w:pPr>
        <w:tabs>
          <w:tab w:val="num" w:pos="3600"/>
        </w:tabs>
        <w:ind w:left="3600" w:hanging="360"/>
      </w:pPr>
      <w:rPr>
        <w:rFonts w:ascii="Arial" w:hAnsi="Arial" w:hint="default"/>
      </w:rPr>
    </w:lvl>
    <w:lvl w:ilvl="5" w:tplc="91781510" w:tentative="1">
      <w:start w:val="1"/>
      <w:numFmt w:val="bullet"/>
      <w:lvlText w:val="•"/>
      <w:lvlJc w:val="left"/>
      <w:pPr>
        <w:tabs>
          <w:tab w:val="num" w:pos="4320"/>
        </w:tabs>
        <w:ind w:left="4320" w:hanging="360"/>
      </w:pPr>
      <w:rPr>
        <w:rFonts w:ascii="Arial" w:hAnsi="Arial" w:hint="default"/>
      </w:rPr>
    </w:lvl>
    <w:lvl w:ilvl="6" w:tplc="8ACE8FDE" w:tentative="1">
      <w:start w:val="1"/>
      <w:numFmt w:val="bullet"/>
      <w:lvlText w:val="•"/>
      <w:lvlJc w:val="left"/>
      <w:pPr>
        <w:tabs>
          <w:tab w:val="num" w:pos="5040"/>
        </w:tabs>
        <w:ind w:left="5040" w:hanging="360"/>
      </w:pPr>
      <w:rPr>
        <w:rFonts w:ascii="Arial" w:hAnsi="Arial" w:hint="default"/>
      </w:rPr>
    </w:lvl>
    <w:lvl w:ilvl="7" w:tplc="9904A86E" w:tentative="1">
      <w:start w:val="1"/>
      <w:numFmt w:val="bullet"/>
      <w:lvlText w:val="•"/>
      <w:lvlJc w:val="left"/>
      <w:pPr>
        <w:tabs>
          <w:tab w:val="num" w:pos="5760"/>
        </w:tabs>
        <w:ind w:left="5760" w:hanging="360"/>
      </w:pPr>
      <w:rPr>
        <w:rFonts w:ascii="Arial" w:hAnsi="Arial" w:hint="default"/>
      </w:rPr>
    </w:lvl>
    <w:lvl w:ilvl="8" w:tplc="256043A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194AFA"/>
    <w:multiLevelType w:val="hybridMultilevel"/>
    <w:tmpl w:val="134A43E8"/>
    <w:lvl w:ilvl="0" w:tplc="BD7E1342">
      <w:start w:val="1"/>
      <w:numFmt w:val="lowerLetter"/>
      <w:lvlText w:val="%1)"/>
      <w:lvlJc w:val="left"/>
      <w:pPr>
        <w:ind w:left="1506" w:hanging="72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4" w15:restartNumberingAfterBreak="0">
    <w:nsid w:val="38282480"/>
    <w:multiLevelType w:val="hybridMultilevel"/>
    <w:tmpl w:val="D758E31C"/>
    <w:lvl w:ilvl="0" w:tplc="35DA5F26">
      <w:start w:val="1"/>
      <w:numFmt w:val="decimal"/>
      <w:lvlText w:val="%1."/>
      <w:lvlJc w:val="left"/>
      <w:pPr>
        <w:ind w:left="4755" w:hanging="360"/>
      </w:pPr>
      <w:rPr>
        <w:rFonts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DC916D7"/>
    <w:multiLevelType w:val="hybridMultilevel"/>
    <w:tmpl w:val="D3BC7D3E"/>
    <w:lvl w:ilvl="0" w:tplc="66A08784">
      <w:start w:val="2"/>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4D90659"/>
    <w:multiLevelType w:val="hybridMultilevel"/>
    <w:tmpl w:val="7A1CEB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DB4D59"/>
    <w:multiLevelType w:val="hybridMultilevel"/>
    <w:tmpl w:val="84C87E4E"/>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8" w15:restartNumberingAfterBreak="0">
    <w:nsid w:val="544C2F18"/>
    <w:multiLevelType w:val="hybridMultilevel"/>
    <w:tmpl w:val="203A9730"/>
    <w:lvl w:ilvl="0" w:tplc="9E8A7A66">
      <w:start w:val="1"/>
      <w:numFmt w:val="lowerRoman"/>
      <w:lvlText w:val="%1."/>
      <w:lvlJc w:val="right"/>
      <w:pPr>
        <w:ind w:left="1449" w:hanging="360"/>
      </w:pPr>
      <w:rPr>
        <w:rFonts w:cs="Times New Roman"/>
        <w:color w:val="auto"/>
      </w:rPr>
    </w:lvl>
    <w:lvl w:ilvl="1" w:tplc="08090019" w:tentative="1">
      <w:start w:val="1"/>
      <w:numFmt w:val="lowerLetter"/>
      <w:lvlText w:val="%2."/>
      <w:lvlJc w:val="left"/>
      <w:pPr>
        <w:ind w:left="2169" w:hanging="360"/>
      </w:pPr>
      <w:rPr>
        <w:rFonts w:cs="Times New Roman"/>
      </w:rPr>
    </w:lvl>
    <w:lvl w:ilvl="2" w:tplc="0809001B" w:tentative="1">
      <w:start w:val="1"/>
      <w:numFmt w:val="lowerRoman"/>
      <w:lvlText w:val="%3."/>
      <w:lvlJc w:val="right"/>
      <w:pPr>
        <w:ind w:left="2889" w:hanging="180"/>
      </w:pPr>
      <w:rPr>
        <w:rFonts w:cs="Times New Roman"/>
      </w:rPr>
    </w:lvl>
    <w:lvl w:ilvl="3" w:tplc="0809000F" w:tentative="1">
      <w:start w:val="1"/>
      <w:numFmt w:val="decimal"/>
      <w:lvlText w:val="%4."/>
      <w:lvlJc w:val="left"/>
      <w:pPr>
        <w:ind w:left="3609" w:hanging="360"/>
      </w:pPr>
      <w:rPr>
        <w:rFonts w:cs="Times New Roman"/>
      </w:rPr>
    </w:lvl>
    <w:lvl w:ilvl="4" w:tplc="08090019" w:tentative="1">
      <w:start w:val="1"/>
      <w:numFmt w:val="lowerLetter"/>
      <w:lvlText w:val="%5."/>
      <w:lvlJc w:val="left"/>
      <w:pPr>
        <w:ind w:left="4329" w:hanging="360"/>
      </w:pPr>
      <w:rPr>
        <w:rFonts w:cs="Times New Roman"/>
      </w:rPr>
    </w:lvl>
    <w:lvl w:ilvl="5" w:tplc="0809001B" w:tentative="1">
      <w:start w:val="1"/>
      <w:numFmt w:val="lowerRoman"/>
      <w:lvlText w:val="%6."/>
      <w:lvlJc w:val="right"/>
      <w:pPr>
        <w:ind w:left="5049" w:hanging="180"/>
      </w:pPr>
      <w:rPr>
        <w:rFonts w:cs="Times New Roman"/>
      </w:rPr>
    </w:lvl>
    <w:lvl w:ilvl="6" w:tplc="0809000F" w:tentative="1">
      <w:start w:val="1"/>
      <w:numFmt w:val="decimal"/>
      <w:lvlText w:val="%7."/>
      <w:lvlJc w:val="left"/>
      <w:pPr>
        <w:ind w:left="5769" w:hanging="360"/>
      </w:pPr>
      <w:rPr>
        <w:rFonts w:cs="Times New Roman"/>
      </w:rPr>
    </w:lvl>
    <w:lvl w:ilvl="7" w:tplc="08090019" w:tentative="1">
      <w:start w:val="1"/>
      <w:numFmt w:val="lowerLetter"/>
      <w:lvlText w:val="%8."/>
      <w:lvlJc w:val="left"/>
      <w:pPr>
        <w:ind w:left="6489" w:hanging="360"/>
      </w:pPr>
      <w:rPr>
        <w:rFonts w:cs="Times New Roman"/>
      </w:rPr>
    </w:lvl>
    <w:lvl w:ilvl="8" w:tplc="0809001B" w:tentative="1">
      <w:start w:val="1"/>
      <w:numFmt w:val="lowerRoman"/>
      <w:lvlText w:val="%9."/>
      <w:lvlJc w:val="right"/>
      <w:pPr>
        <w:ind w:left="7209" w:hanging="180"/>
      </w:pPr>
      <w:rPr>
        <w:rFonts w:cs="Times New Roman"/>
      </w:rPr>
    </w:lvl>
  </w:abstractNum>
  <w:abstractNum w:abstractNumId="19" w15:restartNumberingAfterBreak="0">
    <w:nsid w:val="5DB66AC2"/>
    <w:multiLevelType w:val="hybridMultilevel"/>
    <w:tmpl w:val="A28C7E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0B3D7A"/>
    <w:multiLevelType w:val="hybridMultilevel"/>
    <w:tmpl w:val="BB286396"/>
    <w:lvl w:ilvl="0" w:tplc="CDCE0122">
      <w:start w:val="1"/>
      <w:numFmt w:val="lowerRoman"/>
      <w:lvlText w:val="%1)"/>
      <w:lvlJc w:val="left"/>
      <w:pPr>
        <w:ind w:left="1146" w:hanging="72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21" w15:restartNumberingAfterBreak="0">
    <w:nsid w:val="6A0752D9"/>
    <w:multiLevelType w:val="hybridMultilevel"/>
    <w:tmpl w:val="0D54A8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0E3036"/>
    <w:multiLevelType w:val="hybridMultilevel"/>
    <w:tmpl w:val="BBB0FD44"/>
    <w:lvl w:ilvl="0" w:tplc="D00AB7B8">
      <w:numFmt w:val="bullet"/>
      <w:lvlText w:val=""/>
      <w:lvlJc w:val="left"/>
      <w:pPr>
        <w:ind w:left="720" w:hanging="360"/>
      </w:pPr>
      <w:rPr>
        <w:rFonts w:ascii="Calibri" w:eastAsia="Times New Roman" w:hAnsi="Calibri"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711633EE"/>
    <w:multiLevelType w:val="hybridMultilevel"/>
    <w:tmpl w:val="3A2C3A8E"/>
    <w:lvl w:ilvl="0" w:tplc="10BECC2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23"/>
  </w:num>
  <w:num w:numId="3">
    <w:abstractNumId w:val="5"/>
  </w:num>
  <w:num w:numId="4">
    <w:abstractNumId w:val="11"/>
  </w:num>
  <w:num w:numId="5">
    <w:abstractNumId w:val="12"/>
  </w:num>
  <w:num w:numId="6">
    <w:abstractNumId w:val="2"/>
  </w:num>
  <w:num w:numId="7">
    <w:abstractNumId w:val="14"/>
  </w:num>
  <w:num w:numId="8">
    <w:abstractNumId w:val="4"/>
  </w:num>
  <w:num w:numId="9">
    <w:abstractNumId w:val="0"/>
  </w:num>
  <w:num w:numId="10">
    <w:abstractNumId w:val="7"/>
  </w:num>
  <w:num w:numId="11">
    <w:abstractNumId w:val="20"/>
  </w:num>
  <w:num w:numId="12">
    <w:abstractNumId w:val="13"/>
  </w:num>
  <w:num w:numId="13">
    <w:abstractNumId w:val="15"/>
  </w:num>
  <w:num w:numId="14">
    <w:abstractNumId w:val="9"/>
  </w:num>
  <w:num w:numId="15">
    <w:abstractNumId w:val="10"/>
  </w:num>
  <w:num w:numId="16">
    <w:abstractNumId w:val="17"/>
  </w:num>
  <w:num w:numId="17">
    <w:abstractNumId w:val="22"/>
  </w:num>
  <w:num w:numId="18">
    <w:abstractNumId w:val="3"/>
  </w:num>
  <w:num w:numId="19">
    <w:abstractNumId w:val="6"/>
  </w:num>
  <w:num w:numId="20">
    <w:abstractNumId w:val="16"/>
  </w:num>
  <w:num w:numId="21">
    <w:abstractNumId w:val="21"/>
  </w:num>
  <w:num w:numId="22">
    <w:abstractNumId w:val="19"/>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45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D85"/>
    <w:rsid w:val="00004387"/>
    <w:rsid w:val="00005FFD"/>
    <w:rsid w:val="00006D55"/>
    <w:rsid w:val="00007143"/>
    <w:rsid w:val="0001165F"/>
    <w:rsid w:val="00013AA2"/>
    <w:rsid w:val="00025432"/>
    <w:rsid w:val="00031F44"/>
    <w:rsid w:val="000347EA"/>
    <w:rsid w:val="0004265B"/>
    <w:rsid w:val="0005481E"/>
    <w:rsid w:val="000565A8"/>
    <w:rsid w:val="000605D8"/>
    <w:rsid w:val="00064596"/>
    <w:rsid w:val="00066163"/>
    <w:rsid w:val="0008215B"/>
    <w:rsid w:val="000B1343"/>
    <w:rsid w:val="000B2D0E"/>
    <w:rsid w:val="000B7D20"/>
    <w:rsid w:val="000C57A1"/>
    <w:rsid w:val="000D6A09"/>
    <w:rsid w:val="000D6C2E"/>
    <w:rsid w:val="000E6B34"/>
    <w:rsid w:val="000E70F0"/>
    <w:rsid w:val="000F2211"/>
    <w:rsid w:val="00100DFF"/>
    <w:rsid w:val="00126E21"/>
    <w:rsid w:val="001364C9"/>
    <w:rsid w:val="00137902"/>
    <w:rsid w:val="001504D1"/>
    <w:rsid w:val="00155367"/>
    <w:rsid w:val="0016316F"/>
    <w:rsid w:val="00163582"/>
    <w:rsid w:val="00171D74"/>
    <w:rsid w:val="00176FA5"/>
    <w:rsid w:val="00192DEA"/>
    <w:rsid w:val="00196D3F"/>
    <w:rsid w:val="001A4603"/>
    <w:rsid w:val="001B347E"/>
    <w:rsid w:val="001B4410"/>
    <w:rsid w:val="001C17FF"/>
    <w:rsid w:val="001C33BC"/>
    <w:rsid w:val="001D3119"/>
    <w:rsid w:val="001D4863"/>
    <w:rsid w:val="001D57E7"/>
    <w:rsid w:val="001E6FDA"/>
    <w:rsid w:val="001F0334"/>
    <w:rsid w:val="00212356"/>
    <w:rsid w:val="002123EF"/>
    <w:rsid w:val="0021321D"/>
    <w:rsid w:val="002209C5"/>
    <w:rsid w:val="0025055C"/>
    <w:rsid w:val="00254813"/>
    <w:rsid w:val="0026298A"/>
    <w:rsid w:val="00262AC8"/>
    <w:rsid w:val="002725F8"/>
    <w:rsid w:val="00290CC9"/>
    <w:rsid w:val="002B4C53"/>
    <w:rsid w:val="002D416D"/>
    <w:rsid w:val="002D592C"/>
    <w:rsid w:val="002E1795"/>
    <w:rsid w:val="002E49E5"/>
    <w:rsid w:val="002F1E5A"/>
    <w:rsid w:val="002F29DF"/>
    <w:rsid w:val="002F2EBB"/>
    <w:rsid w:val="0030181F"/>
    <w:rsid w:val="0030257A"/>
    <w:rsid w:val="00305BE1"/>
    <w:rsid w:val="00306C54"/>
    <w:rsid w:val="00315D0C"/>
    <w:rsid w:val="0032719D"/>
    <w:rsid w:val="00331DA5"/>
    <w:rsid w:val="00335B68"/>
    <w:rsid w:val="003373F5"/>
    <w:rsid w:val="0034103D"/>
    <w:rsid w:val="00345E78"/>
    <w:rsid w:val="00350310"/>
    <w:rsid w:val="00350AA7"/>
    <w:rsid w:val="003661EA"/>
    <w:rsid w:val="0037409E"/>
    <w:rsid w:val="0037419D"/>
    <w:rsid w:val="00385F95"/>
    <w:rsid w:val="00391A4D"/>
    <w:rsid w:val="003A01EE"/>
    <w:rsid w:val="003A52B0"/>
    <w:rsid w:val="003A5CFD"/>
    <w:rsid w:val="003A72F1"/>
    <w:rsid w:val="003C072A"/>
    <w:rsid w:val="003E38AC"/>
    <w:rsid w:val="003E3BC2"/>
    <w:rsid w:val="003F04C1"/>
    <w:rsid w:val="003F78F5"/>
    <w:rsid w:val="00403E19"/>
    <w:rsid w:val="00404C57"/>
    <w:rsid w:val="004065E7"/>
    <w:rsid w:val="00407B52"/>
    <w:rsid w:val="00411627"/>
    <w:rsid w:val="00457748"/>
    <w:rsid w:val="00461B63"/>
    <w:rsid w:val="004633C7"/>
    <w:rsid w:val="00463BEF"/>
    <w:rsid w:val="0047150F"/>
    <w:rsid w:val="00475C13"/>
    <w:rsid w:val="00482347"/>
    <w:rsid w:val="004A0400"/>
    <w:rsid w:val="004A0F65"/>
    <w:rsid w:val="004A693B"/>
    <w:rsid w:val="004A7294"/>
    <w:rsid w:val="004A795B"/>
    <w:rsid w:val="004B5269"/>
    <w:rsid w:val="004D7E1B"/>
    <w:rsid w:val="004F6FF5"/>
    <w:rsid w:val="00512BB8"/>
    <w:rsid w:val="00512D41"/>
    <w:rsid w:val="00516CFA"/>
    <w:rsid w:val="005218C0"/>
    <w:rsid w:val="00523295"/>
    <w:rsid w:val="00525FFE"/>
    <w:rsid w:val="0052755B"/>
    <w:rsid w:val="00533BAA"/>
    <w:rsid w:val="00544524"/>
    <w:rsid w:val="00547917"/>
    <w:rsid w:val="00551896"/>
    <w:rsid w:val="00552ED6"/>
    <w:rsid w:val="0055600B"/>
    <w:rsid w:val="005571D5"/>
    <w:rsid w:val="00571967"/>
    <w:rsid w:val="0057347F"/>
    <w:rsid w:val="005772F5"/>
    <w:rsid w:val="00590F6C"/>
    <w:rsid w:val="00593B16"/>
    <w:rsid w:val="005A2E09"/>
    <w:rsid w:val="005A4E29"/>
    <w:rsid w:val="005A6857"/>
    <w:rsid w:val="005C4FAF"/>
    <w:rsid w:val="005C7921"/>
    <w:rsid w:val="005D057B"/>
    <w:rsid w:val="005F2861"/>
    <w:rsid w:val="00603C40"/>
    <w:rsid w:val="006122AC"/>
    <w:rsid w:val="00622990"/>
    <w:rsid w:val="0062334C"/>
    <w:rsid w:val="00627DC2"/>
    <w:rsid w:val="00644D96"/>
    <w:rsid w:val="00661A57"/>
    <w:rsid w:val="0068338C"/>
    <w:rsid w:val="006854B1"/>
    <w:rsid w:val="006A063D"/>
    <w:rsid w:val="006A3E57"/>
    <w:rsid w:val="006B2FA7"/>
    <w:rsid w:val="006B60FB"/>
    <w:rsid w:val="006B7424"/>
    <w:rsid w:val="006C1A7E"/>
    <w:rsid w:val="006C425C"/>
    <w:rsid w:val="006C4C57"/>
    <w:rsid w:val="006C5791"/>
    <w:rsid w:val="006D2707"/>
    <w:rsid w:val="006D4EB3"/>
    <w:rsid w:val="006D6F73"/>
    <w:rsid w:val="006F20EE"/>
    <w:rsid w:val="00710CF9"/>
    <w:rsid w:val="00713D5E"/>
    <w:rsid w:val="007221F1"/>
    <w:rsid w:val="007260D4"/>
    <w:rsid w:val="00744B5E"/>
    <w:rsid w:val="00745C08"/>
    <w:rsid w:val="00753334"/>
    <w:rsid w:val="00770244"/>
    <w:rsid w:val="00777186"/>
    <w:rsid w:val="00795283"/>
    <w:rsid w:val="007B6AA2"/>
    <w:rsid w:val="007C2075"/>
    <w:rsid w:val="007D07CC"/>
    <w:rsid w:val="007D66D3"/>
    <w:rsid w:val="007F16F2"/>
    <w:rsid w:val="007F39C1"/>
    <w:rsid w:val="00800F5C"/>
    <w:rsid w:val="00801895"/>
    <w:rsid w:val="0080776D"/>
    <w:rsid w:val="00820EF8"/>
    <w:rsid w:val="008267C4"/>
    <w:rsid w:val="008533E3"/>
    <w:rsid w:val="0085473C"/>
    <w:rsid w:val="00875530"/>
    <w:rsid w:val="008861F4"/>
    <w:rsid w:val="00895322"/>
    <w:rsid w:val="00896FF4"/>
    <w:rsid w:val="008A4653"/>
    <w:rsid w:val="008B1E1F"/>
    <w:rsid w:val="008B391F"/>
    <w:rsid w:val="008C0C91"/>
    <w:rsid w:val="008C405D"/>
    <w:rsid w:val="008C57E1"/>
    <w:rsid w:val="008D1DF7"/>
    <w:rsid w:val="008E0AED"/>
    <w:rsid w:val="008F3CFC"/>
    <w:rsid w:val="0090144B"/>
    <w:rsid w:val="00922DC0"/>
    <w:rsid w:val="00924A29"/>
    <w:rsid w:val="00926243"/>
    <w:rsid w:val="00932204"/>
    <w:rsid w:val="009342AB"/>
    <w:rsid w:val="009365D6"/>
    <w:rsid w:val="009413AD"/>
    <w:rsid w:val="0094490C"/>
    <w:rsid w:val="009626F1"/>
    <w:rsid w:val="009635A9"/>
    <w:rsid w:val="00966B5B"/>
    <w:rsid w:val="0097352A"/>
    <w:rsid w:val="00975E47"/>
    <w:rsid w:val="00980153"/>
    <w:rsid w:val="00993B99"/>
    <w:rsid w:val="009952B8"/>
    <w:rsid w:val="009956B4"/>
    <w:rsid w:val="0099584E"/>
    <w:rsid w:val="0099612E"/>
    <w:rsid w:val="009B1684"/>
    <w:rsid w:val="009B4E48"/>
    <w:rsid w:val="009C2144"/>
    <w:rsid w:val="009C2CE5"/>
    <w:rsid w:val="009C5AB6"/>
    <w:rsid w:val="009C6339"/>
    <w:rsid w:val="009C6E0F"/>
    <w:rsid w:val="009D7A5C"/>
    <w:rsid w:val="009F4758"/>
    <w:rsid w:val="009F799C"/>
    <w:rsid w:val="00A04F22"/>
    <w:rsid w:val="00A07DDA"/>
    <w:rsid w:val="00A14F34"/>
    <w:rsid w:val="00A27140"/>
    <w:rsid w:val="00A317D1"/>
    <w:rsid w:val="00A32A5B"/>
    <w:rsid w:val="00A33721"/>
    <w:rsid w:val="00A40670"/>
    <w:rsid w:val="00A42F5D"/>
    <w:rsid w:val="00A51FA5"/>
    <w:rsid w:val="00A5283B"/>
    <w:rsid w:val="00A66484"/>
    <w:rsid w:val="00A66CC3"/>
    <w:rsid w:val="00A864FD"/>
    <w:rsid w:val="00A91EDB"/>
    <w:rsid w:val="00AA3FFD"/>
    <w:rsid w:val="00AA4D6F"/>
    <w:rsid w:val="00AB1003"/>
    <w:rsid w:val="00AB4BF5"/>
    <w:rsid w:val="00AD27D5"/>
    <w:rsid w:val="00AD3FCD"/>
    <w:rsid w:val="00AE4DAC"/>
    <w:rsid w:val="00AF01B7"/>
    <w:rsid w:val="00AF1529"/>
    <w:rsid w:val="00AF2D4C"/>
    <w:rsid w:val="00AF4F97"/>
    <w:rsid w:val="00B11540"/>
    <w:rsid w:val="00B11BA9"/>
    <w:rsid w:val="00B22039"/>
    <w:rsid w:val="00B26388"/>
    <w:rsid w:val="00B31EF2"/>
    <w:rsid w:val="00B329FD"/>
    <w:rsid w:val="00B33660"/>
    <w:rsid w:val="00B3644E"/>
    <w:rsid w:val="00B450A6"/>
    <w:rsid w:val="00B47F80"/>
    <w:rsid w:val="00B529FE"/>
    <w:rsid w:val="00B55ABF"/>
    <w:rsid w:val="00B56E92"/>
    <w:rsid w:val="00B75799"/>
    <w:rsid w:val="00B7591B"/>
    <w:rsid w:val="00B85A25"/>
    <w:rsid w:val="00B86B95"/>
    <w:rsid w:val="00B87D12"/>
    <w:rsid w:val="00BA13BA"/>
    <w:rsid w:val="00BA30B8"/>
    <w:rsid w:val="00BA4EFF"/>
    <w:rsid w:val="00BB581A"/>
    <w:rsid w:val="00BC0DAD"/>
    <w:rsid w:val="00BC4A98"/>
    <w:rsid w:val="00BD21A4"/>
    <w:rsid w:val="00BE3554"/>
    <w:rsid w:val="00BF2744"/>
    <w:rsid w:val="00BF666F"/>
    <w:rsid w:val="00C01C7A"/>
    <w:rsid w:val="00C20AB8"/>
    <w:rsid w:val="00C43512"/>
    <w:rsid w:val="00C43948"/>
    <w:rsid w:val="00C54811"/>
    <w:rsid w:val="00C54EA4"/>
    <w:rsid w:val="00C6437A"/>
    <w:rsid w:val="00C8170D"/>
    <w:rsid w:val="00C84E8B"/>
    <w:rsid w:val="00C87F56"/>
    <w:rsid w:val="00C92E66"/>
    <w:rsid w:val="00C93726"/>
    <w:rsid w:val="00CB1E39"/>
    <w:rsid w:val="00CC57CC"/>
    <w:rsid w:val="00CE142D"/>
    <w:rsid w:val="00CE168A"/>
    <w:rsid w:val="00CE7DAA"/>
    <w:rsid w:val="00CF51AB"/>
    <w:rsid w:val="00CF5ED7"/>
    <w:rsid w:val="00D0300F"/>
    <w:rsid w:val="00D03679"/>
    <w:rsid w:val="00D050EB"/>
    <w:rsid w:val="00D07EDD"/>
    <w:rsid w:val="00D250A2"/>
    <w:rsid w:val="00D37514"/>
    <w:rsid w:val="00D44C2B"/>
    <w:rsid w:val="00D4578A"/>
    <w:rsid w:val="00D9420B"/>
    <w:rsid w:val="00D97CAD"/>
    <w:rsid w:val="00DA1F32"/>
    <w:rsid w:val="00DB058B"/>
    <w:rsid w:val="00DC56BC"/>
    <w:rsid w:val="00DD022D"/>
    <w:rsid w:val="00DD5081"/>
    <w:rsid w:val="00DE2D1D"/>
    <w:rsid w:val="00DE4FF3"/>
    <w:rsid w:val="00DF43D9"/>
    <w:rsid w:val="00DF4A75"/>
    <w:rsid w:val="00E009D8"/>
    <w:rsid w:val="00E02EF6"/>
    <w:rsid w:val="00E05B59"/>
    <w:rsid w:val="00E06A35"/>
    <w:rsid w:val="00E1054C"/>
    <w:rsid w:val="00E113EE"/>
    <w:rsid w:val="00E209AE"/>
    <w:rsid w:val="00E2346B"/>
    <w:rsid w:val="00E2411E"/>
    <w:rsid w:val="00E307A2"/>
    <w:rsid w:val="00E33D85"/>
    <w:rsid w:val="00E54469"/>
    <w:rsid w:val="00E55C84"/>
    <w:rsid w:val="00E6069B"/>
    <w:rsid w:val="00E64ABD"/>
    <w:rsid w:val="00E70C04"/>
    <w:rsid w:val="00E74BD5"/>
    <w:rsid w:val="00E8374C"/>
    <w:rsid w:val="00E86106"/>
    <w:rsid w:val="00E92CA4"/>
    <w:rsid w:val="00E949ED"/>
    <w:rsid w:val="00E96009"/>
    <w:rsid w:val="00E978E6"/>
    <w:rsid w:val="00EA238B"/>
    <w:rsid w:val="00EB188C"/>
    <w:rsid w:val="00EB247E"/>
    <w:rsid w:val="00EB6E61"/>
    <w:rsid w:val="00EC1777"/>
    <w:rsid w:val="00EC1D93"/>
    <w:rsid w:val="00ED6E86"/>
    <w:rsid w:val="00EE2C51"/>
    <w:rsid w:val="00EE7E45"/>
    <w:rsid w:val="00EF24A9"/>
    <w:rsid w:val="00F006E0"/>
    <w:rsid w:val="00F04CBE"/>
    <w:rsid w:val="00F054CD"/>
    <w:rsid w:val="00F07C37"/>
    <w:rsid w:val="00F11768"/>
    <w:rsid w:val="00F13DE2"/>
    <w:rsid w:val="00F25956"/>
    <w:rsid w:val="00F278BB"/>
    <w:rsid w:val="00F3367F"/>
    <w:rsid w:val="00F4757B"/>
    <w:rsid w:val="00F57993"/>
    <w:rsid w:val="00F629CD"/>
    <w:rsid w:val="00F67B72"/>
    <w:rsid w:val="00F761B6"/>
    <w:rsid w:val="00F83CC7"/>
    <w:rsid w:val="00F87552"/>
    <w:rsid w:val="00F96393"/>
    <w:rsid w:val="00F97945"/>
    <w:rsid w:val="00F97AA8"/>
    <w:rsid w:val="00FA4A25"/>
    <w:rsid w:val="00FA7C55"/>
    <w:rsid w:val="00FB139D"/>
    <w:rsid w:val="00FB1CC8"/>
    <w:rsid w:val="00FE5016"/>
    <w:rsid w:val="00FF012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A93247"/>
  <w15:docId w15:val="{0CAFF829-6AA6-4B1E-97BE-F7952037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D85"/>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33BC"/>
    <w:pPr>
      <w:ind w:left="720"/>
      <w:contextualSpacing/>
      <w:jc w:val="both"/>
    </w:pPr>
    <w:rPr>
      <w:rFonts w:ascii="Tahoma" w:eastAsia="Calibri" w:hAnsi="Tahoma"/>
      <w:sz w:val="22"/>
      <w:szCs w:val="22"/>
      <w:lang w:eastAsia="en-US"/>
    </w:rPr>
  </w:style>
  <w:style w:type="paragraph" w:styleId="Header">
    <w:name w:val="header"/>
    <w:basedOn w:val="Normal"/>
    <w:link w:val="HeaderCh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HeaderChar">
    <w:name w:val="Header Char"/>
    <w:basedOn w:val="DefaultParagraphFont"/>
    <w:link w:val="Header"/>
    <w:uiPriority w:val="99"/>
    <w:locked/>
    <w:rsid w:val="001C33BC"/>
    <w:rPr>
      <w:rFonts w:ascii="Tahoma" w:hAnsi="Tahoma" w:cs="Times New Roman"/>
      <w:sz w:val="20"/>
      <w:szCs w:val="20"/>
    </w:rPr>
  </w:style>
  <w:style w:type="paragraph" w:styleId="Footer">
    <w:name w:val="footer"/>
    <w:basedOn w:val="Normal"/>
    <w:link w:val="FooterChar"/>
    <w:uiPriority w:val="99"/>
    <w:rsid w:val="001D57E7"/>
    <w:pPr>
      <w:tabs>
        <w:tab w:val="center" w:pos="4513"/>
        <w:tab w:val="right" w:pos="9026"/>
      </w:tabs>
    </w:pPr>
  </w:style>
  <w:style w:type="character" w:customStyle="1" w:styleId="FooterChar">
    <w:name w:val="Footer Char"/>
    <w:basedOn w:val="DefaultParagraphFont"/>
    <w:link w:val="Footer"/>
    <w:uiPriority w:val="99"/>
    <w:locked/>
    <w:rsid w:val="001D57E7"/>
    <w:rPr>
      <w:rFonts w:ascii="Times New Roman" w:hAnsi="Times New Roman" w:cs="Times New Roman"/>
      <w:sz w:val="24"/>
      <w:szCs w:val="24"/>
      <w:lang w:eastAsia="en-GB"/>
    </w:rPr>
  </w:style>
  <w:style w:type="paragraph" w:customStyle="1" w:styleId="Default">
    <w:name w:val="Default"/>
    <w:uiPriority w:val="99"/>
    <w:rsid w:val="006C5791"/>
    <w:pPr>
      <w:autoSpaceDE w:val="0"/>
      <w:autoSpaceDN w:val="0"/>
      <w:adjustRightInd w:val="0"/>
    </w:pPr>
    <w:rPr>
      <w:rFonts w:ascii="Garamond" w:hAnsi="Garamond" w:cs="Garamond"/>
      <w:color w:val="000000"/>
      <w:sz w:val="24"/>
      <w:szCs w:val="24"/>
      <w:lang w:val="en-GB" w:eastAsia="en-US"/>
    </w:rPr>
  </w:style>
  <w:style w:type="character" w:styleId="Strong">
    <w:name w:val="Strong"/>
    <w:basedOn w:val="DefaultParagraphFont"/>
    <w:uiPriority w:val="99"/>
    <w:qFormat/>
    <w:rsid w:val="00E2346B"/>
    <w:rPr>
      <w:rFonts w:cs="Times New Roman"/>
      <w:b/>
      <w:bCs/>
    </w:rPr>
  </w:style>
  <w:style w:type="character" w:styleId="CommentReference">
    <w:name w:val="annotation reference"/>
    <w:basedOn w:val="DefaultParagraphFont"/>
    <w:uiPriority w:val="99"/>
    <w:semiHidden/>
    <w:rsid w:val="00F278BB"/>
    <w:rPr>
      <w:rFonts w:cs="Times New Roman"/>
      <w:sz w:val="16"/>
      <w:szCs w:val="16"/>
    </w:rPr>
  </w:style>
  <w:style w:type="paragraph" w:styleId="CommentText">
    <w:name w:val="annotation text"/>
    <w:basedOn w:val="Normal"/>
    <w:link w:val="CommentTextChar"/>
    <w:uiPriority w:val="99"/>
    <w:semiHidden/>
    <w:rsid w:val="00F278BB"/>
    <w:rPr>
      <w:sz w:val="20"/>
      <w:szCs w:val="20"/>
    </w:rPr>
  </w:style>
  <w:style w:type="character" w:customStyle="1" w:styleId="CommentTextChar">
    <w:name w:val="Comment Text Char"/>
    <w:basedOn w:val="DefaultParagraphFont"/>
    <w:link w:val="CommentText"/>
    <w:uiPriority w:val="99"/>
    <w:semiHidden/>
    <w:locked/>
    <w:rsid w:val="00F278B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F278BB"/>
    <w:rPr>
      <w:b/>
      <w:bCs/>
    </w:rPr>
  </w:style>
  <w:style w:type="character" w:customStyle="1" w:styleId="CommentSubjectChar">
    <w:name w:val="Comment Subject Char"/>
    <w:basedOn w:val="CommentTextChar"/>
    <w:link w:val="CommentSubject"/>
    <w:uiPriority w:val="99"/>
    <w:semiHidden/>
    <w:locked/>
    <w:rsid w:val="00F278BB"/>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rsid w:val="00F278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8BB"/>
    <w:rPr>
      <w:rFonts w:ascii="Tahoma" w:hAnsi="Tahoma" w:cs="Tahoma"/>
      <w:sz w:val="16"/>
      <w:szCs w:val="16"/>
      <w:lang w:eastAsia="en-GB"/>
    </w:rPr>
  </w:style>
  <w:style w:type="paragraph" w:styleId="Revision">
    <w:name w:val="Revision"/>
    <w:hidden/>
    <w:uiPriority w:val="99"/>
    <w:semiHidden/>
    <w:rsid w:val="004A795B"/>
    <w:rPr>
      <w:rFonts w:ascii="Times New Roman" w:eastAsia="Times New Roman" w:hAnsi="Times New Roman"/>
      <w:sz w:val="24"/>
      <w:szCs w:val="24"/>
      <w:lang w:val="en-GB" w:eastAsia="en-GB"/>
    </w:rPr>
  </w:style>
  <w:style w:type="paragraph" w:styleId="Subtitle">
    <w:name w:val="Subtitle"/>
    <w:basedOn w:val="Normal"/>
    <w:next w:val="Normal"/>
    <w:link w:val="SubtitleChar"/>
    <w:qFormat/>
    <w:locked/>
    <w:rsid w:val="009365D6"/>
    <w:pPr>
      <w:numPr>
        <w:ilvl w:val="1"/>
      </w:numPr>
    </w:pPr>
    <w:rPr>
      <w:rFonts w:ascii="Calibri Light" w:hAnsi="Calibri Light"/>
      <w:i/>
      <w:iCs/>
      <w:color w:val="5B9BD5"/>
      <w:spacing w:val="15"/>
      <w:lang w:val="es-ES" w:eastAsia="es-ES"/>
    </w:rPr>
  </w:style>
  <w:style w:type="character" w:customStyle="1" w:styleId="SubtitleChar">
    <w:name w:val="Subtitle Char"/>
    <w:basedOn w:val="DefaultParagraphFont"/>
    <w:link w:val="Subtitle"/>
    <w:rsid w:val="009365D6"/>
    <w:rPr>
      <w:rFonts w:ascii="Calibri Light" w:eastAsia="Times New Roman" w:hAnsi="Calibri Light"/>
      <w:i/>
      <w:iCs/>
      <w:color w:val="5B9BD5"/>
      <w:spacing w:val="15"/>
      <w:sz w:val="24"/>
      <w:szCs w:val="24"/>
      <w:lang w:val="es-ES" w:eastAsia="es-ES"/>
    </w:rPr>
  </w:style>
  <w:style w:type="character" w:styleId="Hyperlink">
    <w:name w:val="Hyperlink"/>
    <w:basedOn w:val="DefaultParagraphFont"/>
    <w:uiPriority w:val="99"/>
    <w:unhideWhenUsed/>
    <w:rsid w:val="00B115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252348">
      <w:marLeft w:val="0"/>
      <w:marRight w:val="0"/>
      <w:marTop w:val="0"/>
      <w:marBottom w:val="0"/>
      <w:divBdr>
        <w:top w:val="none" w:sz="0" w:space="0" w:color="auto"/>
        <w:left w:val="none" w:sz="0" w:space="0" w:color="auto"/>
        <w:bottom w:val="none" w:sz="0" w:space="0" w:color="auto"/>
        <w:right w:val="none" w:sz="0" w:space="0" w:color="auto"/>
      </w:divBdr>
      <w:divsChild>
        <w:div w:id="508252350">
          <w:marLeft w:val="547"/>
          <w:marRight w:val="0"/>
          <w:marTop w:val="115"/>
          <w:marBottom w:val="0"/>
          <w:divBdr>
            <w:top w:val="none" w:sz="0" w:space="0" w:color="auto"/>
            <w:left w:val="none" w:sz="0" w:space="0" w:color="auto"/>
            <w:bottom w:val="none" w:sz="0" w:space="0" w:color="auto"/>
            <w:right w:val="none" w:sz="0" w:space="0" w:color="auto"/>
          </w:divBdr>
        </w:div>
        <w:div w:id="508252351">
          <w:marLeft w:val="547"/>
          <w:marRight w:val="0"/>
          <w:marTop w:val="115"/>
          <w:marBottom w:val="0"/>
          <w:divBdr>
            <w:top w:val="none" w:sz="0" w:space="0" w:color="auto"/>
            <w:left w:val="none" w:sz="0" w:space="0" w:color="auto"/>
            <w:bottom w:val="none" w:sz="0" w:space="0" w:color="auto"/>
            <w:right w:val="none" w:sz="0" w:space="0" w:color="auto"/>
          </w:divBdr>
        </w:div>
      </w:divsChild>
    </w:div>
    <w:div w:id="508252349">
      <w:marLeft w:val="0"/>
      <w:marRight w:val="0"/>
      <w:marTop w:val="0"/>
      <w:marBottom w:val="0"/>
      <w:divBdr>
        <w:top w:val="none" w:sz="0" w:space="0" w:color="auto"/>
        <w:left w:val="none" w:sz="0" w:space="0" w:color="auto"/>
        <w:bottom w:val="none" w:sz="0" w:space="0" w:color="auto"/>
        <w:right w:val="none" w:sz="0" w:space="0" w:color="auto"/>
      </w:divBdr>
    </w:div>
    <w:div w:id="96268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fr/document/resolution-xiii6-la-strategie-pour-les-langues-de-la-conven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amsar.org/fr/document/resolution-xii3-renforcer-lutilisation-des-langues-la-visibilite-et-la-stature-de-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2717</Words>
  <Characters>15629</Characters>
  <Application>Microsoft Office Word</Application>
  <DocSecurity>0</DocSecurity>
  <Lines>289</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CONVENTION ON WETLANDS (Ramsar, Iran, 1971)</vt:lpstr>
      <vt:lpstr>CONVENTION ON WETLANDS (Ramsar, Iran, 1971)</vt:lpstr>
    </vt:vector>
  </TitlesOfParts>
  <Company>Toshiba</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creator>RIVERA Maria</dc:creator>
  <cp:lastModifiedBy>JENNINGS Edmund</cp:lastModifiedBy>
  <cp:revision>2</cp:revision>
  <cp:lastPrinted>2014-10-13T21:50:00Z</cp:lastPrinted>
  <dcterms:created xsi:type="dcterms:W3CDTF">2019-01-28T16:44:00Z</dcterms:created>
  <dcterms:modified xsi:type="dcterms:W3CDTF">2019-01-28T16:44:00Z</dcterms:modified>
</cp:coreProperties>
</file>