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3F722" w14:textId="77777777" w:rsidR="00654F73" w:rsidRPr="00B618D5" w:rsidRDefault="00654F73" w:rsidP="00654F73">
      <w:pPr>
        <w:jc w:val="center"/>
        <w:rPr>
          <w:rFonts w:asciiTheme="minorHAnsi" w:hAnsiTheme="minorHAnsi"/>
          <w:b/>
          <w:sz w:val="25"/>
          <w:szCs w:val="25"/>
          <w:lang w:val="es-ES_tradnl"/>
        </w:rPr>
      </w:pPr>
      <w:r w:rsidRPr="00B618D5">
        <w:rPr>
          <w:rFonts w:asciiTheme="minorHAnsi" w:hAnsiTheme="minorHAnsi"/>
          <w:noProof/>
          <w:sz w:val="25"/>
          <w:szCs w:val="25"/>
        </w:rPr>
        <w:drawing>
          <wp:anchor distT="0" distB="0" distL="114300" distR="114300" simplePos="0" relativeHeight="251659264" behindDoc="0" locked="0" layoutInCell="1" allowOverlap="1" wp14:anchorId="272EFBB1" wp14:editId="507A82C7">
            <wp:simplePos x="0" y="0"/>
            <wp:positionH relativeFrom="margin">
              <wp:posOffset>-171450</wp:posOffset>
            </wp:positionH>
            <wp:positionV relativeFrom="margin">
              <wp:posOffset>-190500</wp:posOffset>
            </wp:positionV>
            <wp:extent cx="2219325" cy="952500"/>
            <wp:effectExtent l="19050" t="0" r="9525" b="0"/>
            <wp:wrapSquare wrapText="bothSides"/>
            <wp:docPr id="8"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a:stretch>
                      <a:fillRect/>
                    </a:stretch>
                  </pic:blipFill>
                  <pic:spPr bwMode="auto">
                    <a:xfrm>
                      <a:off x="0" y="0"/>
                      <a:ext cx="2219325" cy="952500"/>
                    </a:xfrm>
                    <a:prstGeom prst="rect">
                      <a:avLst/>
                    </a:prstGeom>
                    <a:noFill/>
                    <a:ln>
                      <a:noFill/>
                    </a:ln>
                  </pic:spPr>
                </pic:pic>
              </a:graphicData>
            </a:graphic>
          </wp:anchor>
        </w:drawing>
      </w:r>
      <w:r w:rsidR="001644AE" w:rsidRPr="00B618D5">
        <w:rPr>
          <w:rFonts w:asciiTheme="minorHAnsi" w:hAnsiTheme="minorHAnsi"/>
          <w:b/>
          <w:sz w:val="25"/>
          <w:szCs w:val="25"/>
          <w:lang w:val="es-ES_tradnl"/>
        </w:rPr>
        <w:t>12ª Reunión de la Conferencia de las Partes en la Convención sobre los Humedales (Ramsar, Irán, 1971</w:t>
      </w:r>
      <w:r w:rsidRPr="00B618D5">
        <w:rPr>
          <w:rFonts w:asciiTheme="minorHAnsi" w:hAnsiTheme="minorHAnsi"/>
          <w:b/>
          <w:sz w:val="25"/>
          <w:szCs w:val="25"/>
          <w:lang w:val="es-ES_tradnl"/>
        </w:rPr>
        <w:t>)</w:t>
      </w:r>
    </w:p>
    <w:p w14:paraId="0BBC7C44" w14:textId="77777777" w:rsidR="00654F73" w:rsidRPr="00B618D5" w:rsidRDefault="00654F73" w:rsidP="00654F73">
      <w:pPr>
        <w:jc w:val="center"/>
        <w:rPr>
          <w:rFonts w:asciiTheme="minorHAnsi" w:hAnsiTheme="minorHAnsi"/>
          <w:sz w:val="25"/>
          <w:szCs w:val="25"/>
          <w:lang w:val="es-ES_tradnl"/>
        </w:rPr>
      </w:pPr>
    </w:p>
    <w:p w14:paraId="58F7F6EC" w14:textId="11D2A525" w:rsidR="00654F73" w:rsidRPr="00B618D5" w:rsidRDefault="001644AE" w:rsidP="00654F73">
      <w:pPr>
        <w:tabs>
          <w:tab w:val="left" w:pos="3828"/>
        </w:tabs>
        <w:jc w:val="center"/>
        <w:rPr>
          <w:rFonts w:asciiTheme="minorHAnsi" w:hAnsiTheme="minorHAnsi"/>
          <w:b/>
          <w:sz w:val="25"/>
          <w:szCs w:val="25"/>
          <w:lang w:val="es-ES_tradnl"/>
        </w:rPr>
      </w:pPr>
      <w:r w:rsidRPr="00B618D5">
        <w:rPr>
          <w:rFonts w:asciiTheme="minorHAnsi" w:hAnsiTheme="minorHAnsi"/>
          <w:b/>
          <w:sz w:val="25"/>
          <w:szCs w:val="25"/>
          <w:lang w:val="es-ES_tradnl"/>
        </w:rPr>
        <w:t>Punta del Este, Uruguay, 1 a 9 de junio de 2015</w:t>
      </w:r>
    </w:p>
    <w:p w14:paraId="3BC89ABE" w14:textId="77777777" w:rsidR="00654F73" w:rsidRPr="009C04A9" w:rsidRDefault="00654F73" w:rsidP="00654F73">
      <w:pPr>
        <w:rPr>
          <w:rFonts w:asciiTheme="minorHAnsi" w:hAnsiTheme="minorHAnsi"/>
          <w:sz w:val="28"/>
          <w:szCs w:val="28"/>
          <w:lang w:val="es-ES_tradnl"/>
        </w:rPr>
      </w:pPr>
    </w:p>
    <w:p w14:paraId="19E55127" w14:textId="77777777" w:rsidR="00654F73" w:rsidRPr="009C04A9" w:rsidRDefault="00654F73" w:rsidP="00654F73">
      <w:pPr>
        <w:rPr>
          <w:rFonts w:asciiTheme="minorHAnsi" w:hAnsiTheme="minorHAnsi"/>
          <w:sz w:val="28"/>
          <w:szCs w:val="28"/>
          <w:lang w:val="es-ES_tradnl"/>
        </w:rPr>
      </w:pPr>
    </w:p>
    <w:p w14:paraId="37466B29" w14:textId="0B15CA3D" w:rsidR="00654F73" w:rsidRPr="00B618D5" w:rsidRDefault="001644AE" w:rsidP="00654F73">
      <w:pPr>
        <w:ind w:right="17"/>
        <w:jc w:val="center"/>
        <w:rPr>
          <w:rFonts w:asciiTheme="minorHAnsi" w:hAnsiTheme="minorHAnsi"/>
          <w:b/>
          <w:bCs/>
          <w:sz w:val="28"/>
          <w:szCs w:val="28"/>
          <w:lang w:val="es-ES_tradnl" w:eastAsia="el-GR"/>
        </w:rPr>
      </w:pPr>
      <w:r w:rsidRPr="00B618D5">
        <w:rPr>
          <w:rFonts w:asciiTheme="minorHAnsi" w:hAnsiTheme="minorHAnsi"/>
          <w:b/>
          <w:bCs/>
          <w:sz w:val="28"/>
          <w:szCs w:val="28"/>
          <w:lang w:val="es-ES_tradnl"/>
        </w:rPr>
        <w:t xml:space="preserve">Resolución </w:t>
      </w:r>
      <w:r w:rsidR="00654F73" w:rsidRPr="00B618D5">
        <w:rPr>
          <w:rFonts w:asciiTheme="minorHAnsi" w:hAnsiTheme="minorHAnsi"/>
          <w:b/>
          <w:bCs/>
          <w:sz w:val="28"/>
          <w:szCs w:val="28"/>
          <w:lang w:val="es-ES_tradnl" w:eastAsia="el-GR"/>
        </w:rPr>
        <w:t>XII.5</w:t>
      </w:r>
    </w:p>
    <w:p w14:paraId="2389CDEE" w14:textId="77777777" w:rsidR="00FF6643" w:rsidRPr="00B618D5" w:rsidRDefault="00FF6643" w:rsidP="00FF6643">
      <w:pPr>
        <w:jc w:val="center"/>
        <w:rPr>
          <w:rFonts w:asciiTheme="minorHAnsi" w:hAnsiTheme="minorHAnsi"/>
          <w:b/>
          <w:sz w:val="28"/>
          <w:lang w:val="es-ES_tradnl"/>
        </w:rPr>
      </w:pPr>
    </w:p>
    <w:p w14:paraId="78ADD942" w14:textId="41371D95" w:rsidR="001644AE" w:rsidRPr="00B618D5" w:rsidRDefault="008146FA" w:rsidP="009C04A9">
      <w:pPr>
        <w:jc w:val="center"/>
        <w:rPr>
          <w:rFonts w:asciiTheme="minorHAnsi" w:hAnsiTheme="minorHAnsi"/>
          <w:b/>
          <w:sz w:val="28"/>
          <w:lang w:val="es-ES_tradnl"/>
        </w:rPr>
      </w:pPr>
      <w:r>
        <w:rPr>
          <w:rFonts w:asciiTheme="minorHAnsi" w:hAnsiTheme="minorHAnsi"/>
          <w:b/>
          <w:sz w:val="28"/>
          <w:szCs w:val="28"/>
          <w:lang w:val="es-ES_tradnl"/>
        </w:rPr>
        <w:t>N</w:t>
      </w:r>
      <w:bookmarkStart w:id="0" w:name="_GoBack"/>
      <w:bookmarkEnd w:id="0"/>
      <w:r w:rsidR="001644AE" w:rsidRPr="00B618D5">
        <w:rPr>
          <w:rFonts w:asciiTheme="minorHAnsi" w:hAnsiTheme="minorHAnsi"/>
          <w:b/>
          <w:sz w:val="28"/>
          <w:szCs w:val="28"/>
          <w:lang w:val="es-ES_tradnl"/>
        </w:rPr>
        <w:t>uevo marco para la provisión de asesoramiento y</w:t>
      </w:r>
      <w:r w:rsidR="003412FD" w:rsidRPr="00B618D5">
        <w:rPr>
          <w:rFonts w:asciiTheme="minorHAnsi" w:hAnsiTheme="minorHAnsi"/>
          <w:b/>
          <w:sz w:val="28"/>
          <w:szCs w:val="28"/>
          <w:lang w:val="es-ES_tradnl"/>
        </w:rPr>
        <w:t xml:space="preserve"> orientaciones</w:t>
      </w:r>
      <w:r w:rsidR="001644AE" w:rsidRPr="00B618D5">
        <w:rPr>
          <w:rFonts w:asciiTheme="minorHAnsi" w:hAnsiTheme="minorHAnsi"/>
          <w:b/>
          <w:sz w:val="28"/>
          <w:szCs w:val="28"/>
          <w:lang w:val="es-ES_tradnl"/>
        </w:rPr>
        <w:t xml:space="preserve"> de carácter científico y técnico a la Convención</w:t>
      </w:r>
    </w:p>
    <w:p w14:paraId="4074A2DA" w14:textId="77777777" w:rsidR="001644AE" w:rsidRPr="009C04A9" w:rsidRDefault="001644AE" w:rsidP="009C04A9">
      <w:pPr>
        <w:ind w:left="426" w:hanging="426"/>
        <w:rPr>
          <w:rFonts w:asciiTheme="minorHAnsi" w:hAnsiTheme="minorHAnsi" w:cstheme="minorHAnsi"/>
          <w:sz w:val="28"/>
          <w:szCs w:val="28"/>
          <w:lang w:val="es-ES_tradnl"/>
        </w:rPr>
      </w:pPr>
    </w:p>
    <w:p w14:paraId="559851FF" w14:textId="77777777" w:rsidR="001644AE" w:rsidRPr="00B618D5" w:rsidRDefault="001644AE" w:rsidP="009C04A9">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lang w:val="es-ES_tradnl"/>
        </w:rPr>
      </w:pPr>
      <w:r w:rsidRPr="00B618D5">
        <w:rPr>
          <w:rFonts w:asciiTheme="minorHAnsi" w:eastAsiaTheme="minorHAnsi" w:hAnsiTheme="minorHAnsi" w:cstheme="minorHAnsi"/>
          <w:lang w:val="es-ES_tradnl"/>
        </w:rPr>
        <w:t>RECORDANDO el establecimiento, en virtud de la Resolución 5.5 (1993)</w:t>
      </w:r>
      <w:r w:rsidR="00EB5261" w:rsidRPr="00B618D5">
        <w:rPr>
          <w:rFonts w:asciiTheme="minorHAnsi" w:eastAsiaTheme="minorHAnsi" w:hAnsiTheme="minorHAnsi" w:cstheme="minorHAnsi"/>
          <w:lang w:val="es-ES_tradnl"/>
        </w:rPr>
        <w:t>,</w:t>
      </w:r>
      <w:r w:rsidRPr="00B618D5">
        <w:rPr>
          <w:rFonts w:asciiTheme="minorHAnsi" w:eastAsiaTheme="minorHAnsi" w:hAnsiTheme="minorHAnsi" w:cstheme="minorHAnsi"/>
          <w:lang w:val="es-ES_tradnl"/>
        </w:rPr>
        <w:t xml:space="preserve"> del Grupo de Examen Científico y Técnico (GECT) de la Convención de R</w:t>
      </w:r>
      <w:r w:rsidRPr="00B618D5">
        <w:rPr>
          <w:rFonts w:asciiTheme="minorHAnsi" w:hAnsiTheme="minorHAnsi" w:cstheme="minorHAnsi"/>
          <w:lang w:val="es-ES_tradnl"/>
        </w:rPr>
        <w:t>amsar como órgano subsidiario de la Convención para proporcionar asesoramiento científico y técnico a la Conferencia de las Partes, al Comité Permanente y a la Secretaría de Ramsar;</w:t>
      </w:r>
    </w:p>
    <w:p w14:paraId="4F8E8472" w14:textId="77777777" w:rsidR="001644AE" w:rsidRPr="00B618D5" w:rsidRDefault="001644AE" w:rsidP="009C04A9">
      <w:pPr>
        <w:autoSpaceDE w:val="0"/>
        <w:autoSpaceDN w:val="0"/>
        <w:adjustRightInd w:val="0"/>
        <w:ind w:left="426" w:hanging="426"/>
        <w:jc w:val="both"/>
        <w:rPr>
          <w:rFonts w:asciiTheme="minorHAnsi" w:eastAsiaTheme="minorHAnsi" w:hAnsiTheme="minorHAnsi" w:cstheme="minorHAnsi"/>
          <w:lang w:val="es-ES_tradnl"/>
        </w:rPr>
      </w:pPr>
    </w:p>
    <w:p w14:paraId="297BD6F7" w14:textId="77777777" w:rsidR="001644AE" w:rsidRPr="00B618D5" w:rsidRDefault="001644AE"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t>RECORDANDO TAMBIÉN las Resoluciones VI.7, VII.2, VIII.28, IX.11, X.9 y XI.18 sobre esta misma cuestión, en las que se introdujeron modificaciones sucesivas sobre la manera de organizar el GECT y su labor;</w:t>
      </w:r>
    </w:p>
    <w:p w14:paraId="0EF29B7F" w14:textId="77777777" w:rsidR="001644AE" w:rsidRPr="00B618D5" w:rsidRDefault="001644AE" w:rsidP="009C04A9">
      <w:pPr>
        <w:autoSpaceDE w:val="0"/>
        <w:autoSpaceDN w:val="0"/>
        <w:adjustRightInd w:val="0"/>
        <w:ind w:left="426" w:hanging="426"/>
        <w:jc w:val="both"/>
        <w:rPr>
          <w:rFonts w:asciiTheme="minorHAnsi" w:eastAsiaTheme="minorHAnsi" w:hAnsiTheme="minorHAnsi" w:cstheme="minorHAnsi"/>
          <w:lang w:val="es-ES_tradnl" w:eastAsia="en-US"/>
        </w:rPr>
      </w:pPr>
    </w:p>
    <w:p w14:paraId="0C4421D8" w14:textId="77777777" w:rsidR="001644AE" w:rsidRPr="00B618D5" w:rsidRDefault="001644AE"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t>DANDO LAS GRACIAS a todos los miembros del GECT y sus organizaciones observadoras y expertos invitados por sus contribuciones desde la 5ª reunión de la Conferencia de las Partes Contratantes y su asesoramiento especializado sobre numerosas cuestiones científicas y técnicas importantes para la aplicación de la Convención;</w:t>
      </w:r>
    </w:p>
    <w:p w14:paraId="2CD3129E" w14:textId="77777777" w:rsidR="001644AE" w:rsidRPr="00B618D5" w:rsidRDefault="001644AE" w:rsidP="009C04A9">
      <w:pPr>
        <w:pStyle w:val="ListParagraph"/>
        <w:autoSpaceDE w:val="0"/>
        <w:autoSpaceDN w:val="0"/>
        <w:adjustRightInd w:val="0"/>
        <w:spacing w:after="0" w:line="240" w:lineRule="auto"/>
        <w:ind w:left="426" w:hanging="426"/>
        <w:contextualSpacing w:val="0"/>
        <w:rPr>
          <w:rFonts w:asciiTheme="minorHAnsi" w:eastAsiaTheme="minorHAnsi" w:hAnsiTheme="minorHAnsi"/>
          <w:lang w:val="es-ES_tradnl"/>
        </w:rPr>
      </w:pPr>
    </w:p>
    <w:p w14:paraId="387E0540" w14:textId="77777777" w:rsidR="001644AE" w:rsidRPr="00B618D5" w:rsidRDefault="001644AE"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t>DANDO LAS GRACIAS TAMBIÉN a los numerosos gobiernos que han apoyado el trabajo del GECT mediante contribuciones financieras y EXPRESANDO SU AGRADECIMIENTO a las organizaciones observadoras así como a las Organizaciones Internacionales Asociadas a la Convención por sus constantes aportaciones al trabajo del Grupo;</w:t>
      </w:r>
    </w:p>
    <w:p w14:paraId="559C3786" w14:textId="77777777" w:rsidR="001644AE" w:rsidRPr="00B618D5" w:rsidRDefault="001644AE" w:rsidP="009C04A9">
      <w:pPr>
        <w:pStyle w:val="ListParagraph"/>
        <w:autoSpaceDE w:val="0"/>
        <w:autoSpaceDN w:val="0"/>
        <w:adjustRightInd w:val="0"/>
        <w:spacing w:after="0" w:line="240" w:lineRule="auto"/>
        <w:ind w:left="426" w:hanging="426"/>
        <w:contextualSpacing w:val="0"/>
        <w:rPr>
          <w:rFonts w:asciiTheme="minorHAnsi" w:hAnsiTheme="minorHAnsi"/>
          <w:lang w:val="es-ES_tradnl"/>
        </w:rPr>
      </w:pPr>
    </w:p>
    <w:p w14:paraId="650AF043" w14:textId="77777777" w:rsidR="001644AE" w:rsidRPr="00B618D5" w:rsidRDefault="001644AE" w:rsidP="009C04A9">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lang w:val="es-ES_tradnl"/>
        </w:rPr>
      </w:pPr>
      <w:r w:rsidRPr="00B618D5">
        <w:rPr>
          <w:rFonts w:asciiTheme="minorHAnsi" w:eastAsiaTheme="minorHAnsi" w:hAnsiTheme="minorHAnsi" w:cstheme="minorHAnsi"/>
          <w:lang w:val="es-ES_tradnl"/>
        </w:rPr>
        <w:t>RECORDANDO que, a través de la Resolución XI.16, las Partes Contratantes decidieron realizar  un examen de la prestación, adopción y aplicación de asesoramiento y orientaciones de carácter científico y técnico a la Convención, para su consideración por la 12ª reunión de la Conferencia de las Partes Contratantes</w:t>
      </w:r>
      <w:r w:rsidRPr="00B618D5">
        <w:rPr>
          <w:rFonts w:asciiTheme="minorHAnsi" w:hAnsiTheme="minorHAnsi" w:cstheme="minorHAnsi"/>
          <w:lang w:val="es-ES_tradnl"/>
        </w:rPr>
        <w:t>;</w:t>
      </w:r>
    </w:p>
    <w:p w14:paraId="6FB01959" w14:textId="77777777" w:rsidR="001644AE" w:rsidRPr="00B618D5" w:rsidRDefault="001644AE" w:rsidP="009C04A9">
      <w:pPr>
        <w:pStyle w:val="ListParagraph"/>
        <w:autoSpaceDE w:val="0"/>
        <w:autoSpaceDN w:val="0"/>
        <w:adjustRightInd w:val="0"/>
        <w:spacing w:after="0" w:line="240" w:lineRule="auto"/>
        <w:ind w:left="426" w:hanging="426"/>
        <w:contextualSpacing w:val="0"/>
        <w:rPr>
          <w:rFonts w:asciiTheme="minorHAnsi" w:hAnsiTheme="minorHAnsi" w:cstheme="minorHAnsi"/>
          <w:lang w:val="es-ES_tradnl"/>
        </w:rPr>
      </w:pPr>
    </w:p>
    <w:p w14:paraId="51C95175" w14:textId="77777777" w:rsidR="001644AE" w:rsidRPr="00B618D5" w:rsidRDefault="001644AE"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t>ACOGIENDO CON SATISFACCIÓN el informe d</w:t>
      </w:r>
      <w:r w:rsidR="00ED4C7A" w:rsidRPr="00B618D5">
        <w:rPr>
          <w:rFonts w:asciiTheme="minorHAnsi" w:eastAsiaTheme="minorHAnsi" w:hAnsiTheme="minorHAnsi" w:cstheme="minorHAnsi"/>
          <w:lang w:val="es-ES_tradnl"/>
        </w:rPr>
        <w:t>el Comité de Examen establecido</w:t>
      </w:r>
      <w:r w:rsidRPr="00B618D5">
        <w:rPr>
          <w:rFonts w:asciiTheme="minorHAnsi" w:eastAsiaTheme="minorHAnsi" w:hAnsiTheme="minorHAnsi" w:cstheme="minorHAnsi"/>
          <w:lang w:val="es-ES_tradnl"/>
        </w:rPr>
        <w:t xml:space="preserve"> por el Comité Permanente en su Decisión </w:t>
      </w:r>
      <w:r w:rsidRPr="00B618D5">
        <w:rPr>
          <w:rFonts w:asciiTheme="minorHAnsi" w:hAnsiTheme="minorHAnsi" w:cstheme="minorHAnsi"/>
          <w:lang w:val="es-ES_tradnl"/>
        </w:rPr>
        <w:t>SC46-25</w:t>
      </w:r>
      <w:r w:rsidRPr="00B618D5">
        <w:rPr>
          <w:rFonts w:asciiTheme="minorHAnsi" w:eastAsiaTheme="minorHAnsi" w:hAnsiTheme="minorHAnsi" w:cstheme="minorHAnsi"/>
          <w:lang w:val="es-ES_tradnl"/>
        </w:rPr>
        <w:t xml:space="preserve"> y las conclusiones de su examen, que se encuentran en el sitio web de Ramsar (en la dirección http://www.ramsar.org/sites/default/files/documents/library/final_report_and_components_ramsar_scientific_technical_advice.pdf);</w:t>
      </w:r>
    </w:p>
    <w:p w14:paraId="3346E586" w14:textId="77777777" w:rsidR="001644AE" w:rsidRPr="00B618D5" w:rsidRDefault="001644AE" w:rsidP="009C04A9">
      <w:pPr>
        <w:pStyle w:val="ListParagraph"/>
        <w:autoSpaceDE w:val="0"/>
        <w:autoSpaceDN w:val="0"/>
        <w:adjustRightInd w:val="0"/>
        <w:spacing w:after="0" w:line="240" w:lineRule="auto"/>
        <w:ind w:left="426"/>
        <w:contextualSpacing w:val="0"/>
        <w:rPr>
          <w:rFonts w:asciiTheme="minorHAnsi" w:eastAsiaTheme="minorHAnsi" w:hAnsiTheme="minorHAnsi" w:cstheme="minorHAnsi"/>
          <w:lang w:val="es-ES_tradnl"/>
        </w:rPr>
      </w:pPr>
    </w:p>
    <w:p w14:paraId="41E00E5C" w14:textId="77777777" w:rsidR="001644AE" w:rsidRPr="00B618D5" w:rsidRDefault="001644AE"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t>RECONOCIENDO que el examen y las recomendaciones del Comité de Examen revelaron que, aunque el asesoramiento científico y técnico de Ramsar es muy apreciado y ha contribuido al conocimiento científico y técnico sobre los humedales, no alcanza a todos los destinatarios a los que está dirigido y por lo tanto no responde plenamente a las necesidades de las Partes Contratantes y de las personas en dichos países que pueden contribuir a la aplicación de la Convención;</w:t>
      </w:r>
    </w:p>
    <w:p w14:paraId="4B93C09A" w14:textId="77777777" w:rsidR="001644AE" w:rsidRPr="00B618D5" w:rsidRDefault="001644AE" w:rsidP="009C04A9">
      <w:pPr>
        <w:pStyle w:val="ListParagraph"/>
        <w:spacing w:after="0" w:line="240" w:lineRule="auto"/>
        <w:ind w:left="426" w:hanging="426"/>
        <w:rPr>
          <w:rFonts w:asciiTheme="minorHAnsi" w:eastAsiaTheme="minorHAnsi" w:hAnsiTheme="minorHAnsi" w:cstheme="minorHAnsi"/>
          <w:lang w:val="es-ES_tradnl"/>
        </w:rPr>
      </w:pPr>
    </w:p>
    <w:p w14:paraId="7E50C456" w14:textId="5DFC3164" w:rsidR="001644AE" w:rsidRPr="00B618D5" w:rsidRDefault="001644AE" w:rsidP="009C04A9">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lang w:val="es-ES_tradnl"/>
        </w:rPr>
      </w:pPr>
      <w:r w:rsidRPr="00B618D5">
        <w:rPr>
          <w:rFonts w:asciiTheme="minorHAnsi" w:eastAsiaTheme="minorHAnsi" w:hAnsiTheme="minorHAnsi" w:cstheme="minorHAnsi"/>
          <w:lang w:val="es-ES_tradnl"/>
        </w:rPr>
        <w:lastRenderedPageBreak/>
        <w:t xml:space="preserve">TOMANDO NOTA de los diez desafíos específicos identificados durante el examen y de las </w:t>
      </w:r>
      <w:r w:rsidR="00ED4C7A" w:rsidRPr="00B618D5">
        <w:rPr>
          <w:rFonts w:asciiTheme="minorHAnsi" w:eastAsiaTheme="minorHAnsi" w:hAnsiTheme="minorHAnsi" w:cstheme="minorHAnsi"/>
          <w:lang w:val="es-ES_tradnl"/>
        </w:rPr>
        <w:t xml:space="preserve">30 </w:t>
      </w:r>
      <w:r w:rsidRPr="00B618D5">
        <w:rPr>
          <w:rFonts w:asciiTheme="minorHAnsi" w:eastAsiaTheme="minorHAnsi" w:hAnsiTheme="minorHAnsi" w:cstheme="minorHAnsi"/>
          <w:lang w:val="es-ES_tradnl"/>
        </w:rPr>
        <w:t xml:space="preserve">recomendaciones </w:t>
      </w:r>
      <w:r w:rsidR="00ED4C7A" w:rsidRPr="00B618D5">
        <w:rPr>
          <w:rFonts w:asciiTheme="minorHAnsi" w:eastAsiaTheme="minorHAnsi" w:hAnsiTheme="minorHAnsi" w:cstheme="minorHAnsi"/>
          <w:lang w:val="es-ES_tradnl"/>
        </w:rPr>
        <w:t xml:space="preserve">que figuran en el informe del comité de examen del sitio web de Ramsar </w:t>
      </w:r>
      <w:r w:rsidRPr="00B618D5">
        <w:rPr>
          <w:rFonts w:asciiTheme="minorHAnsi" w:eastAsiaTheme="minorHAnsi" w:hAnsiTheme="minorHAnsi" w:cstheme="minorHAnsi"/>
          <w:lang w:val="es-ES_tradnl"/>
        </w:rPr>
        <w:t xml:space="preserve">propuestas para responder a dichos desafíos; </w:t>
      </w:r>
    </w:p>
    <w:p w14:paraId="7B8902C3" w14:textId="77777777" w:rsidR="001644AE" w:rsidRPr="00B618D5" w:rsidRDefault="001644AE" w:rsidP="009C04A9">
      <w:pPr>
        <w:pStyle w:val="ListParagraph"/>
        <w:autoSpaceDE w:val="0"/>
        <w:autoSpaceDN w:val="0"/>
        <w:adjustRightInd w:val="0"/>
        <w:spacing w:after="0" w:line="240" w:lineRule="auto"/>
        <w:ind w:left="426" w:hanging="426"/>
        <w:contextualSpacing w:val="0"/>
        <w:rPr>
          <w:rFonts w:asciiTheme="minorHAnsi" w:hAnsiTheme="minorHAnsi" w:cstheme="minorHAnsi"/>
          <w:lang w:val="es-ES_tradnl"/>
        </w:rPr>
      </w:pPr>
    </w:p>
    <w:p w14:paraId="523BE5DB" w14:textId="2EFFC21D" w:rsidR="001644AE" w:rsidRPr="00B618D5" w:rsidRDefault="001644AE" w:rsidP="009C04A9">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lang w:val="es-ES_tradnl"/>
        </w:rPr>
      </w:pPr>
      <w:r w:rsidRPr="00B618D5">
        <w:rPr>
          <w:rFonts w:asciiTheme="minorHAnsi" w:eastAsiaTheme="minorHAnsi" w:hAnsiTheme="minorHAnsi" w:cstheme="minorHAnsi"/>
          <w:lang w:val="es-ES_tradnl"/>
        </w:rPr>
        <w:t xml:space="preserve">RECONOCIENDO </w:t>
      </w:r>
      <w:r w:rsidR="007D036B" w:rsidRPr="00B618D5">
        <w:rPr>
          <w:rFonts w:asciiTheme="minorHAnsi" w:eastAsiaTheme="minorHAnsi" w:hAnsiTheme="minorHAnsi" w:cstheme="minorHAnsi"/>
          <w:lang w:val="es-ES_tradnl"/>
        </w:rPr>
        <w:t>ASIMISMO</w:t>
      </w:r>
      <w:r w:rsidRPr="00B618D5">
        <w:rPr>
          <w:rFonts w:asciiTheme="minorHAnsi" w:eastAsiaTheme="minorHAnsi" w:hAnsiTheme="minorHAnsi" w:cstheme="minorHAnsi"/>
          <w:lang w:val="es-ES_tradnl"/>
        </w:rPr>
        <w:t xml:space="preserve"> las recomendaciones del Comité de Examen para que se modifiquen la estructura y los </w:t>
      </w:r>
      <w:r w:rsidR="00EB5261" w:rsidRPr="00B618D5">
        <w:rPr>
          <w:rFonts w:asciiTheme="minorHAnsi" w:eastAsiaTheme="minorHAnsi" w:hAnsiTheme="minorHAnsi" w:cstheme="minorHAnsi"/>
          <w:lang w:val="es-ES_tradnl"/>
        </w:rPr>
        <w:t>procesos del GECT de forma que e</w:t>
      </w:r>
      <w:r w:rsidRPr="00B618D5">
        <w:rPr>
          <w:rFonts w:asciiTheme="minorHAnsi" w:eastAsiaTheme="minorHAnsi" w:hAnsiTheme="minorHAnsi" w:cstheme="minorHAnsi"/>
          <w:lang w:val="es-ES_tradnl"/>
        </w:rPr>
        <w:t>ste responda mejor a las necesidades actuales y futuras de las Partes Contratantes;</w:t>
      </w:r>
    </w:p>
    <w:p w14:paraId="5EEDD581" w14:textId="77777777" w:rsidR="00ED4C7A" w:rsidRPr="00B618D5" w:rsidRDefault="00ED4C7A" w:rsidP="009C04A9">
      <w:pPr>
        <w:autoSpaceDE w:val="0"/>
        <w:autoSpaceDN w:val="0"/>
        <w:adjustRightInd w:val="0"/>
        <w:rPr>
          <w:rFonts w:asciiTheme="minorHAnsi" w:hAnsiTheme="minorHAnsi" w:cstheme="minorHAnsi"/>
          <w:lang w:val="es-ES_tradnl"/>
        </w:rPr>
      </w:pPr>
    </w:p>
    <w:p w14:paraId="6524929F" w14:textId="54DD3E3A" w:rsidR="00ED4C7A" w:rsidRPr="00B618D5" w:rsidRDefault="00ED4C7A" w:rsidP="009C04A9">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lang w:val="es-ES_tradnl"/>
        </w:rPr>
      </w:pPr>
      <w:r w:rsidRPr="00B618D5">
        <w:rPr>
          <w:rFonts w:asciiTheme="minorHAnsi" w:hAnsiTheme="minorHAnsi" w:cstheme="minorHAnsi"/>
          <w:lang w:val="es-ES_tradnl"/>
        </w:rPr>
        <w:t>EXPRESANDO SU AGRADECIMIENTO a los autores y las instituciones que realizaron aportaciones y ofrecieron apoyo para la realización del informe “Estado de los humedales del mundo y sus servicios a las personas”, basado en una recopilación de análisis recientes;</w:t>
      </w:r>
      <w:r w:rsidR="007D036B" w:rsidRPr="00B618D5">
        <w:rPr>
          <w:rFonts w:asciiTheme="minorHAnsi" w:hAnsiTheme="minorHAnsi" w:cstheme="minorHAnsi"/>
          <w:lang w:val="es-ES_tradnl"/>
        </w:rPr>
        <w:t xml:space="preserve"> y</w:t>
      </w:r>
    </w:p>
    <w:p w14:paraId="4719D905" w14:textId="77777777" w:rsidR="00ED4C7A" w:rsidRPr="00B618D5" w:rsidRDefault="00ED4C7A" w:rsidP="009C04A9">
      <w:pPr>
        <w:autoSpaceDE w:val="0"/>
        <w:autoSpaceDN w:val="0"/>
        <w:adjustRightInd w:val="0"/>
        <w:rPr>
          <w:rFonts w:asciiTheme="minorHAnsi" w:hAnsiTheme="minorHAnsi" w:cstheme="minorHAnsi"/>
          <w:lang w:val="es-ES_tradnl"/>
        </w:rPr>
      </w:pPr>
    </w:p>
    <w:p w14:paraId="45A766F0" w14:textId="0E0A4547" w:rsidR="00ED4C7A" w:rsidRPr="00B618D5" w:rsidRDefault="00ED4C7A" w:rsidP="009C04A9">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lang w:val="es-ES_tradnl"/>
        </w:rPr>
      </w:pPr>
      <w:r w:rsidRPr="00B618D5">
        <w:rPr>
          <w:rFonts w:asciiTheme="minorHAnsi" w:hAnsiTheme="minorHAnsi" w:cstheme="minorHAnsi"/>
          <w:lang w:val="es-ES_tradnl"/>
        </w:rPr>
        <w:t xml:space="preserve">RECONOCIENDO </w:t>
      </w:r>
      <w:r w:rsidR="007D036B" w:rsidRPr="00B618D5">
        <w:rPr>
          <w:rFonts w:asciiTheme="minorHAnsi" w:hAnsiTheme="minorHAnsi" w:cstheme="minorHAnsi"/>
          <w:lang w:val="es-ES_tradnl"/>
        </w:rPr>
        <w:t xml:space="preserve">TAMBIÉN </w:t>
      </w:r>
      <w:r w:rsidRPr="00B618D5">
        <w:rPr>
          <w:rFonts w:asciiTheme="minorHAnsi" w:hAnsiTheme="minorHAnsi" w:cstheme="minorHAnsi"/>
          <w:lang w:val="es-ES_tradnl"/>
        </w:rPr>
        <w:t xml:space="preserve">el potencial </w:t>
      </w:r>
      <w:r w:rsidR="007D036B" w:rsidRPr="00B618D5">
        <w:rPr>
          <w:rFonts w:asciiTheme="minorHAnsi" w:hAnsiTheme="minorHAnsi" w:cstheme="minorHAnsi"/>
          <w:lang w:val="es-ES_tradnl"/>
        </w:rPr>
        <w:t xml:space="preserve">de un </w:t>
      </w:r>
      <w:r w:rsidRPr="00B618D5">
        <w:rPr>
          <w:rFonts w:asciiTheme="minorHAnsi" w:hAnsiTheme="minorHAnsi" w:cstheme="minorHAnsi"/>
          <w:lang w:val="es-ES_tradnl"/>
        </w:rPr>
        <w:t xml:space="preserve">informe </w:t>
      </w:r>
      <w:r w:rsidR="007D036B" w:rsidRPr="00B618D5">
        <w:rPr>
          <w:rFonts w:asciiTheme="minorHAnsi" w:hAnsiTheme="minorHAnsi" w:cstheme="minorHAnsi"/>
          <w:lang w:val="es-ES_tradnl"/>
        </w:rPr>
        <w:t>sobre el e</w:t>
      </w:r>
      <w:r w:rsidRPr="00B618D5">
        <w:rPr>
          <w:rFonts w:asciiTheme="minorHAnsi" w:hAnsiTheme="minorHAnsi" w:cstheme="minorHAnsi"/>
          <w:lang w:val="es-ES_tradnl"/>
        </w:rPr>
        <w:t>stado de los humedales del mundo y sus servicios a las personas para promover los objetivos de la Convención y particularmente para atraer una mayor atención a los humedales en otros foros y evaluar los progresos en la ejecución de aspectos del Plan Estratégico de la Convención;</w:t>
      </w:r>
    </w:p>
    <w:p w14:paraId="4224E206" w14:textId="77777777" w:rsidR="001644AE" w:rsidRPr="00B618D5" w:rsidRDefault="001644AE" w:rsidP="009C04A9">
      <w:pPr>
        <w:ind w:left="426"/>
        <w:rPr>
          <w:rFonts w:asciiTheme="minorHAnsi" w:eastAsiaTheme="minorHAnsi" w:hAnsiTheme="minorHAnsi" w:cstheme="minorHAnsi"/>
          <w:lang w:val="es-ES_tradnl" w:eastAsia="en-US"/>
        </w:rPr>
      </w:pPr>
    </w:p>
    <w:p w14:paraId="1BFFDC0B" w14:textId="77777777" w:rsidR="001644AE" w:rsidRPr="00B618D5" w:rsidRDefault="001644AE" w:rsidP="009C04A9">
      <w:pPr>
        <w:jc w:val="center"/>
        <w:rPr>
          <w:rFonts w:asciiTheme="minorHAnsi" w:eastAsiaTheme="minorHAnsi" w:hAnsiTheme="minorHAnsi" w:cstheme="minorHAnsi"/>
          <w:sz w:val="22"/>
          <w:szCs w:val="22"/>
          <w:lang w:val="es-ES_tradnl" w:eastAsia="en-US"/>
        </w:rPr>
      </w:pPr>
      <w:r w:rsidRPr="00B618D5">
        <w:rPr>
          <w:rFonts w:asciiTheme="minorHAnsi" w:eastAsiaTheme="minorHAnsi" w:hAnsiTheme="minorHAnsi" w:cstheme="minorHAnsi"/>
          <w:sz w:val="22"/>
          <w:szCs w:val="22"/>
          <w:lang w:val="es-ES_tradnl" w:eastAsia="en-US"/>
        </w:rPr>
        <w:t>LA CONFERENCIA DE LAS PARTES CONTRATANTES</w:t>
      </w:r>
    </w:p>
    <w:p w14:paraId="41A95FFF" w14:textId="77777777" w:rsidR="001644AE" w:rsidRPr="00B618D5" w:rsidRDefault="001644AE" w:rsidP="009C04A9">
      <w:pPr>
        <w:ind w:left="426"/>
        <w:jc w:val="both"/>
        <w:rPr>
          <w:rFonts w:asciiTheme="minorHAnsi" w:eastAsiaTheme="minorHAnsi" w:hAnsiTheme="minorHAnsi" w:cstheme="minorHAnsi"/>
          <w:sz w:val="22"/>
          <w:szCs w:val="22"/>
          <w:lang w:val="es-ES_tradnl" w:eastAsia="en-US"/>
        </w:rPr>
      </w:pPr>
    </w:p>
    <w:p w14:paraId="369CFBB1" w14:textId="14568A90" w:rsidR="001375E6" w:rsidRPr="00B618D5" w:rsidRDefault="001644AE"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t xml:space="preserve">DECIDE reestructurar el Grupo de Examen Científico y Técnico (GECT) de Ramsar establecido por la Resolución V.5 y modificado por Resoluciones sucesivas para ayudar en mayor medida a las Partes Contratantes a afrontar los desafíos de la conservación y el uso racional de los humedales </w:t>
      </w:r>
      <w:r w:rsidR="00114520" w:rsidRPr="00B618D5">
        <w:rPr>
          <w:rFonts w:asciiTheme="minorHAnsi" w:eastAsiaTheme="minorHAnsi" w:hAnsiTheme="minorHAnsi" w:cstheme="minorHAnsi"/>
          <w:lang w:val="es-ES_tradnl"/>
        </w:rPr>
        <w:t>con un enfoque integra</w:t>
      </w:r>
      <w:r w:rsidR="006F1FA5" w:rsidRPr="00B618D5">
        <w:rPr>
          <w:rFonts w:asciiTheme="minorHAnsi" w:eastAsiaTheme="minorHAnsi" w:hAnsiTheme="minorHAnsi" w:cstheme="minorHAnsi"/>
          <w:lang w:val="es-ES_tradnl"/>
        </w:rPr>
        <w:t>do</w:t>
      </w:r>
      <w:r w:rsidR="001375E6" w:rsidRPr="00B618D5">
        <w:rPr>
          <w:rFonts w:asciiTheme="minorHAnsi" w:eastAsiaTheme="minorHAnsi" w:hAnsiTheme="minorHAnsi" w:cstheme="minorHAnsi"/>
          <w:lang w:val="es-ES_tradnl"/>
        </w:rPr>
        <w:t xml:space="preserve">, holístico e incluyente, </w:t>
      </w:r>
      <w:r w:rsidRPr="00B618D5">
        <w:rPr>
          <w:rFonts w:asciiTheme="minorHAnsi" w:eastAsiaTheme="minorHAnsi" w:hAnsiTheme="minorHAnsi" w:cstheme="minorHAnsi"/>
          <w:lang w:val="es-ES_tradnl"/>
        </w:rPr>
        <w:t xml:space="preserve">proporcionando </w:t>
      </w:r>
      <w:r w:rsidR="001375E6" w:rsidRPr="00B618D5">
        <w:rPr>
          <w:rFonts w:asciiTheme="minorHAnsi" w:eastAsiaTheme="minorHAnsi" w:hAnsiTheme="minorHAnsi" w:cstheme="minorHAnsi"/>
          <w:lang w:val="es-ES_tradnl"/>
        </w:rPr>
        <w:t xml:space="preserve">orientaciones científicas y técnicas específicas a la COP y a </w:t>
      </w:r>
      <w:r w:rsidRPr="00B618D5">
        <w:rPr>
          <w:rFonts w:asciiTheme="minorHAnsi" w:eastAsiaTheme="minorHAnsi" w:hAnsiTheme="minorHAnsi" w:cstheme="minorHAnsi"/>
          <w:lang w:val="es-ES_tradnl"/>
        </w:rPr>
        <w:t>regiones y, según proceda, países concretos de manera eficaz, eficiente y oportuna, siguiendo los procesos descritos en el Anexo 1;</w:t>
      </w:r>
    </w:p>
    <w:p w14:paraId="1B899223" w14:textId="77777777" w:rsidR="001375E6" w:rsidRPr="00B618D5" w:rsidRDefault="001375E6" w:rsidP="009C04A9">
      <w:pPr>
        <w:pStyle w:val="ListParagraph"/>
        <w:autoSpaceDE w:val="0"/>
        <w:autoSpaceDN w:val="0"/>
        <w:adjustRightInd w:val="0"/>
        <w:spacing w:after="0" w:line="240" w:lineRule="auto"/>
        <w:ind w:left="426"/>
        <w:contextualSpacing w:val="0"/>
        <w:rPr>
          <w:rFonts w:asciiTheme="minorHAnsi" w:eastAsiaTheme="minorHAnsi" w:hAnsiTheme="minorHAnsi" w:cstheme="minorHAnsi"/>
          <w:lang w:val="es-ES_tradnl"/>
        </w:rPr>
      </w:pPr>
    </w:p>
    <w:p w14:paraId="4436C623" w14:textId="21004863" w:rsidR="00045571" w:rsidRPr="00B618D5" w:rsidRDefault="001375E6"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t xml:space="preserve">RECONOCE </w:t>
      </w:r>
      <w:r w:rsidR="00045571" w:rsidRPr="00B618D5">
        <w:rPr>
          <w:rFonts w:asciiTheme="minorHAnsi" w:eastAsiaTheme="minorHAnsi" w:hAnsiTheme="minorHAnsi" w:cstheme="minorHAnsi"/>
          <w:lang w:val="es-ES_tradnl"/>
        </w:rPr>
        <w:t xml:space="preserve">el conocimiento </w:t>
      </w:r>
      <w:r w:rsidR="007D036B" w:rsidRPr="00B618D5">
        <w:rPr>
          <w:rFonts w:asciiTheme="minorHAnsi" w:eastAsiaTheme="minorHAnsi" w:hAnsiTheme="minorHAnsi" w:cstheme="minorHAnsi"/>
          <w:lang w:val="es-ES_tradnl"/>
        </w:rPr>
        <w:t>tradicional y</w:t>
      </w:r>
      <w:r w:rsidR="00045571" w:rsidRPr="00B618D5">
        <w:rPr>
          <w:rFonts w:asciiTheme="minorHAnsi" w:eastAsiaTheme="minorHAnsi" w:hAnsiTheme="minorHAnsi" w:cstheme="minorHAnsi"/>
          <w:lang w:val="es-ES_tradnl"/>
        </w:rPr>
        <w:t xml:space="preserve"> </w:t>
      </w:r>
      <w:r w:rsidR="007D036B" w:rsidRPr="00B618D5">
        <w:rPr>
          <w:rFonts w:asciiTheme="minorHAnsi" w:eastAsiaTheme="minorHAnsi" w:hAnsiTheme="minorHAnsi" w:cstheme="minorHAnsi"/>
          <w:lang w:val="es-ES_tradnl"/>
        </w:rPr>
        <w:t xml:space="preserve">local </w:t>
      </w:r>
      <w:r w:rsidR="00045571" w:rsidRPr="00B618D5">
        <w:rPr>
          <w:rFonts w:asciiTheme="minorHAnsi" w:eastAsiaTheme="minorHAnsi" w:hAnsiTheme="minorHAnsi" w:cstheme="minorHAnsi"/>
          <w:lang w:val="es-ES_tradnl"/>
        </w:rPr>
        <w:t>de los pueblos indígenas y</w:t>
      </w:r>
      <w:r w:rsidR="00AF3415" w:rsidRPr="00B618D5">
        <w:rPr>
          <w:rFonts w:asciiTheme="minorHAnsi" w:eastAsiaTheme="minorHAnsi" w:hAnsiTheme="minorHAnsi" w:cstheme="minorHAnsi"/>
          <w:lang w:val="es-ES_tradnl"/>
        </w:rPr>
        <w:t xml:space="preserve"> </w:t>
      </w:r>
      <w:r w:rsidR="00045571" w:rsidRPr="00B618D5">
        <w:rPr>
          <w:rFonts w:asciiTheme="minorHAnsi" w:eastAsiaTheme="minorHAnsi" w:hAnsiTheme="minorHAnsi" w:cstheme="minorHAnsi"/>
          <w:lang w:val="es-ES_tradnl"/>
        </w:rPr>
        <w:t>las comunidades locales</w:t>
      </w:r>
      <w:r w:rsidR="007D036B" w:rsidRPr="00B618D5">
        <w:rPr>
          <w:rFonts w:asciiTheme="minorHAnsi" w:eastAsiaTheme="minorHAnsi" w:hAnsiTheme="minorHAnsi" w:cstheme="minorHAnsi"/>
          <w:lang w:val="es-ES_tradnl"/>
        </w:rPr>
        <w:t xml:space="preserve"> como una de las bases de conocimiento del trabajo del </w:t>
      </w:r>
      <w:r w:rsidR="00045571" w:rsidRPr="00B618D5">
        <w:rPr>
          <w:rFonts w:asciiTheme="minorHAnsi" w:eastAsiaTheme="minorHAnsi" w:hAnsiTheme="minorHAnsi" w:cstheme="minorHAnsi"/>
          <w:lang w:val="es-ES_tradnl"/>
        </w:rPr>
        <w:t>Grupo de Examen Científico y Técnico de Ramsar;</w:t>
      </w:r>
    </w:p>
    <w:p w14:paraId="0BABDB2D" w14:textId="77777777" w:rsidR="001644AE" w:rsidRPr="00B618D5" w:rsidRDefault="001644AE" w:rsidP="009C04A9">
      <w:pPr>
        <w:rPr>
          <w:lang w:val="es-ES_tradnl"/>
        </w:rPr>
      </w:pPr>
    </w:p>
    <w:p w14:paraId="5B0406BE" w14:textId="389DBA50" w:rsidR="001644AE" w:rsidRPr="00B618D5" w:rsidRDefault="001644AE" w:rsidP="009C04A9">
      <w:pPr>
        <w:pStyle w:val="ListParagraph"/>
        <w:numPr>
          <w:ilvl w:val="0"/>
          <w:numId w:val="2"/>
        </w:numPr>
        <w:autoSpaceDE w:val="0"/>
        <w:autoSpaceDN w:val="0"/>
        <w:adjustRightInd w:val="0"/>
        <w:spacing w:after="0" w:line="240" w:lineRule="auto"/>
        <w:ind w:left="426" w:hanging="426"/>
        <w:contextualSpacing w:val="0"/>
        <w:rPr>
          <w:rFonts w:asciiTheme="minorHAnsi" w:hAnsiTheme="minorHAnsi" w:cstheme="minorHAnsi"/>
          <w:lang w:val="es-ES_tradnl"/>
        </w:rPr>
      </w:pPr>
      <w:r w:rsidRPr="00B618D5">
        <w:rPr>
          <w:rFonts w:asciiTheme="minorHAnsi" w:eastAsiaTheme="minorHAnsi" w:hAnsiTheme="minorHAnsi" w:cstheme="minorHAnsi"/>
          <w:lang w:val="es-ES_tradnl"/>
        </w:rPr>
        <w:t xml:space="preserve">REAFIRMA la importancia crítica que tiene para la Convención la labor del GECT al </w:t>
      </w:r>
      <w:r w:rsidR="00C67FA2">
        <w:rPr>
          <w:rFonts w:asciiTheme="minorHAnsi" w:eastAsiaTheme="minorHAnsi" w:hAnsiTheme="minorHAnsi" w:cstheme="minorHAnsi"/>
          <w:lang w:val="es-ES_tradnl"/>
        </w:rPr>
        <w:t>elaborar</w:t>
      </w:r>
      <w:r w:rsidRPr="00B618D5">
        <w:rPr>
          <w:rFonts w:asciiTheme="minorHAnsi" w:eastAsiaTheme="minorHAnsi" w:hAnsiTheme="minorHAnsi" w:cstheme="minorHAnsi"/>
          <w:lang w:val="es-ES_tradnl"/>
        </w:rPr>
        <w:t xml:space="preserve"> y proporcionar orientaciones científicas y técnicas, vincular los conocimientos científicos sobre los humedales con comunicaciones técnicas efectivas y contribuir a que se entiendan mejor las orientaciones que necesitan los destinatarios;</w:t>
      </w:r>
    </w:p>
    <w:p w14:paraId="4483861C" w14:textId="77777777" w:rsidR="001644AE" w:rsidRPr="00B618D5" w:rsidRDefault="001644AE" w:rsidP="009C04A9">
      <w:pPr>
        <w:pStyle w:val="ListParagraph"/>
        <w:autoSpaceDE w:val="0"/>
        <w:autoSpaceDN w:val="0"/>
        <w:adjustRightInd w:val="0"/>
        <w:spacing w:after="0" w:line="240" w:lineRule="auto"/>
        <w:ind w:left="426"/>
        <w:contextualSpacing w:val="0"/>
        <w:rPr>
          <w:rFonts w:asciiTheme="minorHAnsi" w:hAnsiTheme="minorHAnsi"/>
          <w:lang w:val="es-ES_tradnl"/>
        </w:rPr>
      </w:pPr>
    </w:p>
    <w:p w14:paraId="04BCA6E8" w14:textId="77777777" w:rsidR="001644AE" w:rsidRPr="00B618D5" w:rsidRDefault="001644AE"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t>AFIRMA que la presente Resolución sustituye a todas las Resoluciones anteriores sobre las cuestiones relativas al GECT y las modificaciones sucesivas de la organización del GECT y su labor;</w:t>
      </w:r>
    </w:p>
    <w:p w14:paraId="545BD7BD" w14:textId="77777777" w:rsidR="001644AE" w:rsidRPr="00B618D5" w:rsidRDefault="001644AE" w:rsidP="009C04A9">
      <w:pPr>
        <w:pStyle w:val="ListParagraph"/>
        <w:autoSpaceDE w:val="0"/>
        <w:autoSpaceDN w:val="0"/>
        <w:adjustRightInd w:val="0"/>
        <w:spacing w:after="0" w:line="240" w:lineRule="auto"/>
        <w:ind w:left="426"/>
        <w:contextualSpacing w:val="0"/>
        <w:rPr>
          <w:rFonts w:asciiTheme="minorHAnsi" w:hAnsiTheme="minorHAnsi"/>
          <w:lang w:val="es-ES_tradnl"/>
        </w:rPr>
      </w:pPr>
    </w:p>
    <w:p w14:paraId="6270561C" w14:textId="77777777" w:rsidR="001644AE" w:rsidRPr="00B618D5" w:rsidRDefault="001644AE"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t>CONFIRMA que la organización y los procesos del GECT adoptados por esta Resolución serán válidos durante el trienio 2016-2018 y más adelante a no ser que sean modificados por decisiones posteriores de la COP como resultado de un examen ulterior;</w:t>
      </w:r>
    </w:p>
    <w:p w14:paraId="0AA451F5" w14:textId="77777777" w:rsidR="001644AE" w:rsidRPr="00B618D5" w:rsidRDefault="001644AE" w:rsidP="009C04A9">
      <w:pPr>
        <w:pStyle w:val="ListParagraph"/>
        <w:autoSpaceDE w:val="0"/>
        <w:autoSpaceDN w:val="0"/>
        <w:adjustRightInd w:val="0"/>
        <w:spacing w:after="0" w:line="240" w:lineRule="auto"/>
        <w:ind w:left="426"/>
        <w:contextualSpacing w:val="0"/>
        <w:rPr>
          <w:rFonts w:asciiTheme="minorHAnsi" w:eastAsiaTheme="minorHAnsi" w:hAnsiTheme="minorHAnsi" w:cstheme="minorHAnsi"/>
          <w:lang w:val="es-ES_tradnl"/>
        </w:rPr>
      </w:pPr>
    </w:p>
    <w:p w14:paraId="4F9A378E" w14:textId="442211DD" w:rsidR="00DF6AE5" w:rsidRPr="00B618D5" w:rsidRDefault="001644AE"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t xml:space="preserve">CONFIRMA asimismo que la Conferencia de las Partes aprobará </w:t>
      </w:r>
      <w:r w:rsidR="00B906A8" w:rsidRPr="00B618D5">
        <w:rPr>
          <w:rFonts w:asciiTheme="minorHAnsi" w:eastAsiaTheme="minorHAnsi" w:hAnsiTheme="minorHAnsi" w:cstheme="minorHAnsi"/>
          <w:lang w:val="es-ES_tradnl"/>
        </w:rPr>
        <w:t xml:space="preserve">las áreas </w:t>
      </w:r>
      <w:r w:rsidRPr="00B618D5">
        <w:rPr>
          <w:rFonts w:asciiTheme="minorHAnsi" w:eastAsiaTheme="minorHAnsi" w:hAnsiTheme="minorHAnsi" w:cstheme="minorHAnsi"/>
          <w:lang w:val="es-ES_tradnl"/>
        </w:rPr>
        <w:t xml:space="preserve">de trabajo </w:t>
      </w:r>
      <w:r w:rsidR="00EB5261" w:rsidRPr="00B618D5">
        <w:rPr>
          <w:rFonts w:asciiTheme="minorHAnsi" w:eastAsiaTheme="minorHAnsi" w:hAnsiTheme="minorHAnsi" w:cstheme="minorHAnsi"/>
          <w:lang w:val="es-ES_tradnl"/>
        </w:rPr>
        <w:t>temáticas</w:t>
      </w:r>
      <w:r w:rsidR="00DF6AE5" w:rsidRPr="00B618D5">
        <w:rPr>
          <w:rFonts w:asciiTheme="minorHAnsi" w:eastAsiaTheme="minorHAnsi" w:hAnsiTheme="minorHAnsi" w:cstheme="minorHAnsi"/>
          <w:lang w:val="es-ES_tradnl"/>
        </w:rPr>
        <w:t xml:space="preserve"> prioritarias</w:t>
      </w:r>
      <w:r w:rsidR="00EB5261" w:rsidRPr="00B618D5">
        <w:rPr>
          <w:rFonts w:asciiTheme="minorHAnsi" w:eastAsiaTheme="minorHAnsi" w:hAnsiTheme="minorHAnsi" w:cstheme="minorHAnsi"/>
          <w:lang w:val="es-ES_tradnl"/>
        </w:rPr>
        <w:t xml:space="preserve"> </w:t>
      </w:r>
      <w:r w:rsidRPr="00B618D5">
        <w:rPr>
          <w:rFonts w:asciiTheme="minorHAnsi" w:eastAsiaTheme="minorHAnsi" w:hAnsiTheme="minorHAnsi" w:cstheme="minorHAnsi"/>
          <w:lang w:val="es-ES_tradnl"/>
        </w:rPr>
        <w:t>del GECT para cada trienio, que el Comité Permanente seguirá teniendo la responsabilidad general sobre la prestación de dicho programa, y que el Presidente del GECT presentará un informe a cada reunión del Comité Permanente sobre los progresos del Grupo en sus tareas, y propondrá cualquier ajuste al programa que el Grupo considere necesario para que lo considere el Comité Permanente.</w:t>
      </w:r>
    </w:p>
    <w:p w14:paraId="6958E323" w14:textId="77777777" w:rsidR="007D036B" w:rsidRPr="00B618D5" w:rsidRDefault="007D036B" w:rsidP="009C04A9">
      <w:pPr>
        <w:pStyle w:val="ListParagraph"/>
        <w:spacing w:after="0" w:line="240" w:lineRule="auto"/>
        <w:rPr>
          <w:rFonts w:asciiTheme="minorHAnsi" w:eastAsiaTheme="minorHAnsi" w:hAnsiTheme="minorHAnsi" w:cstheme="minorHAnsi"/>
          <w:lang w:val="es-ES_tradnl"/>
        </w:rPr>
      </w:pPr>
    </w:p>
    <w:p w14:paraId="1D87446E" w14:textId="645BA51D" w:rsidR="007D036B" w:rsidRPr="00B618D5" w:rsidRDefault="007D036B"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lastRenderedPageBreak/>
        <w:t xml:space="preserve">DECIDE que las áreas de trabajo temáticas del GECT para el </w:t>
      </w:r>
      <w:r w:rsidR="00AF3415" w:rsidRPr="00B618D5">
        <w:rPr>
          <w:rFonts w:asciiTheme="minorHAnsi" w:eastAsiaTheme="minorHAnsi" w:hAnsiTheme="minorHAnsi" w:cstheme="minorHAnsi"/>
          <w:lang w:val="es-ES_tradnl"/>
        </w:rPr>
        <w:t>trienio</w:t>
      </w:r>
      <w:r w:rsidRPr="00B618D5">
        <w:rPr>
          <w:rFonts w:asciiTheme="minorHAnsi" w:eastAsiaTheme="minorHAnsi" w:hAnsiTheme="minorHAnsi" w:cstheme="minorHAnsi"/>
          <w:lang w:val="es-ES_tradnl"/>
        </w:rPr>
        <w:t xml:space="preserve"> 2016-2018 se detallan en el Anexo 3;</w:t>
      </w:r>
    </w:p>
    <w:p w14:paraId="133E1437" w14:textId="77777777" w:rsidR="00DF6AE5" w:rsidRPr="00B618D5" w:rsidRDefault="00DF6AE5" w:rsidP="009C04A9">
      <w:pPr>
        <w:pStyle w:val="ListParagraph"/>
        <w:autoSpaceDE w:val="0"/>
        <w:autoSpaceDN w:val="0"/>
        <w:adjustRightInd w:val="0"/>
        <w:spacing w:after="0" w:line="240" w:lineRule="auto"/>
        <w:ind w:left="426"/>
        <w:contextualSpacing w:val="0"/>
        <w:rPr>
          <w:rFonts w:asciiTheme="minorHAnsi" w:eastAsiaTheme="minorHAnsi" w:hAnsiTheme="minorHAnsi" w:cstheme="minorHAnsi"/>
          <w:lang w:val="es-ES_tradnl"/>
        </w:rPr>
      </w:pPr>
    </w:p>
    <w:p w14:paraId="341D3E31" w14:textId="05EB5C64" w:rsidR="007D036B" w:rsidRPr="00B618D5" w:rsidRDefault="001644AE"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t>DECIDE disolver el Comité de Supervisión del GECT y ENCARGA al Grupo de Trabajo Administrativo del Comité Permanente que se haga cargo de la función del Comité de Supervisión del GECT, establecido en la Resolución IX.11, y que supervise la labor del GECT según se indica en el Anexo 1 de la presente Resolución;</w:t>
      </w:r>
    </w:p>
    <w:p w14:paraId="2383B4B2" w14:textId="77777777" w:rsidR="00DF6AE5" w:rsidRPr="00B618D5" w:rsidRDefault="00DF6AE5" w:rsidP="009C04A9">
      <w:pPr>
        <w:pStyle w:val="ListParagraph"/>
        <w:autoSpaceDE w:val="0"/>
        <w:autoSpaceDN w:val="0"/>
        <w:adjustRightInd w:val="0"/>
        <w:spacing w:after="0" w:line="240" w:lineRule="auto"/>
        <w:ind w:left="426"/>
        <w:contextualSpacing w:val="0"/>
        <w:rPr>
          <w:rFonts w:asciiTheme="minorHAnsi" w:eastAsiaTheme="minorHAnsi" w:hAnsiTheme="minorHAnsi" w:cstheme="minorHAnsi"/>
          <w:lang w:val="es-ES_tradnl"/>
        </w:rPr>
      </w:pPr>
    </w:p>
    <w:p w14:paraId="59880643" w14:textId="28D9E994" w:rsidR="007D036B" w:rsidRPr="00B618D5" w:rsidRDefault="00C358EB"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t>ENCA</w:t>
      </w:r>
      <w:r w:rsidR="00AF3415" w:rsidRPr="00B618D5">
        <w:rPr>
          <w:rFonts w:asciiTheme="minorHAnsi" w:eastAsiaTheme="minorHAnsi" w:hAnsiTheme="minorHAnsi" w:cstheme="minorHAnsi"/>
          <w:lang w:val="es-ES_tradnl"/>
        </w:rPr>
        <w:t xml:space="preserve">RGA al GECT que elabore su plan o </w:t>
      </w:r>
      <w:r w:rsidRPr="00B618D5">
        <w:rPr>
          <w:rFonts w:asciiTheme="minorHAnsi" w:eastAsiaTheme="minorHAnsi" w:hAnsiTheme="minorHAnsi" w:cstheme="minorHAnsi"/>
          <w:lang w:val="es-ES_tradnl"/>
        </w:rPr>
        <w:t xml:space="preserve">programa de trabajo para el trienio </w:t>
      </w:r>
      <w:r w:rsidR="00DF6AE5" w:rsidRPr="00B618D5">
        <w:rPr>
          <w:rFonts w:asciiTheme="minorHAnsi" w:eastAsiaTheme="minorHAnsi" w:hAnsiTheme="minorHAnsi" w:cstheme="minorHAnsi"/>
          <w:lang w:val="es-ES_tradnl"/>
        </w:rPr>
        <w:t xml:space="preserve">2016-2018 </w:t>
      </w:r>
      <w:r w:rsidRPr="00B618D5">
        <w:rPr>
          <w:rFonts w:asciiTheme="minorHAnsi" w:eastAsiaTheme="minorHAnsi" w:hAnsiTheme="minorHAnsi" w:cstheme="minorHAnsi"/>
          <w:lang w:val="es-ES_tradnl"/>
        </w:rPr>
        <w:t xml:space="preserve">para </w:t>
      </w:r>
      <w:r w:rsidR="007D036B" w:rsidRPr="00B618D5">
        <w:rPr>
          <w:rFonts w:asciiTheme="minorHAnsi" w:eastAsiaTheme="minorHAnsi" w:hAnsiTheme="minorHAnsi" w:cstheme="minorHAnsi"/>
          <w:lang w:val="es-ES_tradnl"/>
        </w:rPr>
        <w:t>la aprobación d</w:t>
      </w:r>
      <w:r w:rsidRPr="00B618D5">
        <w:rPr>
          <w:rFonts w:asciiTheme="minorHAnsi" w:eastAsiaTheme="minorHAnsi" w:hAnsiTheme="minorHAnsi" w:cstheme="minorHAnsi"/>
          <w:lang w:val="es-ES_tradnl"/>
        </w:rPr>
        <w:t xml:space="preserve">el Comité Permanente y en total consonancia con el Plan Estratégico </w:t>
      </w:r>
      <w:r w:rsidR="009956DA" w:rsidRPr="00B618D5">
        <w:rPr>
          <w:rFonts w:asciiTheme="minorHAnsi" w:eastAsiaTheme="minorHAnsi" w:hAnsiTheme="minorHAnsi" w:cstheme="minorHAnsi"/>
          <w:lang w:val="es-ES_tradnl"/>
        </w:rPr>
        <w:t xml:space="preserve">de la Convención </w:t>
      </w:r>
      <w:r w:rsidRPr="00B618D5">
        <w:rPr>
          <w:rFonts w:asciiTheme="minorHAnsi" w:eastAsiaTheme="minorHAnsi" w:hAnsiTheme="minorHAnsi" w:cstheme="minorHAnsi"/>
          <w:lang w:val="es-ES_tradnl"/>
        </w:rPr>
        <w:t xml:space="preserve">para </w:t>
      </w:r>
      <w:r w:rsidR="00AF3415" w:rsidRPr="00B618D5">
        <w:rPr>
          <w:rFonts w:asciiTheme="minorHAnsi" w:eastAsiaTheme="minorHAnsi" w:hAnsiTheme="minorHAnsi" w:cstheme="minorHAnsi"/>
          <w:lang w:val="es-ES_tradnl"/>
        </w:rPr>
        <w:t>2016-2024</w:t>
      </w:r>
      <w:r w:rsidR="00DF6AE5" w:rsidRPr="00B618D5">
        <w:rPr>
          <w:rFonts w:asciiTheme="minorHAnsi" w:eastAsiaTheme="minorHAnsi" w:hAnsiTheme="minorHAnsi" w:cstheme="minorHAnsi"/>
          <w:lang w:val="es-ES_tradnl"/>
        </w:rPr>
        <w:t>.</w:t>
      </w:r>
    </w:p>
    <w:p w14:paraId="36CEF560" w14:textId="77777777" w:rsidR="00DF6AE5" w:rsidRPr="00B618D5" w:rsidRDefault="00DF6AE5" w:rsidP="009C04A9">
      <w:pPr>
        <w:autoSpaceDE w:val="0"/>
        <w:autoSpaceDN w:val="0"/>
        <w:adjustRightInd w:val="0"/>
        <w:rPr>
          <w:rFonts w:asciiTheme="minorHAnsi" w:eastAsiaTheme="minorHAnsi" w:hAnsiTheme="minorHAnsi" w:cstheme="minorHAnsi"/>
          <w:lang w:val="es-ES_tradnl"/>
        </w:rPr>
      </w:pPr>
    </w:p>
    <w:p w14:paraId="3CA83F4A" w14:textId="74D68A0C" w:rsidR="00DF6AE5" w:rsidRPr="00B618D5" w:rsidRDefault="00DF6AE5"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t>DECIDE</w:t>
      </w:r>
      <w:r w:rsidR="009956DA" w:rsidRPr="00B618D5">
        <w:rPr>
          <w:rFonts w:asciiTheme="minorHAnsi" w:eastAsiaTheme="minorHAnsi" w:hAnsiTheme="minorHAnsi" w:cstheme="minorHAnsi"/>
          <w:lang w:val="es-ES_tradnl"/>
        </w:rPr>
        <w:t xml:space="preserve"> que el Comité Permanente apruebe en su 51ª reunión el programa de trabajo del GECT para el próximo trienio, elaborado a partir de las áreas de trabajo temáticas establecidas y aprobadas por la Conferencia de las Partes, en consonancia con el Plan Estratégico para </w:t>
      </w:r>
      <w:r w:rsidRPr="00B618D5">
        <w:rPr>
          <w:rFonts w:asciiTheme="minorHAnsi" w:eastAsiaTheme="minorHAnsi" w:hAnsiTheme="minorHAnsi" w:cstheme="minorHAnsi"/>
          <w:lang w:val="es-ES_tradnl"/>
        </w:rPr>
        <w:t>2016</w:t>
      </w:r>
      <w:r w:rsidR="009956DA" w:rsidRPr="00B618D5">
        <w:rPr>
          <w:rFonts w:asciiTheme="minorHAnsi" w:eastAsiaTheme="minorHAnsi" w:hAnsiTheme="minorHAnsi" w:cstheme="minorHAnsi"/>
          <w:lang w:val="es-ES_tradnl"/>
        </w:rPr>
        <w:t>-</w:t>
      </w:r>
      <w:r w:rsidR="00AF3415" w:rsidRPr="00B618D5">
        <w:rPr>
          <w:rFonts w:asciiTheme="minorHAnsi" w:eastAsiaTheme="minorHAnsi" w:hAnsiTheme="minorHAnsi" w:cstheme="minorHAnsi"/>
          <w:lang w:val="es-ES_tradnl"/>
        </w:rPr>
        <w:t>2024</w:t>
      </w:r>
      <w:r w:rsidRPr="00B618D5">
        <w:rPr>
          <w:rFonts w:asciiTheme="minorHAnsi" w:eastAsiaTheme="minorHAnsi" w:hAnsiTheme="minorHAnsi" w:cstheme="minorHAnsi"/>
          <w:lang w:val="es-ES_tradnl"/>
        </w:rPr>
        <w:t>.</w:t>
      </w:r>
    </w:p>
    <w:p w14:paraId="32B51D69" w14:textId="77777777" w:rsidR="001644AE" w:rsidRPr="00B618D5" w:rsidRDefault="001644AE" w:rsidP="009C04A9">
      <w:pPr>
        <w:ind w:left="426"/>
        <w:rPr>
          <w:rFonts w:asciiTheme="minorHAnsi" w:hAnsiTheme="minorHAnsi" w:cstheme="minorHAnsi"/>
          <w:sz w:val="22"/>
          <w:szCs w:val="22"/>
          <w:lang w:val="es-ES_tradnl"/>
        </w:rPr>
      </w:pPr>
    </w:p>
    <w:p w14:paraId="6936219B" w14:textId="5A1B3CE4" w:rsidR="001644AE" w:rsidRPr="00B618D5" w:rsidRDefault="001644AE"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t>ENCARGA a la Secretaría que continúe prestando apoyo al GECT</w:t>
      </w:r>
      <w:r w:rsidR="00D44CA0" w:rsidRPr="00B618D5">
        <w:rPr>
          <w:rFonts w:asciiTheme="minorHAnsi" w:eastAsiaTheme="minorHAnsi" w:hAnsiTheme="minorHAnsi" w:cstheme="minorHAnsi"/>
          <w:lang w:val="es-ES_tradnl"/>
        </w:rPr>
        <w:t xml:space="preserve"> según se detalla en el Anexo 1</w:t>
      </w:r>
      <w:r w:rsidRPr="00B618D5">
        <w:rPr>
          <w:rFonts w:asciiTheme="minorHAnsi" w:eastAsiaTheme="minorHAnsi" w:hAnsiTheme="minorHAnsi" w:cstheme="minorHAnsi"/>
          <w:lang w:val="es-ES_tradnl"/>
        </w:rPr>
        <w:t xml:space="preserve">; </w:t>
      </w:r>
    </w:p>
    <w:p w14:paraId="5CB416B1" w14:textId="77777777" w:rsidR="001644AE" w:rsidRPr="00B618D5" w:rsidRDefault="001644AE" w:rsidP="009C04A9">
      <w:pPr>
        <w:autoSpaceDE w:val="0"/>
        <w:autoSpaceDN w:val="0"/>
        <w:adjustRightInd w:val="0"/>
        <w:ind w:left="426"/>
        <w:rPr>
          <w:rFonts w:asciiTheme="minorHAnsi" w:eastAsiaTheme="minorHAnsi" w:hAnsiTheme="minorHAnsi" w:cstheme="minorHAnsi"/>
          <w:sz w:val="22"/>
          <w:szCs w:val="22"/>
          <w:lang w:val="es-ES_tradnl"/>
        </w:rPr>
      </w:pPr>
    </w:p>
    <w:p w14:paraId="03D766E9" w14:textId="6D6766CD" w:rsidR="001644AE" w:rsidRPr="00B618D5" w:rsidRDefault="001644AE"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t xml:space="preserve">RECONOCE la necesidad permanente de garantizar que el Grupo disponga de los recursos necesarios para realizar su labor de forma eficiente y de que la Secretaría posea la capacidad suficiente para apoyar esta labor, e INSTA a las Partes Contratantes </w:t>
      </w:r>
      <w:r w:rsidR="00D44CA0" w:rsidRPr="00B618D5">
        <w:rPr>
          <w:rFonts w:asciiTheme="minorHAnsi" w:eastAsiaTheme="minorHAnsi" w:hAnsiTheme="minorHAnsi" w:cstheme="minorHAnsi"/>
          <w:lang w:val="es-ES_tradnl"/>
        </w:rPr>
        <w:t xml:space="preserve">que estén en condiciones de hacerlo </w:t>
      </w:r>
      <w:r w:rsidRPr="00B618D5">
        <w:rPr>
          <w:rFonts w:asciiTheme="minorHAnsi" w:eastAsiaTheme="minorHAnsi" w:hAnsiTheme="minorHAnsi" w:cstheme="minorHAnsi"/>
          <w:lang w:val="es-ES_tradnl"/>
        </w:rPr>
        <w:t>y a otros a que presten su ayuda para garantizar la continuidad de dicha financiación;</w:t>
      </w:r>
    </w:p>
    <w:p w14:paraId="3FDEB3F8" w14:textId="77777777" w:rsidR="00D44CA0" w:rsidRPr="00B618D5" w:rsidRDefault="00D44CA0" w:rsidP="009C04A9">
      <w:pPr>
        <w:autoSpaceDE w:val="0"/>
        <w:autoSpaceDN w:val="0"/>
        <w:adjustRightInd w:val="0"/>
        <w:rPr>
          <w:rFonts w:asciiTheme="minorHAnsi" w:eastAsiaTheme="minorHAnsi" w:hAnsiTheme="minorHAnsi" w:cstheme="minorHAnsi"/>
          <w:lang w:val="es-ES_tradnl"/>
        </w:rPr>
      </w:pPr>
    </w:p>
    <w:p w14:paraId="395DE9A6" w14:textId="481A755E" w:rsidR="00D44CA0" w:rsidRPr="00B618D5" w:rsidRDefault="00D44CA0"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t>ALIENTA a la Secretaría a movilizar recursos adicionales para la aplicación de orientaciones y asesoramiento de carácter técnico</w:t>
      </w:r>
      <w:r w:rsidR="009D3265" w:rsidRPr="00B618D5">
        <w:rPr>
          <w:rFonts w:asciiTheme="minorHAnsi" w:eastAsiaTheme="minorHAnsi" w:hAnsiTheme="minorHAnsi" w:cstheme="minorHAnsi"/>
          <w:lang w:val="es-ES_tradnl"/>
        </w:rPr>
        <w:t xml:space="preserve">, inclusive </w:t>
      </w:r>
      <w:r w:rsidRPr="00B618D5">
        <w:rPr>
          <w:rFonts w:asciiTheme="minorHAnsi" w:eastAsiaTheme="minorHAnsi" w:hAnsiTheme="minorHAnsi" w:cstheme="minorHAnsi"/>
          <w:lang w:val="es-ES_tradnl"/>
        </w:rPr>
        <w:t>para apoyar a las Partes Contratantes a aplicar las recomendaciones para la conservación y el uso racional de</w:t>
      </w:r>
      <w:r w:rsidR="009D3265" w:rsidRPr="00B618D5">
        <w:rPr>
          <w:rFonts w:asciiTheme="minorHAnsi" w:eastAsiaTheme="minorHAnsi" w:hAnsiTheme="minorHAnsi" w:cstheme="minorHAnsi"/>
          <w:lang w:val="es-ES_tradnl"/>
        </w:rPr>
        <w:t xml:space="preserve"> los</w:t>
      </w:r>
      <w:r w:rsidRPr="00B618D5">
        <w:rPr>
          <w:rFonts w:asciiTheme="minorHAnsi" w:eastAsiaTheme="minorHAnsi" w:hAnsiTheme="minorHAnsi" w:cstheme="minorHAnsi"/>
          <w:lang w:val="es-ES_tradnl"/>
        </w:rPr>
        <w:t xml:space="preserve"> humedales de Ramsar;</w:t>
      </w:r>
    </w:p>
    <w:p w14:paraId="62D94DE9" w14:textId="77777777" w:rsidR="00D44CA0" w:rsidRPr="00B618D5" w:rsidRDefault="00D44CA0" w:rsidP="009C04A9">
      <w:pPr>
        <w:pStyle w:val="ListParagraph"/>
        <w:spacing w:after="0" w:line="240" w:lineRule="auto"/>
        <w:rPr>
          <w:rFonts w:asciiTheme="minorHAnsi" w:eastAsiaTheme="minorHAnsi" w:hAnsiTheme="minorHAnsi" w:cstheme="minorHAnsi"/>
          <w:lang w:val="es-ES_tradnl"/>
        </w:rPr>
      </w:pPr>
    </w:p>
    <w:p w14:paraId="458EBDDC" w14:textId="785F8007" w:rsidR="00D44CA0" w:rsidRPr="00B618D5" w:rsidRDefault="00B618D5"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Pr>
          <w:rFonts w:asciiTheme="minorHAnsi" w:eastAsiaTheme="minorHAnsi" w:hAnsiTheme="minorHAnsi" w:cstheme="minorHAnsi"/>
          <w:lang w:val="es-ES_tradnl"/>
        </w:rPr>
        <w:t>PIDE</w:t>
      </w:r>
      <w:r w:rsidR="00D44CA0" w:rsidRPr="00B618D5">
        <w:rPr>
          <w:rFonts w:asciiTheme="minorHAnsi" w:eastAsiaTheme="minorHAnsi" w:hAnsiTheme="minorHAnsi" w:cstheme="minorHAnsi"/>
          <w:lang w:val="es-ES_tradnl"/>
        </w:rPr>
        <w:t xml:space="preserve"> al </w:t>
      </w:r>
      <w:r w:rsidR="00AF3415" w:rsidRPr="00B618D5">
        <w:rPr>
          <w:rFonts w:asciiTheme="minorHAnsi" w:eastAsiaTheme="minorHAnsi" w:hAnsiTheme="minorHAnsi" w:cstheme="minorHAnsi"/>
          <w:lang w:val="es-ES_tradnl"/>
        </w:rPr>
        <w:t>GECT</w:t>
      </w:r>
      <w:r w:rsidR="00D44CA0" w:rsidRPr="00B618D5">
        <w:rPr>
          <w:rFonts w:asciiTheme="minorHAnsi" w:eastAsiaTheme="minorHAnsi" w:hAnsiTheme="minorHAnsi" w:cstheme="minorHAnsi"/>
          <w:lang w:val="es-ES_tradnl"/>
        </w:rPr>
        <w:t xml:space="preserve"> y al Secretario General, con sujeción a la disponibilidad de recursos, que finalicen la elaboración d</w:t>
      </w:r>
      <w:r w:rsidR="009C7BF7">
        <w:rPr>
          <w:rFonts w:asciiTheme="minorHAnsi" w:eastAsiaTheme="minorHAnsi" w:hAnsiTheme="minorHAnsi" w:cstheme="minorHAnsi"/>
          <w:lang w:val="es-ES_tradnl"/>
        </w:rPr>
        <w:t>e la versión actual del informe</w:t>
      </w:r>
      <w:r w:rsidR="00D44CA0" w:rsidRPr="00B618D5">
        <w:rPr>
          <w:rFonts w:asciiTheme="minorHAnsi" w:eastAsiaTheme="minorHAnsi" w:hAnsiTheme="minorHAnsi" w:cstheme="minorHAnsi"/>
          <w:lang w:val="es-ES_tradnl"/>
        </w:rPr>
        <w:t xml:space="preserve"> </w:t>
      </w:r>
      <w:r w:rsidR="00D44CA0" w:rsidRPr="00B618D5">
        <w:rPr>
          <w:rFonts w:asciiTheme="minorHAnsi" w:hAnsiTheme="minorHAnsi" w:cstheme="minorHAnsi"/>
          <w:lang w:val="es-ES_tradnl"/>
        </w:rPr>
        <w:t>“Estado de los humedales del mundo y sus servicios a las personas” y estudien modalidades para su ulterior mejora y actualización como informe emblemático periódico de la Convenci</w:t>
      </w:r>
      <w:r w:rsidR="00FD70FE" w:rsidRPr="00B618D5">
        <w:rPr>
          <w:rFonts w:asciiTheme="minorHAnsi" w:hAnsiTheme="minorHAnsi" w:cstheme="minorHAnsi"/>
          <w:lang w:val="es-ES_tradnl"/>
        </w:rPr>
        <w:t xml:space="preserve">ón, contribuyendo así también a la Perspectiva Mundial sobre la Diversidad Biológica del </w:t>
      </w:r>
      <w:r w:rsidR="009C7BF7" w:rsidRPr="00B618D5">
        <w:rPr>
          <w:rFonts w:asciiTheme="minorHAnsi" w:hAnsiTheme="minorHAnsi" w:cstheme="minorHAnsi"/>
          <w:lang w:val="es-ES_tradnl"/>
        </w:rPr>
        <w:t>Convenio</w:t>
      </w:r>
      <w:r w:rsidR="009D3265" w:rsidRPr="00B618D5">
        <w:rPr>
          <w:rFonts w:asciiTheme="minorHAnsi" w:hAnsiTheme="minorHAnsi" w:cstheme="minorHAnsi"/>
          <w:lang w:val="es-ES_tradnl"/>
        </w:rPr>
        <w:t xml:space="preserve"> sobre la Diversidad Biológica</w:t>
      </w:r>
      <w:r w:rsidR="008E3C81" w:rsidRPr="00B618D5">
        <w:rPr>
          <w:rFonts w:asciiTheme="minorHAnsi" w:hAnsiTheme="minorHAnsi" w:cstheme="minorHAnsi"/>
          <w:lang w:val="es-ES_tradnl"/>
        </w:rPr>
        <w:t xml:space="preserve">, </w:t>
      </w:r>
      <w:r w:rsidR="00FD70FE" w:rsidRPr="00B618D5">
        <w:rPr>
          <w:rFonts w:asciiTheme="minorHAnsi" w:hAnsiTheme="minorHAnsi" w:cstheme="minorHAnsi"/>
          <w:lang w:val="es-ES_tradnl"/>
        </w:rPr>
        <w:t>y presenten un informe sobre los progresos en esta cuestión a la 13ª reunión de la Conferencia de las Partes Contratantes</w:t>
      </w:r>
      <w:r w:rsidR="00D44CA0" w:rsidRPr="00B618D5">
        <w:rPr>
          <w:rFonts w:asciiTheme="minorHAnsi" w:eastAsiaTheme="minorHAnsi" w:hAnsiTheme="minorHAnsi" w:cstheme="minorHAnsi"/>
          <w:lang w:val="es-ES_tradnl"/>
        </w:rPr>
        <w:t>;</w:t>
      </w:r>
    </w:p>
    <w:p w14:paraId="10166F13" w14:textId="77777777" w:rsidR="00D44CA0" w:rsidRPr="00B618D5" w:rsidRDefault="00D44CA0" w:rsidP="009C04A9">
      <w:pPr>
        <w:pStyle w:val="ListParagraph"/>
        <w:spacing w:after="0" w:line="240" w:lineRule="auto"/>
        <w:rPr>
          <w:rFonts w:asciiTheme="minorHAnsi" w:eastAsiaTheme="minorHAnsi" w:hAnsiTheme="minorHAnsi" w:cstheme="minorHAnsi"/>
          <w:lang w:val="es-ES_tradnl"/>
        </w:rPr>
      </w:pPr>
    </w:p>
    <w:p w14:paraId="47AFF0B0" w14:textId="747B2EAC" w:rsidR="00D44CA0" w:rsidRPr="00B618D5" w:rsidRDefault="00D44CA0"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t>INVIT</w:t>
      </w:r>
      <w:r w:rsidR="008E3C81" w:rsidRPr="00B618D5">
        <w:rPr>
          <w:rFonts w:asciiTheme="minorHAnsi" w:eastAsiaTheme="minorHAnsi" w:hAnsiTheme="minorHAnsi" w:cstheme="minorHAnsi"/>
          <w:lang w:val="es-ES_tradnl"/>
        </w:rPr>
        <w:t xml:space="preserve">A a las Partes Contratantes, otros gobiernos y organismos de financiación a que proporcionen apoyo financiero y de otro tipo al informe </w:t>
      </w:r>
      <w:r w:rsidR="008E3C81" w:rsidRPr="00B618D5">
        <w:rPr>
          <w:rFonts w:asciiTheme="minorHAnsi" w:hAnsiTheme="minorHAnsi" w:cstheme="minorHAnsi"/>
          <w:lang w:val="es-ES_tradnl"/>
        </w:rPr>
        <w:t>“Estado de los humedales del mundo y sus servicios a las personas”</w:t>
      </w:r>
      <w:r w:rsidRPr="00B618D5">
        <w:rPr>
          <w:rFonts w:asciiTheme="minorHAnsi" w:eastAsiaTheme="minorHAnsi" w:hAnsiTheme="minorHAnsi" w:cstheme="minorHAnsi"/>
          <w:lang w:val="es-ES_tradnl"/>
        </w:rPr>
        <w:t>;</w:t>
      </w:r>
    </w:p>
    <w:p w14:paraId="7993AD9E" w14:textId="77777777" w:rsidR="001644AE" w:rsidRPr="00B618D5" w:rsidRDefault="001644AE" w:rsidP="009C04A9">
      <w:pPr>
        <w:pStyle w:val="ListParagraph"/>
        <w:spacing w:after="0" w:line="240" w:lineRule="auto"/>
        <w:rPr>
          <w:rFonts w:asciiTheme="minorHAnsi" w:hAnsiTheme="minorHAnsi" w:cstheme="minorHAnsi"/>
          <w:lang w:val="es-ES_tradnl"/>
        </w:rPr>
      </w:pPr>
    </w:p>
    <w:p w14:paraId="31787059" w14:textId="262FAE8C" w:rsidR="001644AE" w:rsidRPr="00B618D5" w:rsidRDefault="001644AE"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t>APRUEBA la lista de órganos y organizaciones que se pueden invitar a participar en calidad de observadores en las reuniones y los procesos del GECT, que figura en el Anexo 2 de la presente Resolución, y ENCARGA</w:t>
      </w:r>
      <w:r w:rsidRPr="00B618D5">
        <w:rPr>
          <w:rFonts w:asciiTheme="minorHAnsi" w:eastAsiaTheme="minorHAnsi" w:hAnsiTheme="minorHAnsi" w:cstheme="minorHAnsi"/>
          <w:color w:val="FF0000"/>
          <w:lang w:val="es-ES_tradnl"/>
        </w:rPr>
        <w:t xml:space="preserve"> </w:t>
      </w:r>
      <w:r w:rsidRPr="00B618D5">
        <w:rPr>
          <w:rFonts w:asciiTheme="minorHAnsi" w:eastAsiaTheme="minorHAnsi" w:hAnsiTheme="minorHAnsi" w:cstheme="minorHAnsi"/>
          <w:lang w:val="es-ES_tradnl"/>
        </w:rPr>
        <w:t>al Comité Permanente que modifique la lista durante el trienio según proceda</w:t>
      </w:r>
      <w:r w:rsidR="00AF3415" w:rsidRPr="00B618D5">
        <w:rPr>
          <w:rStyle w:val="FootnoteReference"/>
          <w:rFonts w:asciiTheme="minorHAnsi" w:eastAsiaTheme="minorHAnsi" w:hAnsiTheme="minorHAnsi" w:cstheme="minorHAnsi"/>
          <w:lang w:val="es-ES_tradnl"/>
        </w:rPr>
        <w:footnoteReference w:id="1"/>
      </w:r>
      <w:r w:rsidRPr="00B618D5">
        <w:rPr>
          <w:rFonts w:asciiTheme="minorHAnsi" w:eastAsiaTheme="minorHAnsi" w:hAnsiTheme="minorHAnsi" w:cstheme="minorHAnsi"/>
          <w:lang w:val="es-ES_tradnl"/>
        </w:rPr>
        <w:t xml:space="preserve">; e </w:t>
      </w:r>
    </w:p>
    <w:p w14:paraId="747ADA2D" w14:textId="77777777" w:rsidR="001644AE" w:rsidRPr="00B618D5" w:rsidRDefault="001644AE" w:rsidP="009C04A9">
      <w:pPr>
        <w:pStyle w:val="ListParagraph"/>
        <w:spacing w:after="0" w:line="240" w:lineRule="auto"/>
        <w:rPr>
          <w:rFonts w:asciiTheme="minorHAnsi" w:eastAsiaTheme="minorHAnsi" w:hAnsiTheme="minorHAnsi" w:cstheme="minorHAnsi"/>
          <w:lang w:val="es-ES_tradnl"/>
        </w:rPr>
      </w:pPr>
    </w:p>
    <w:p w14:paraId="2810D401" w14:textId="4514E3C2" w:rsidR="001644AE" w:rsidRPr="00B618D5" w:rsidRDefault="001644AE" w:rsidP="009C04A9">
      <w:pPr>
        <w:pStyle w:val="ListParagraph"/>
        <w:numPr>
          <w:ilvl w:val="0"/>
          <w:numId w:val="2"/>
        </w:numPr>
        <w:autoSpaceDE w:val="0"/>
        <w:autoSpaceDN w:val="0"/>
        <w:adjustRightInd w:val="0"/>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t xml:space="preserve">INVITA a los órganos y organizaciones enumerados en el Anexo 2 a contemplar la posibilidad de establecer acuerdos de colaboración estrecha con el GECT sobre cuestiones de interés común, </w:t>
      </w:r>
      <w:r w:rsidRPr="00B618D5">
        <w:rPr>
          <w:rFonts w:asciiTheme="minorHAnsi" w:eastAsiaTheme="minorHAnsi" w:hAnsiTheme="minorHAnsi" w:cstheme="minorHAnsi"/>
          <w:lang w:val="es-ES_tradnl"/>
        </w:rPr>
        <w:lastRenderedPageBreak/>
        <w:t xml:space="preserve">particularmente en relación con </w:t>
      </w:r>
      <w:r w:rsidR="008E3C81" w:rsidRPr="00B618D5">
        <w:rPr>
          <w:rFonts w:asciiTheme="minorHAnsi" w:eastAsiaTheme="minorHAnsi" w:hAnsiTheme="minorHAnsi" w:cstheme="minorHAnsi"/>
          <w:lang w:val="es-ES_tradnl"/>
        </w:rPr>
        <w:t xml:space="preserve">las áreas temáticas prioritarias indicadas </w:t>
      </w:r>
      <w:r w:rsidR="00A23884" w:rsidRPr="00B618D5">
        <w:rPr>
          <w:rFonts w:asciiTheme="minorHAnsi" w:eastAsiaTheme="minorHAnsi" w:hAnsiTheme="minorHAnsi" w:cstheme="minorHAnsi"/>
          <w:lang w:val="es-ES_tradnl"/>
        </w:rPr>
        <w:t>en el Anexo 3 durante</w:t>
      </w:r>
      <w:r w:rsidRPr="00B618D5">
        <w:rPr>
          <w:rFonts w:asciiTheme="minorHAnsi" w:eastAsiaTheme="minorHAnsi" w:hAnsiTheme="minorHAnsi" w:cstheme="minorHAnsi"/>
          <w:lang w:val="es-ES_tradnl"/>
        </w:rPr>
        <w:t xml:space="preserve"> el trienio 2016-2018.</w:t>
      </w:r>
    </w:p>
    <w:p w14:paraId="28A1F452" w14:textId="77777777" w:rsidR="001644AE" w:rsidRPr="00B618D5" w:rsidRDefault="001644AE" w:rsidP="001644AE">
      <w:pPr>
        <w:rPr>
          <w:rFonts w:asciiTheme="minorHAnsi" w:hAnsiTheme="minorHAnsi" w:cstheme="minorHAnsi"/>
          <w:sz w:val="22"/>
          <w:szCs w:val="22"/>
          <w:lang w:val="es-ES_tradnl"/>
        </w:rPr>
      </w:pPr>
    </w:p>
    <w:p w14:paraId="6826ABFA" w14:textId="77777777" w:rsidR="001644AE" w:rsidRPr="00B618D5" w:rsidRDefault="001644AE" w:rsidP="001644AE">
      <w:pPr>
        <w:rPr>
          <w:rFonts w:asciiTheme="minorHAnsi" w:hAnsiTheme="minorHAnsi" w:cstheme="minorHAnsi"/>
          <w:lang w:val="es-ES_tradnl"/>
        </w:rPr>
      </w:pPr>
    </w:p>
    <w:p w14:paraId="2EA08CE2" w14:textId="77777777" w:rsidR="001644AE" w:rsidRPr="00B618D5" w:rsidRDefault="001644AE" w:rsidP="001644AE">
      <w:pPr>
        <w:spacing w:after="200" w:line="276" w:lineRule="auto"/>
        <w:rPr>
          <w:rFonts w:asciiTheme="minorHAnsi" w:hAnsiTheme="minorHAnsi" w:cstheme="minorHAnsi"/>
          <w:b/>
          <w:sz w:val="32"/>
          <w:szCs w:val="22"/>
          <w:lang w:val="es-ES_tradnl"/>
        </w:rPr>
      </w:pPr>
      <w:r w:rsidRPr="00B618D5">
        <w:rPr>
          <w:rFonts w:asciiTheme="minorHAnsi" w:hAnsiTheme="minorHAnsi" w:cstheme="minorHAnsi"/>
          <w:b/>
          <w:sz w:val="32"/>
          <w:szCs w:val="22"/>
          <w:lang w:val="es-ES_tradnl"/>
        </w:rPr>
        <w:br w:type="page"/>
      </w:r>
    </w:p>
    <w:p w14:paraId="604985A1" w14:textId="77777777" w:rsidR="001644AE" w:rsidRPr="00B618D5" w:rsidRDefault="001644AE" w:rsidP="001644AE">
      <w:pPr>
        <w:rPr>
          <w:rFonts w:asciiTheme="minorHAnsi" w:eastAsiaTheme="minorHAnsi" w:hAnsiTheme="minorHAnsi" w:cstheme="minorHAnsi"/>
          <w:b/>
          <w:bCs/>
          <w:lang w:val="es-ES_tradnl" w:eastAsia="en-US"/>
        </w:rPr>
      </w:pPr>
      <w:r w:rsidRPr="00B618D5">
        <w:rPr>
          <w:rFonts w:asciiTheme="minorHAnsi" w:eastAsiaTheme="minorHAnsi" w:hAnsiTheme="minorHAnsi" w:cstheme="minorHAnsi"/>
          <w:b/>
          <w:bCs/>
          <w:lang w:val="es-ES_tradnl" w:eastAsia="en-US"/>
        </w:rPr>
        <w:lastRenderedPageBreak/>
        <w:t>Anexo 1</w:t>
      </w:r>
    </w:p>
    <w:p w14:paraId="7F984EEC" w14:textId="77777777" w:rsidR="00B906A8" w:rsidRPr="00B618D5" w:rsidRDefault="00B906A8" w:rsidP="001644AE">
      <w:pPr>
        <w:rPr>
          <w:rFonts w:asciiTheme="minorHAnsi" w:eastAsiaTheme="minorHAnsi" w:hAnsiTheme="minorHAnsi" w:cstheme="minorHAnsi"/>
          <w:b/>
          <w:bCs/>
          <w:lang w:val="es-ES_tradnl" w:eastAsia="en-US"/>
        </w:rPr>
      </w:pPr>
    </w:p>
    <w:p w14:paraId="1118A0FC" w14:textId="77777777" w:rsidR="00B906A8" w:rsidRPr="00B618D5" w:rsidRDefault="00B906A8" w:rsidP="00B906A8">
      <w:pPr>
        <w:rPr>
          <w:rFonts w:asciiTheme="minorHAnsi" w:eastAsiaTheme="minorHAnsi" w:hAnsiTheme="minorHAnsi" w:cstheme="minorHAnsi"/>
          <w:b/>
          <w:bCs/>
          <w:lang w:val="es-ES_tradnl" w:eastAsia="en-US"/>
        </w:rPr>
      </w:pPr>
      <w:r w:rsidRPr="00B618D5">
        <w:rPr>
          <w:rFonts w:asciiTheme="minorHAnsi" w:eastAsiaTheme="minorHAnsi" w:hAnsiTheme="minorHAnsi" w:cstheme="minorHAnsi"/>
          <w:b/>
          <w:bCs/>
          <w:lang w:val="es-ES_tradnl" w:eastAsia="en-US"/>
        </w:rPr>
        <w:t>Funcionamiento del Grupo de Examen Científico y Técnico</w:t>
      </w:r>
    </w:p>
    <w:p w14:paraId="78E490BA" w14:textId="77777777" w:rsidR="00B906A8" w:rsidRPr="00B618D5" w:rsidRDefault="00B906A8" w:rsidP="00B906A8">
      <w:pPr>
        <w:rPr>
          <w:rFonts w:asciiTheme="minorHAnsi" w:eastAsiaTheme="minorHAnsi" w:hAnsiTheme="minorHAnsi" w:cstheme="minorHAnsi"/>
          <w:b/>
          <w:bCs/>
          <w:lang w:val="es-ES_tradnl" w:eastAsia="en-US"/>
        </w:rPr>
      </w:pPr>
    </w:p>
    <w:p w14:paraId="73911DB6" w14:textId="77777777" w:rsidR="00B906A8" w:rsidRPr="00B618D5" w:rsidRDefault="00B906A8" w:rsidP="009C04A9">
      <w:pPr>
        <w:jc w:val="both"/>
        <w:rPr>
          <w:rFonts w:asciiTheme="minorHAnsi" w:eastAsiaTheme="minorHAnsi" w:hAnsiTheme="minorHAnsi" w:cstheme="minorHAnsi"/>
          <w:b/>
          <w:bCs/>
          <w:sz w:val="22"/>
          <w:szCs w:val="22"/>
          <w:lang w:val="es-ES_tradnl" w:eastAsia="en-US"/>
        </w:rPr>
      </w:pPr>
      <w:r w:rsidRPr="00B618D5">
        <w:rPr>
          <w:rFonts w:asciiTheme="minorHAnsi" w:eastAsiaTheme="minorHAnsi" w:hAnsiTheme="minorHAnsi" w:cstheme="minorHAnsi"/>
          <w:b/>
          <w:bCs/>
          <w:sz w:val="22"/>
          <w:szCs w:val="22"/>
          <w:lang w:val="es-ES_tradnl" w:eastAsia="en-US"/>
        </w:rPr>
        <w:t>Finalidad del Grupo de Examen Científico y Técnico</w:t>
      </w:r>
    </w:p>
    <w:p w14:paraId="212DCFEC"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758E4D80"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La finalidad del Grupo Científico y Técnico es proporcionar orientaciones y asesoramiento de carácter científico y técnico a las Partes Contratantes de Ramsar, la Conferencia de las </w:t>
      </w:r>
      <w:r w:rsidRPr="00B618D5">
        <w:rPr>
          <w:rFonts w:asciiTheme="minorHAnsi" w:hAnsiTheme="minorHAnsi" w:cstheme="minorHAnsi"/>
          <w:lang w:val="es-ES_tradnl"/>
        </w:rPr>
        <w:t>Partes, el Comité Permanente, la Secretaría de Ramsar y otros usuarios de los humedales que trabajan en cuestiones relativas a los humedales a fin de promover la aplicación de la Convención</w:t>
      </w:r>
      <w:r w:rsidRPr="00B618D5">
        <w:rPr>
          <w:rFonts w:asciiTheme="minorHAnsi" w:eastAsiaTheme="minorHAnsi" w:hAnsiTheme="minorHAnsi" w:cstheme="minorHAnsi"/>
          <w:bCs/>
          <w:lang w:val="es-ES_tradnl"/>
        </w:rPr>
        <w:t>.</w:t>
      </w:r>
    </w:p>
    <w:p w14:paraId="1F050D8E" w14:textId="77777777" w:rsidR="00114520" w:rsidRPr="00B618D5" w:rsidRDefault="00114520" w:rsidP="009C04A9">
      <w:pPr>
        <w:rPr>
          <w:rFonts w:asciiTheme="minorHAnsi" w:eastAsiaTheme="minorHAnsi" w:hAnsiTheme="minorHAnsi" w:cstheme="minorHAnsi"/>
          <w:bCs/>
          <w:lang w:val="es-ES_tradnl"/>
        </w:rPr>
      </w:pPr>
    </w:p>
    <w:p w14:paraId="074943DE" w14:textId="4D725EF8"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El GECT debería proporcionar </w:t>
      </w:r>
      <w:r w:rsidRPr="00B618D5">
        <w:rPr>
          <w:rFonts w:asciiTheme="minorHAnsi" w:eastAsiaTheme="minorHAnsi" w:hAnsiTheme="minorHAnsi" w:cstheme="minorHAnsi"/>
          <w:lang w:val="es-ES_tradnl"/>
        </w:rPr>
        <w:t xml:space="preserve">de manera eficaz, eficiente y oportuna </w:t>
      </w:r>
      <w:r w:rsidRPr="00B618D5">
        <w:rPr>
          <w:rFonts w:asciiTheme="minorHAnsi" w:eastAsiaTheme="minorHAnsi" w:hAnsiTheme="minorHAnsi" w:cstheme="minorHAnsi"/>
          <w:bCs/>
          <w:lang w:val="es-ES_tradnl"/>
        </w:rPr>
        <w:t>asesoramiento, orientaciones y herramientas de carácter científico y técnico específicos</w:t>
      </w:r>
      <w:r w:rsidR="00114520" w:rsidRPr="00B618D5">
        <w:rPr>
          <w:rFonts w:asciiTheme="minorHAnsi" w:eastAsiaTheme="minorHAnsi" w:hAnsiTheme="minorHAnsi" w:cstheme="minorHAnsi"/>
          <w:bCs/>
          <w:lang w:val="es-ES_tradnl"/>
        </w:rPr>
        <w:t xml:space="preserve"> para todo el mundo,</w:t>
      </w:r>
      <w:r w:rsidRPr="00B618D5">
        <w:rPr>
          <w:rFonts w:asciiTheme="minorHAnsi" w:eastAsiaTheme="minorHAnsi" w:hAnsiTheme="minorHAnsi" w:cstheme="minorHAnsi"/>
          <w:bCs/>
          <w:lang w:val="es-ES_tradnl"/>
        </w:rPr>
        <w:t xml:space="preserve"> para regiones y</w:t>
      </w:r>
      <w:r w:rsidR="00A23884" w:rsidRPr="00B618D5">
        <w:rPr>
          <w:rFonts w:asciiTheme="minorHAnsi" w:eastAsiaTheme="minorHAnsi" w:hAnsiTheme="minorHAnsi" w:cstheme="minorHAnsi"/>
          <w:bCs/>
          <w:lang w:val="es-ES_tradnl"/>
        </w:rPr>
        <w:t xml:space="preserve">, </w:t>
      </w:r>
      <w:r w:rsidR="00114520" w:rsidRPr="00B618D5">
        <w:rPr>
          <w:rFonts w:asciiTheme="minorHAnsi" w:eastAsiaTheme="minorHAnsi" w:hAnsiTheme="minorHAnsi" w:cstheme="minorHAnsi"/>
          <w:bCs/>
          <w:lang w:val="es-ES_tradnl"/>
        </w:rPr>
        <w:t>en la medida de lo posible</w:t>
      </w:r>
      <w:r w:rsidR="00A23884" w:rsidRPr="00B618D5">
        <w:rPr>
          <w:rFonts w:asciiTheme="minorHAnsi" w:eastAsiaTheme="minorHAnsi" w:hAnsiTheme="minorHAnsi" w:cstheme="minorHAnsi"/>
          <w:bCs/>
          <w:lang w:val="es-ES_tradnl"/>
        </w:rPr>
        <w:t>,</w:t>
      </w:r>
      <w:r w:rsidRPr="00B618D5">
        <w:rPr>
          <w:rFonts w:asciiTheme="minorHAnsi" w:eastAsiaTheme="minorHAnsi" w:hAnsiTheme="minorHAnsi" w:cstheme="minorHAnsi"/>
          <w:bCs/>
          <w:lang w:val="es-ES_tradnl"/>
        </w:rPr>
        <w:t xml:space="preserve"> países concretos que permitan a sus destinatarios responder a las oportunidades, los desafíos y las cuestiones emergentes </w:t>
      </w:r>
      <w:r w:rsidR="006B0FEF" w:rsidRPr="00B618D5">
        <w:rPr>
          <w:rFonts w:asciiTheme="minorHAnsi" w:eastAsiaTheme="minorHAnsi" w:hAnsiTheme="minorHAnsi" w:cstheme="minorHAnsi"/>
          <w:bCs/>
          <w:lang w:val="es-ES_tradnl"/>
        </w:rPr>
        <w:t xml:space="preserve">relativos a </w:t>
      </w:r>
      <w:r w:rsidRPr="00B618D5">
        <w:rPr>
          <w:rFonts w:asciiTheme="minorHAnsi" w:eastAsiaTheme="minorHAnsi" w:hAnsiTheme="minorHAnsi" w:cstheme="minorHAnsi"/>
          <w:bCs/>
          <w:lang w:val="es-ES_tradnl"/>
        </w:rPr>
        <w:t>la conservación y el uso racional de los humedales.</w:t>
      </w:r>
    </w:p>
    <w:p w14:paraId="20BD599E" w14:textId="77777777" w:rsidR="00B906A8" w:rsidRPr="00B618D5" w:rsidRDefault="00B906A8" w:rsidP="009C04A9">
      <w:pPr>
        <w:jc w:val="center"/>
        <w:rPr>
          <w:rFonts w:asciiTheme="minorHAnsi" w:hAnsiTheme="minorHAnsi" w:cstheme="minorHAnsi"/>
          <w:sz w:val="22"/>
          <w:szCs w:val="22"/>
          <w:lang w:val="es-ES_tradnl"/>
        </w:rPr>
      </w:pPr>
    </w:p>
    <w:p w14:paraId="1B23BE32" w14:textId="77777777" w:rsidR="00B906A8" w:rsidRPr="00B618D5" w:rsidRDefault="00B906A8" w:rsidP="009C04A9">
      <w:pPr>
        <w:rPr>
          <w:rFonts w:asciiTheme="minorHAnsi" w:hAnsiTheme="minorHAnsi" w:cstheme="minorHAnsi"/>
          <w:b/>
          <w:sz w:val="22"/>
          <w:szCs w:val="22"/>
          <w:lang w:val="es-ES_tradnl"/>
        </w:rPr>
      </w:pPr>
      <w:r w:rsidRPr="00B618D5">
        <w:rPr>
          <w:rFonts w:asciiTheme="minorHAnsi" w:hAnsiTheme="minorHAnsi" w:cstheme="minorHAnsi"/>
          <w:b/>
          <w:sz w:val="22"/>
          <w:szCs w:val="22"/>
          <w:lang w:val="es-ES_tradnl"/>
        </w:rPr>
        <w:t>Supervisión del GECT</w:t>
      </w:r>
    </w:p>
    <w:p w14:paraId="454435B1" w14:textId="77777777" w:rsidR="00B906A8" w:rsidRPr="00B618D5" w:rsidRDefault="00B906A8" w:rsidP="009C04A9">
      <w:pPr>
        <w:tabs>
          <w:tab w:val="left" w:pos="2785"/>
        </w:tabs>
        <w:rPr>
          <w:rFonts w:asciiTheme="minorHAnsi" w:hAnsiTheme="minorHAnsi" w:cstheme="minorHAnsi"/>
          <w:sz w:val="22"/>
          <w:szCs w:val="22"/>
          <w:lang w:val="es-ES_tradnl"/>
        </w:rPr>
      </w:pPr>
    </w:p>
    <w:p w14:paraId="64CCA39C" w14:textId="2600AFE1"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Las áreas de trabajo temáticas</w:t>
      </w:r>
      <w:r w:rsidR="00114520" w:rsidRPr="00B618D5">
        <w:rPr>
          <w:rFonts w:asciiTheme="minorHAnsi" w:eastAsiaTheme="minorHAnsi" w:hAnsiTheme="minorHAnsi" w:cstheme="minorHAnsi"/>
          <w:bCs/>
          <w:lang w:val="es-ES_tradnl"/>
        </w:rPr>
        <w:t xml:space="preserve"> prioritarias</w:t>
      </w:r>
      <w:r w:rsidRPr="00B618D5">
        <w:rPr>
          <w:rFonts w:asciiTheme="minorHAnsi" w:eastAsiaTheme="minorHAnsi" w:hAnsiTheme="minorHAnsi" w:cstheme="minorHAnsi"/>
          <w:bCs/>
          <w:lang w:val="es-ES_tradnl"/>
        </w:rPr>
        <w:t xml:space="preserve"> del GECT y el presupuesto para llevar a cabo </w:t>
      </w:r>
      <w:r w:rsidR="006B0FEF" w:rsidRPr="00B618D5">
        <w:rPr>
          <w:rFonts w:asciiTheme="minorHAnsi" w:eastAsiaTheme="minorHAnsi" w:hAnsiTheme="minorHAnsi" w:cstheme="minorHAnsi"/>
          <w:bCs/>
          <w:lang w:val="es-ES_tradnl"/>
        </w:rPr>
        <w:t xml:space="preserve">la labor prevista </w:t>
      </w:r>
      <w:r w:rsidRPr="00B618D5">
        <w:rPr>
          <w:rFonts w:asciiTheme="minorHAnsi" w:eastAsiaTheme="minorHAnsi" w:hAnsiTheme="minorHAnsi" w:cstheme="minorHAnsi"/>
          <w:bCs/>
          <w:lang w:val="es-ES_tradnl"/>
        </w:rPr>
        <w:t xml:space="preserve">se aprobarán en cada reunión de la COP. </w:t>
      </w:r>
      <w:r w:rsidR="006B0FEF" w:rsidRPr="00B618D5">
        <w:rPr>
          <w:rFonts w:asciiTheme="minorHAnsi" w:eastAsiaTheme="minorHAnsi" w:hAnsiTheme="minorHAnsi" w:cstheme="minorHAnsi"/>
          <w:bCs/>
          <w:lang w:val="es-ES_tradnl"/>
        </w:rPr>
        <w:t xml:space="preserve">En una reunión ulterior, el Comité Permanente </w:t>
      </w:r>
      <w:r w:rsidRPr="00B618D5">
        <w:rPr>
          <w:rFonts w:asciiTheme="minorHAnsi" w:eastAsiaTheme="minorHAnsi" w:hAnsiTheme="minorHAnsi" w:cstheme="minorHAnsi"/>
          <w:bCs/>
          <w:lang w:val="es-ES_tradnl"/>
        </w:rPr>
        <w:t>aprobará el plan de trabajo del GECT para el siguiente trienio. El plan de trabajo se desarrollará a partir de las áreas de trabajo temáticas prioritarias determinadas y aprobadas por la Conferencia de las Partes, de conformidad con el Plan Estratégico actual.</w:t>
      </w:r>
    </w:p>
    <w:p w14:paraId="19AD8F7C"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32664C88"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Entre reuniones de la COP, el Comité Permanente y el Grupo de Trabajo Administrativo seguirán dirigiendo y supervisando la aplicación del programa, examinando las tareas prioritarias y modificándolas en caso necesario, y aprobando la asignación de fondos. El Presidente del GECT presentará un informe a cada reunión del Comité Permanente sobre los progresos realizados por el Grupo y recomendará los ajustes necesarios para la consideración de dicho Comité.</w:t>
      </w:r>
    </w:p>
    <w:p w14:paraId="1992D7FF" w14:textId="77777777" w:rsidR="00B906A8" w:rsidRPr="00B618D5" w:rsidRDefault="00B906A8" w:rsidP="009C04A9">
      <w:pPr>
        <w:pStyle w:val="ListParagraph"/>
        <w:spacing w:after="0" w:line="240" w:lineRule="auto"/>
        <w:rPr>
          <w:rFonts w:asciiTheme="minorHAnsi" w:eastAsiaTheme="minorHAnsi" w:hAnsiTheme="minorHAnsi" w:cstheme="minorHAnsi"/>
          <w:bCs/>
          <w:lang w:val="es-ES_tradnl"/>
        </w:rPr>
      </w:pPr>
    </w:p>
    <w:p w14:paraId="31751C44"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El Grupo de Trabajo Administrativo del Comité Permanente supervisará la labor del GECT, reemplazando al Comité de Supervisión del GECT, con arreglo al mandato definido para dicho Comité en la Resolución IX.11 y con las siguientes responsabilidades:</w:t>
      </w:r>
    </w:p>
    <w:p w14:paraId="74CA333E" w14:textId="77777777" w:rsidR="00B906A8" w:rsidRPr="00B618D5" w:rsidRDefault="00B906A8" w:rsidP="009C04A9">
      <w:pPr>
        <w:pStyle w:val="ListParagraph"/>
        <w:tabs>
          <w:tab w:val="left" w:pos="2612"/>
        </w:tabs>
        <w:spacing w:after="0" w:line="240" w:lineRule="auto"/>
        <w:ind w:left="851" w:hanging="425"/>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ab/>
      </w:r>
    </w:p>
    <w:p w14:paraId="0C1CC9DD" w14:textId="77777777" w:rsidR="00B906A8" w:rsidRPr="00B618D5" w:rsidRDefault="00B906A8" w:rsidP="009C04A9">
      <w:pPr>
        <w:pStyle w:val="ListParagraph"/>
        <w:numPr>
          <w:ilvl w:val="0"/>
          <w:numId w:val="5"/>
        </w:numPr>
        <w:autoSpaceDE w:val="0"/>
        <w:autoSpaceDN w:val="0"/>
        <w:adjustRightInd w:val="0"/>
        <w:spacing w:after="0" w:line="240" w:lineRule="auto"/>
        <w:ind w:left="851" w:hanging="425"/>
        <w:rPr>
          <w:rFonts w:asciiTheme="minorHAnsi" w:eastAsiaTheme="minorHAnsi" w:hAnsiTheme="minorHAnsi" w:cstheme="minorHAnsi"/>
          <w:lang w:val="es-ES_tradnl"/>
        </w:rPr>
      </w:pPr>
      <w:r w:rsidRPr="00B618D5">
        <w:rPr>
          <w:rFonts w:asciiTheme="minorHAnsi" w:eastAsiaTheme="minorHAnsi" w:hAnsiTheme="minorHAnsi" w:cstheme="minorHAnsi"/>
          <w:lang w:val="es-ES_tradnl"/>
        </w:rPr>
        <w:t>designar a los miembros del GECT y elegir un Presidente y un Vicepresidente entre los mismos;</w:t>
      </w:r>
    </w:p>
    <w:p w14:paraId="4778CBF9" w14:textId="77777777" w:rsidR="00B906A8" w:rsidRPr="00B618D5" w:rsidRDefault="00B906A8" w:rsidP="009C04A9">
      <w:pPr>
        <w:pStyle w:val="ListParagraph"/>
        <w:autoSpaceDE w:val="0"/>
        <w:autoSpaceDN w:val="0"/>
        <w:adjustRightInd w:val="0"/>
        <w:spacing w:after="0" w:line="240" w:lineRule="auto"/>
        <w:ind w:left="851" w:hanging="425"/>
        <w:rPr>
          <w:rFonts w:asciiTheme="minorHAnsi" w:eastAsiaTheme="minorHAnsi" w:hAnsiTheme="minorHAnsi" w:cstheme="minorHAnsi"/>
          <w:lang w:val="es-ES_tradnl"/>
        </w:rPr>
      </w:pPr>
    </w:p>
    <w:p w14:paraId="0035DB24" w14:textId="77777777" w:rsidR="00B906A8" w:rsidRPr="00B618D5" w:rsidRDefault="00B906A8" w:rsidP="009C04A9">
      <w:pPr>
        <w:pStyle w:val="ListParagraph"/>
        <w:numPr>
          <w:ilvl w:val="0"/>
          <w:numId w:val="5"/>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 xml:space="preserve">supervisar la aplicación del programa del GECT e informar sobre los progresos realizados a cada reunión del Comité Permanente, formulando recomendaciones sobre las medidas que se deberían tomar según sea necesario; </w:t>
      </w:r>
    </w:p>
    <w:p w14:paraId="2D2492BA" w14:textId="77777777" w:rsidR="00B906A8" w:rsidRPr="00B618D5" w:rsidRDefault="00B906A8" w:rsidP="009C04A9">
      <w:pPr>
        <w:pStyle w:val="ListParagraph"/>
        <w:spacing w:after="0" w:line="240" w:lineRule="auto"/>
        <w:ind w:left="851" w:hanging="425"/>
        <w:rPr>
          <w:rFonts w:asciiTheme="minorHAnsi" w:hAnsiTheme="minorHAnsi" w:cstheme="minorHAnsi"/>
          <w:lang w:val="es-ES_tradnl"/>
        </w:rPr>
      </w:pPr>
    </w:p>
    <w:p w14:paraId="6F1DA836" w14:textId="77777777" w:rsidR="00B906A8" w:rsidRPr="00B618D5" w:rsidRDefault="00B906A8" w:rsidP="009C04A9">
      <w:pPr>
        <w:pStyle w:val="ListParagraph"/>
        <w:numPr>
          <w:ilvl w:val="0"/>
          <w:numId w:val="5"/>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orientar y apoyar al Grupo según sea necesario;</w:t>
      </w:r>
    </w:p>
    <w:p w14:paraId="5FCB0225" w14:textId="77777777" w:rsidR="00B906A8" w:rsidRPr="00B618D5" w:rsidRDefault="00B906A8" w:rsidP="009C04A9">
      <w:pPr>
        <w:ind w:left="851" w:hanging="425"/>
        <w:rPr>
          <w:lang w:val="es-ES_tradnl"/>
        </w:rPr>
      </w:pPr>
    </w:p>
    <w:p w14:paraId="0A1E4041" w14:textId="77777777" w:rsidR="00B906A8" w:rsidRPr="00B618D5" w:rsidRDefault="00B906A8" w:rsidP="009C04A9">
      <w:pPr>
        <w:pStyle w:val="ListParagraph"/>
        <w:numPr>
          <w:ilvl w:val="0"/>
          <w:numId w:val="5"/>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recomendar la asignación de fondos para las tareas del GECT al Subgrupo de Finanzas del Comité Permanente; y</w:t>
      </w:r>
    </w:p>
    <w:p w14:paraId="4593A5ED" w14:textId="77777777" w:rsidR="00B906A8" w:rsidRPr="00B618D5" w:rsidRDefault="00B906A8" w:rsidP="009C04A9">
      <w:pPr>
        <w:pStyle w:val="ListParagraph"/>
        <w:tabs>
          <w:tab w:val="left" w:pos="2744"/>
        </w:tabs>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ab/>
      </w:r>
    </w:p>
    <w:p w14:paraId="4C51444C" w14:textId="77777777" w:rsidR="00B906A8" w:rsidRPr="00B618D5" w:rsidRDefault="00B906A8" w:rsidP="009C04A9">
      <w:pPr>
        <w:pStyle w:val="ListParagraph"/>
        <w:numPr>
          <w:ilvl w:val="0"/>
          <w:numId w:val="5"/>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trabajar con la Secretaría para supervisar los gastos del GECT.</w:t>
      </w:r>
    </w:p>
    <w:p w14:paraId="64B5F139" w14:textId="77777777" w:rsidR="00B906A8" w:rsidRPr="00B618D5" w:rsidRDefault="00B906A8" w:rsidP="009C04A9">
      <w:pPr>
        <w:pStyle w:val="ListParagraph"/>
        <w:spacing w:after="0" w:line="240" w:lineRule="auto"/>
        <w:rPr>
          <w:rFonts w:asciiTheme="minorHAnsi" w:hAnsiTheme="minorHAnsi" w:cstheme="minorHAnsi"/>
          <w:lang w:val="es-ES_tradnl"/>
        </w:rPr>
      </w:pPr>
    </w:p>
    <w:p w14:paraId="32F3FAD7"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La Secretaría</w:t>
      </w:r>
      <w:r w:rsidRPr="00B618D5">
        <w:rPr>
          <w:rFonts w:asciiTheme="minorHAnsi" w:eastAsiaTheme="minorHAnsi" w:hAnsiTheme="minorHAnsi" w:cstheme="minorHAnsi"/>
          <w:b/>
          <w:bCs/>
          <w:lang w:val="es-ES_tradnl"/>
        </w:rPr>
        <w:t xml:space="preserve"> </w:t>
      </w:r>
      <w:r w:rsidRPr="00B618D5">
        <w:rPr>
          <w:rFonts w:asciiTheme="minorHAnsi" w:eastAsiaTheme="minorHAnsi" w:hAnsiTheme="minorHAnsi" w:cstheme="minorHAnsi"/>
          <w:bCs/>
          <w:lang w:val="es-ES_tradnl"/>
        </w:rPr>
        <w:t xml:space="preserve">continuará apoyando al GECT. Entre el personal pertinente se incluyen el Secretario General Adjunto, los Asesores Regionales Superiores, el Responsable de </w:t>
      </w:r>
      <w:r w:rsidRPr="00B618D5">
        <w:rPr>
          <w:rFonts w:asciiTheme="minorHAnsi" w:eastAsiaTheme="minorHAnsi" w:hAnsiTheme="minorHAnsi" w:cstheme="minorHAnsi"/>
          <w:bCs/>
          <w:lang w:val="es-ES_tradnl"/>
        </w:rPr>
        <w:lastRenderedPageBreak/>
        <w:t>Comunicaciones y el Oficial de Apoyo Científico y Técnico. El Responsable de Comunicaciones desempeñará la función del experto en CECoP definido en la Resolución IX.11. Entre las responsabilidades de la Secretaría figuran las siguientes:</w:t>
      </w:r>
    </w:p>
    <w:p w14:paraId="54EAC97E" w14:textId="77777777" w:rsidR="00B906A8" w:rsidRPr="00B618D5" w:rsidRDefault="00B906A8" w:rsidP="009C04A9">
      <w:pPr>
        <w:autoSpaceDE w:val="0"/>
        <w:autoSpaceDN w:val="0"/>
        <w:adjustRightInd w:val="0"/>
        <w:rPr>
          <w:rFonts w:asciiTheme="minorHAnsi" w:hAnsiTheme="minorHAnsi" w:cstheme="minorHAnsi"/>
          <w:lang w:val="es-ES_tradnl"/>
        </w:rPr>
      </w:pPr>
    </w:p>
    <w:p w14:paraId="4E40DA3D" w14:textId="77777777" w:rsidR="00B906A8" w:rsidRPr="00B618D5" w:rsidRDefault="00B906A8" w:rsidP="009C04A9">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facilitar la labor del GECT, inclusive organizando y administrando sus reuniones y encargándose del mantenimiento del Espacio de Trabajo del GECT;</w:t>
      </w:r>
    </w:p>
    <w:p w14:paraId="29012C7B" w14:textId="77777777" w:rsidR="00B906A8" w:rsidRPr="00B618D5" w:rsidRDefault="00B906A8" w:rsidP="009C04A9">
      <w:pPr>
        <w:pStyle w:val="ListParagraph"/>
        <w:spacing w:after="0" w:line="240" w:lineRule="auto"/>
        <w:rPr>
          <w:rFonts w:asciiTheme="minorHAnsi" w:hAnsiTheme="minorHAnsi" w:cstheme="minorHAnsi"/>
          <w:lang w:val="es-ES_tradnl"/>
        </w:rPr>
      </w:pPr>
    </w:p>
    <w:p w14:paraId="2D1427C0" w14:textId="03680EA1" w:rsidR="00B906A8" w:rsidRPr="00B618D5" w:rsidRDefault="00B906A8" w:rsidP="009C04A9">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 xml:space="preserve">desarrollar oportunidades de colaboración con otras Convenciones, </w:t>
      </w:r>
      <w:r w:rsidR="00114520" w:rsidRPr="00B618D5">
        <w:rPr>
          <w:rFonts w:asciiTheme="minorHAnsi" w:hAnsiTheme="minorHAnsi" w:cstheme="minorHAnsi"/>
          <w:lang w:val="es-ES_tradnl"/>
        </w:rPr>
        <w:t xml:space="preserve">organizaciones internacionales, tales como organizaciones financieras, </w:t>
      </w:r>
      <w:r w:rsidRPr="00B618D5">
        <w:rPr>
          <w:rFonts w:asciiTheme="minorHAnsi" w:hAnsiTheme="minorHAnsi" w:cstheme="minorHAnsi"/>
          <w:lang w:val="es-ES_tradnl"/>
        </w:rPr>
        <w:t xml:space="preserve">instituciones intergubernamentales y ONG nacionales e internacionales y facilitar dicha colaboración según sea necesario; </w:t>
      </w:r>
    </w:p>
    <w:p w14:paraId="7945CC02" w14:textId="77777777" w:rsidR="00B906A8" w:rsidRPr="00B618D5" w:rsidRDefault="00B906A8" w:rsidP="009C04A9">
      <w:pPr>
        <w:pStyle w:val="ListParagraph"/>
        <w:spacing w:after="0" w:line="240" w:lineRule="auto"/>
        <w:rPr>
          <w:rFonts w:asciiTheme="minorHAnsi" w:hAnsiTheme="minorHAnsi" w:cstheme="minorHAnsi"/>
          <w:lang w:val="es-ES_tradnl"/>
        </w:rPr>
      </w:pPr>
    </w:p>
    <w:p w14:paraId="05B07213" w14:textId="14153973" w:rsidR="00B906A8" w:rsidRPr="00B618D5" w:rsidRDefault="00B906A8" w:rsidP="009C04A9">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 xml:space="preserve">facilitar los contactos entre posibles </w:t>
      </w:r>
      <w:r w:rsidR="009D3265" w:rsidRPr="00B618D5">
        <w:rPr>
          <w:rFonts w:asciiTheme="minorHAnsi" w:hAnsiTheme="minorHAnsi" w:cstheme="minorHAnsi"/>
          <w:lang w:val="es-ES_tradnl"/>
        </w:rPr>
        <w:t xml:space="preserve">expertos </w:t>
      </w:r>
      <w:r w:rsidRPr="00B618D5">
        <w:rPr>
          <w:rFonts w:asciiTheme="minorHAnsi" w:hAnsiTheme="minorHAnsi" w:cstheme="minorHAnsi"/>
          <w:lang w:val="es-ES_tradnl"/>
        </w:rPr>
        <w:t>en los países, las regiones y a escala mundial</w:t>
      </w:r>
      <w:r w:rsidR="009D3265" w:rsidRPr="00B618D5">
        <w:rPr>
          <w:rFonts w:asciiTheme="minorHAnsi" w:hAnsiTheme="minorHAnsi" w:cstheme="minorHAnsi"/>
          <w:lang w:val="es-ES_tradnl"/>
        </w:rPr>
        <w:t xml:space="preserve">, con inclusión de los pueblos indígenas </w:t>
      </w:r>
      <w:r w:rsidR="00AF3415" w:rsidRPr="00B618D5">
        <w:rPr>
          <w:rFonts w:asciiTheme="minorHAnsi" w:hAnsiTheme="minorHAnsi" w:cstheme="minorHAnsi"/>
          <w:lang w:val="es-ES_tradnl"/>
        </w:rPr>
        <w:t>y</w:t>
      </w:r>
      <w:r w:rsidR="009D3265" w:rsidRPr="00B618D5">
        <w:rPr>
          <w:rFonts w:asciiTheme="minorHAnsi" w:hAnsiTheme="minorHAnsi" w:cstheme="minorHAnsi"/>
          <w:lang w:val="es-ES_tradnl"/>
        </w:rPr>
        <w:t xml:space="preserve"> las comunidades locales</w:t>
      </w:r>
      <w:r w:rsidRPr="00B618D5">
        <w:rPr>
          <w:rFonts w:asciiTheme="minorHAnsi" w:hAnsiTheme="minorHAnsi" w:cstheme="minorHAnsi"/>
          <w:lang w:val="es-ES_tradnl"/>
        </w:rPr>
        <w:t>;</w:t>
      </w:r>
    </w:p>
    <w:p w14:paraId="5D14F46E" w14:textId="77777777" w:rsidR="00B906A8" w:rsidRPr="00B618D5" w:rsidRDefault="00B906A8" w:rsidP="009C04A9">
      <w:pPr>
        <w:pStyle w:val="ListParagraph"/>
        <w:spacing w:after="0" w:line="240" w:lineRule="auto"/>
        <w:rPr>
          <w:rFonts w:asciiTheme="minorHAnsi" w:hAnsiTheme="minorHAnsi" w:cstheme="minorHAnsi"/>
          <w:lang w:val="es-ES_tradnl"/>
        </w:rPr>
      </w:pPr>
    </w:p>
    <w:p w14:paraId="07F1FC47" w14:textId="77777777" w:rsidR="00B906A8" w:rsidRPr="00B618D5" w:rsidRDefault="00B906A8" w:rsidP="009C04A9">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identificar las necesidades de los destinatarios potenciales y las prioridades temáticas en los distintos países o regiones para proponerlas a las Partes para su consideración;</w:t>
      </w:r>
    </w:p>
    <w:p w14:paraId="6967DAE0" w14:textId="77777777" w:rsidR="00B906A8" w:rsidRPr="00B618D5" w:rsidRDefault="00B906A8"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5044AE39" w14:textId="77777777" w:rsidR="00B906A8" w:rsidRPr="00B618D5" w:rsidRDefault="00B906A8" w:rsidP="009C04A9">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 xml:space="preserve">crear una base de datos amplia de contactos, incluyendo las Autoridades Administrativas, los Coordinadores Nacionales del GECT, de CECoP y de Ramsar en general, los Comités Nacionales de Ramsar, los gestores de los sitios Ramsar, las organizaciones que se encargan de los humedales, antiguos miembros del GECT y otros contactos, organizaciones y Convenciones pertinentes y divulgar las decisiones, Resoluciones y Recomendaciones de la COP y el Comité Permanente de Ramsar entre ellos; </w:t>
      </w:r>
    </w:p>
    <w:p w14:paraId="75DC9B4B" w14:textId="77777777" w:rsidR="00B906A8" w:rsidRPr="00B618D5" w:rsidRDefault="00B906A8" w:rsidP="009C04A9">
      <w:pPr>
        <w:pStyle w:val="ListParagraph"/>
        <w:spacing w:after="0" w:line="240" w:lineRule="auto"/>
        <w:rPr>
          <w:rFonts w:asciiTheme="minorHAnsi" w:hAnsiTheme="minorHAnsi" w:cstheme="minorHAnsi"/>
          <w:lang w:val="es-ES_tradnl"/>
        </w:rPr>
      </w:pPr>
    </w:p>
    <w:p w14:paraId="2B3E7D3D" w14:textId="77777777" w:rsidR="00B906A8" w:rsidRPr="00B618D5" w:rsidRDefault="00B906A8" w:rsidP="009C04A9">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B618D5">
        <w:rPr>
          <w:lang w:val="es-ES_tradnl"/>
        </w:rPr>
        <w:t>mantener informados a las Partes Contratantes, a la comunidad Ramsar y al público sobre los avances relativos a la Convención, incluyendo la disponibilidad de productos finalizados del GECT;</w:t>
      </w:r>
    </w:p>
    <w:p w14:paraId="175763B5" w14:textId="77777777" w:rsidR="00B906A8" w:rsidRPr="00B618D5" w:rsidRDefault="00B906A8" w:rsidP="009C04A9">
      <w:pPr>
        <w:pStyle w:val="ListParagraph"/>
        <w:spacing w:after="0" w:line="240" w:lineRule="auto"/>
        <w:rPr>
          <w:rFonts w:asciiTheme="minorHAnsi" w:hAnsiTheme="minorHAnsi" w:cstheme="minorHAnsi"/>
          <w:lang w:val="es-ES_tradnl"/>
        </w:rPr>
      </w:pPr>
    </w:p>
    <w:p w14:paraId="0E98C25E" w14:textId="10EDD7C5" w:rsidR="00B906A8" w:rsidRPr="00B618D5" w:rsidRDefault="00B906A8" w:rsidP="009C04A9">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garantizar que todos los materiales</w:t>
      </w:r>
      <w:r w:rsidR="009D3265" w:rsidRPr="00B618D5">
        <w:rPr>
          <w:rFonts w:asciiTheme="minorHAnsi" w:hAnsiTheme="minorHAnsi" w:cstheme="minorHAnsi"/>
          <w:lang w:val="es-ES_tradnl"/>
        </w:rPr>
        <w:t xml:space="preserve"> escritos</w:t>
      </w:r>
      <w:r w:rsidRPr="00B618D5">
        <w:rPr>
          <w:rFonts w:asciiTheme="minorHAnsi" w:hAnsiTheme="minorHAnsi" w:cstheme="minorHAnsi"/>
          <w:lang w:val="es-ES_tradnl"/>
        </w:rPr>
        <w:t xml:space="preserve"> desarrollados por el GECT</w:t>
      </w:r>
      <w:r w:rsidR="00114520" w:rsidRPr="00B618D5">
        <w:rPr>
          <w:rFonts w:asciiTheme="minorHAnsi" w:hAnsiTheme="minorHAnsi" w:cstheme="minorHAnsi"/>
          <w:lang w:val="es-ES_tradnl"/>
        </w:rPr>
        <w:t xml:space="preserve"> para destinatarios concretos</w:t>
      </w:r>
      <w:r w:rsidRPr="00B618D5">
        <w:rPr>
          <w:rFonts w:asciiTheme="minorHAnsi" w:hAnsiTheme="minorHAnsi" w:cstheme="minorHAnsi"/>
          <w:lang w:val="es-ES_tradnl"/>
        </w:rPr>
        <w:t xml:space="preserve"> sean claros y fáciles de leer; </w:t>
      </w:r>
    </w:p>
    <w:p w14:paraId="156538B0" w14:textId="77777777" w:rsidR="00B906A8" w:rsidRPr="00B618D5" w:rsidRDefault="00B906A8" w:rsidP="009C04A9">
      <w:pPr>
        <w:autoSpaceDE w:val="0"/>
        <w:autoSpaceDN w:val="0"/>
        <w:adjustRightInd w:val="0"/>
        <w:rPr>
          <w:rFonts w:asciiTheme="minorHAnsi" w:hAnsiTheme="minorHAnsi" w:cstheme="minorHAnsi"/>
          <w:lang w:val="es-ES_tradnl"/>
        </w:rPr>
      </w:pPr>
    </w:p>
    <w:p w14:paraId="3956D01F" w14:textId="1F79486D" w:rsidR="00B906A8" w:rsidRPr="00B618D5" w:rsidRDefault="00B906A8" w:rsidP="009C04A9">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publicar y divulgar las orientaciones</w:t>
      </w:r>
      <w:r w:rsidR="00114520" w:rsidRPr="00B618D5">
        <w:rPr>
          <w:rFonts w:asciiTheme="minorHAnsi" w:hAnsiTheme="minorHAnsi" w:cstheme="minorHAnsi"/>
          <w:lang w:val="es-ES_tradnl"/>
        </w:rPr>
        <w:t xml:space="preserve">, los materiales </w:t>
      </w:r>
      <w:r w:rsidRPr="00B618D5">
        <w:rPr>
          <w:rFonts w:asciiTheme="minorHAnsi" w:hAnsiTheme="minorHAnsi" w:cstheme="minorHAnsi"/>
          <w:lang w:val="es-ES_tradnl"/>
        </w:rPr>
        <w:t xml:space="preserve">y los productos del GECT, garantizando que los responsables de políticas y otros destinatarios identificados reciban las orientaciones </w:t>
      </w:r>
      <w:r w:rsidR="00114520" w:rsidRPr="00B618D5">
        <w:rPr>
          <w:rFonts w:asciiTheme="minorHAnsi" w:hAnsiTheme="minorHAnsi" w:cstheme="minorHAnsi"/>
          <w:lang w:val="es-ES_tradnl"/>
        </w:rPr>
        <w:t xml:space="preserve">claras </w:t>
      </w:r>
      <w:r w:rsidRPr="00B618D5">
        <w:rPr>
          <w:rFonts w:asciiTheme="minorHAnsi" w:hAnsiTheme="minorHAnsi" w:cstheme="minorHAnsi"/>
          <w:lang w:val="es-ES_tradnl"/>
        </w:rPr>
        <w:t>oportunas y accesibles que necesiten sobre las cuestiones prioritarias identificadas; y</w:t>
      </w:r>
    </w:p>
    <w:p w14:paraId="527B1073" w14:textId="77777777" w:rsidR="00B906A8" w:rsidRPr="00B618D5" w:rsidRDefault="00B906A8"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5632E7CA" w14:textId="77777777" w:rsidR="00B906A8" w:rsidRPr="00B618D5" w:rsidRDefault="00B906A8" w:rsidP="009C04A9">
      <w:pPr>
        <w:pStyle w:val="ListParagraph"/>
        <w:numPr>
          <w:ilvl w:val="0"/>
          <w:numId w:val="15"/>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realizar un seguimiento de la aplicación de las orientaciones.</w:t>
      </w:r>
    </w:p>
    <w:p w14:paraId="79F30C51" w14:textId="77777777" w:rsidR="00B906A8" w:rsidRPr="00B618D5" w:rsidRDefault="00B906A8" w:rsidP="009C04A9">
      <w:pPr>
        <w:rPr>
          <w:rFonts w:asciiTheme="minorHAnsi" w:hAnsiTheme="minorHAnsi" w:cstheme="minorHAnsi"/>
          <w:b/>
          <w:sz w:val="22"/>
          <w:szCs w:val="22"/>
          <w:lang w:val="es-ES_tradnl"/>
        </w:rPr>
      </w:pPr>
    </w:p>
    <w:p w14:paraId="7C2C7AC1" w14:textId="77777777" w:rsidR="00B906A8" w:rsidRPr="00B618D5" w:rsidRDefault="00B906A8" w:rsidP="009C04A9">
      <w:pPr>
        <w:rPr>
          <w:rFonts w:asciiTheme="minorHAnsi" w:hAnsiTheme="minorHAnsi" w:cstheme="minorHAnsi"/>
          <w:b/>
          <w:sz w:val="22"/>
          <w:szCs w:val="22"/>
          <w:lang w:val="es-ES_tradnl"/>
        </w:rPr>
      </w:pPr>
      <w:r w:rsidRPr="00B618D5">
        <w:rPr>
          <w:rFonts w:asciiTheme="minorHAnsi" w:hAnsiTheme="minorHAnsi" w:cstheme="minorHAnsi"/>
          <w:b/>
          <w:sz w:val="22"/>
          <w:szCs w:val="22"/>
          <w:lang w:val="es-ES_tradnl"/>
        </w:rPr>
        <w:t xml:space="preserve">Estructura del Grupo </w:t>
      </w:r>
    </w:p>
    <w:p w14:paraId="516E3DB7" w14:textId="77777777" w:rsidR="00B906A8" w:rsidRPr="00B618D5" w:rsidRDefault="00B906A8" w:rsidP="009C04A9">
      <w:pPr>
        <w:rPr>
          <w:rFonts w:asciiTheme="minorHAnsi" w:hAnsiTheme="minorHAnsi" w:cstheme="minorHAnsi"/>
          <w:sz w:val="22"/>
          <w:szCs w:val="22"/>
          <w:lang w:val="es-ES_tradnl"/>
        </w:rPr>
      </w:pPr>
    </w:p>
    <w:p w14:paraId="0D427C36" w14:textId="28D9EEFC"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El Grupo de Examen Científico y Técnico</w:t>
      </w:r>
      <w:r w:rsidR="00114520" w:rsidRPr="00B618D5">
        <w:rPr>
          <w:rFonts w:asciiTheme="minorHAnsi" w:eastAsiaTheme="minorHAnsi" w:hAnsiTheme="minorHAnsi" w:cstheme="minorHAnsi"/>
          <w:bCs/>
          <w:lang w:val="es-ES_tradnl"/>
        </w:rPr>
        <w:t>,</w:t>
      </w:r>
      <w:r w:rsidRPr="00B618D5">
        <w:rPr>
          <w:rFonts w:asciiTheme="minorHAnsi" w:eastAsiaTheme="minorHAnsi" w:hAnsiTheme="minorHAnsi" w:cstheme="minorHAnsi"/>
          <w:bCs/>
          <w:lang w:val="es-ES_tradnl"/>
        </w:rPr>
        <w:t xml:space="preserve"> estará compuesto por 18 miembros con conocimientos científicos y técnicos adecuados</w:t>
      </w:r>
      <w:r w:rsidR="00114520" w:rsidRPr="00B618D5">
        <w:rPr>
          <w:rFonts w:asciiTheme="minorHAnsi" w:eastAsiaTheme="minorHAnsi" w:hAnsiTheme="minorHAnsi" w:cstheme="minorHAnsi"/>
          <w:bCs/>
          <w:lang w:val="es-ES_tradnl"/>
        </w:rPr>
        <w:t xml:space="preserve">, </w:t>
      </w:r>
      <w:r w:rsidRPr="00B618D5">
        <w:rPr>
          <w:rFonts w:asciiTheme="minorHAnsi" w:eastAsiaTheme="minorHAnsi" w:hAnsiTheme="minorHAnsi" w:cstheme="minorHAnsi"/>
          <w:bCs/>
          <w:lang w:val="es-ES_tradnl"/>
        </w:rPr>
        <w:t>además de observadores que representen a las Organizaciones Internacionales Asociadas (OIA)</w:t>
      </w:r>
      <w:r w:rsidR="00114520" w:rsidRPr="00B618D5">
        <w:rPr>
          <w:rFonts w:asciiTheme="minorHAnsi" w:eastAsiaTheme="minorHAnsi" w:hAnsiTheme="minorHAnsi" w:cstheme="minorHAnsi"/>
          <w:bCs/>
          <w:lang w:val="es-ES_tradnl"/>
        </w:rPr>
        <w:t>, experto(s) científico(s) y técnico(s) recomendados por las Partes Contratantes</w:t>
      </w:r>
      <w:r w:rsidRPr="00B618D5">
        <w:rPr>
          <w:rFonts w:asciiTheme="minorHAnsi" w:eastAsiaTheme="minorHAnsi" w:hAnsiTheme="minorHAnsi" w:cstheme="minorHAnsi"/>
          <w:bCs/>
          <w:lang w:val="es-ES_tradnl"/>
        </w:rPr>
        <w:t xml:space="preserve"> y otras organizaciones reconocidas por la COP. Su composición será la siguiente:</w:t>
      </w:r>
    </w:p>
    <w:p w14:paraId="4AA3D837"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6D0A63AC" w14:textId="32931130" w:rsidR="00114520" w:rsidRPr="00B618D5" w:rsidRDefault="00B906A8" w:rsidP="009C04A9">
      <w:pPr>
        <w:pStyle w:val="ListParagraph"/>
        <w:numPr>
          <w:ilvl w:val="0"/>
          <w:numId w:val="6"/>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seis miembros científicos</w:t>
      </w:r>
      <w:r w:rsidRPr="00B618D5">
        <w:rPr>
          <w:rStyle w:val="FootnoteReference"/>
          <w:rFonts w:asciiTheme="minorHAnsi" w:hAnsiTheme="minorHAnsi" w:cstheme="minorHAnsi"/>
          <w:lang w:val="es-ES_tradnl"/>
        </w:rPr>
        <w:footnoteReference w:id="2"/>
      </w:r>
      <w:r w:rsidR="00114520" w:rsidRPr="00B618D5">
        <w:rPr>
          <w:rFonts w:asciiTheme="minorHAnsi" w:hAnsiTheme="minorHAnsi" w:cstheme="minorHAnsi"/>
          <w:lang w:val="es-ES_tradnl"/>
        </w:rPr>
        <w:t xml:space="preserve"> (</w:t>
      </w:r>
      <w:r w:rsidR="003377F4">
        <w:rPr>
          <w:rFonts w:asciiTheme="minorHAnsi" w:hAnsiTheme="minorHAnsi" w:cstheme="minorHAnsi"/>
          <w:lang w:val="es-ES_tradnl"/>
        </w:rPr>
        <w:t>comunidad académica</w:t>
      </w:r>
      <w:r w:rsidR="00114520" w:rsidRPr="00B618D5">
        <w:rPr>
          <w:rFonts w:asciiTheme="minorHAnsi" w:hAnsiTheme="minorHAnsi" w:cstheme="minorHAnsi"/>
          <w:lang w:val="es-ES_tradnl"/>
        </w:rPr>
        <w:t>)</w:t>
      </w:r>
      <w:r w:rsidRPr="00B618D5">
        <w:rPr>
          <w:rFonts w:asciiTheme="minorHAnsi" w:hAnsiTheme="minorHAnsi" w:cstheme="minorHAnsi"/>
          <w:lang w:val="es-ES_tradnl"/>
        </w:rPr>
        <w:t>;</w:t>
      </w:r>
    </w:p>
    <w:p w14:paraId="1076874D" w14:textId="77777777" w:rsidR="00114520" w:rsidRPr="00B618D5" w:rsidRDefault="00114520"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65ABE21C" w14:textId="382372E7" w:rsidR="00B906A8" w:rsidRPr="00B618D5" w:rsidRDefault="006B0FEF" w:rsidP="009C04A9">
      <w:pPr>
        <w:pStyle w:val="ListParagraph"/>
        <w:numPr>
          <w:ilvl w:val="0"/>
          <w:numId w:val="6"/>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lastRenderedPageBreak/>
        <w:t>doce</w:t>
      </w:r>
      <w:r w:rsidR="00B906A8" w:rsidRPr="00B618D5">
        <w:rPr>
          <w:rFonts w:asciiTheme="minorHAnsi" w:hAnsiTheme="minorHAnsi" w:cstheme="minorHAnsi"/>
          <w:lang w:val="es-ES_tradnl"/>
        </w:rPr>
        <w:t xml:space="preserve"> miembros técnicos expertos</w:t>
      </w:r>
      <w:r w:rsidR="00B906A8" w:rsidRPr="00B618D5">
        <w:rPr>
          <w:rStyle w:val="FootnoteReference"/>
          <w:rFonts w:asciiTheme="minorHAnsi" w:hAnsiTheme="minorHAnsi" w:cstheme="minorHAnsi"/>
          <w:lang w:val="es-ES_tradnl"/>
        </w:rPr>
        <w:footnoteReference w:id="3"/>
      </w:r>
      <w:r w:rsidR="00114520" w:rsidRPr="00B618D5">
        <w:rPr>
          <w:rFonts w:asciiTheme="minorHAnsi" w:hAnsiTheme="minorHAnsi" w:cstheme="minorHAnsi"/>
          <w:lang w:val="es-ES_tradnl"/>
        </w:rPr>
        <w:t xml:space="preserve"> (</w:t>
      </w:r>
      <w:r w:rsidR="003377F4">
        <w:rPr>
          <w:rFonts w:asciiTheme="minorHAnsi" w:hAnsiTheme="minorHAnsi" w:cstheme="minorHAnsi"/>
          <w:lang w:val="es-ES_tradnl"/>
        </w:rPr>
        <w:t>implementadores)</w:t>
      </w:r>
      <w:r w:rsidR="00B906A8" w:rsidRPr="00B618D5">
        <w:rPr>
          <w:rFonts w:asciiTheme="minorHAnsi" w:hAnsiTheme="minorHAnsi" w:cstheme="minorHAnsi"/>
          <w:lang w:val="es-ES_tradnl"/>
        </w:rPr>
        <w:t>, incluidos seis representantes regionales expertos y otros seis expertos en cuestiones seleccionadas como prioritarias durante el trienio;</w:t>
      </w:r>
    </w:p>
    <w:p w14:paraId="0E0E2FD4" w14:textId="77777777" w:rsidR="00B906A8" w:rsidRPr="00B618D5" w:rsidRDefault="00B906A8" w:rsidP="009C04A9">
      <w:pPr>
        <w:pStyle w:val="ListParagraph"/>
        <w:spacing w:after="0" w:line="240" w:lineRule="auto"/>
        <w:ind w:left="851" w:hanging="425"/>
        <w:rPr>
          <w:rFonts w:asciiTheme="minorHAnsi" w:hAnsiTheme="minorHAnsi" w:cstheme="minorHAnsi"/>
          <w:lang w:val="es-ES_tradnl"/>
        </w:rPr>
      </w:pPr>
    </w:p>
    <w:p w14:paraId="514DA1D2" w14:textId="1BEDA6AD" w:rsidR="00B906A8" w:rsidRPr="00B618D5" w:rsidRDefault="00B906A8" w:rsidP="009C04A9">
      <w:pPr>
        <w:pStyle w:val="ListParagraph"/>
        <w:numPr>
          <w:ilvl w:val="0"/>
          <w:numId w:val="6"/>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un representante en calidad de observador de cada una de las Organizaciones Internacionales Asociadas a la Convención;</w:t>
      </w:r>
    </w:p>
    <w:p w14:paraId="2A45CBE8" w14:textId="77777777" w:rsidR="00B906A8" w:rsidRPr="00B618D5" w:rsidRDefault="00B906A8" w:rsidP="009C04A9">
      <w:pPr>
        <w:pStyle w:val="ListParagraph"/>
        <w:autoSpaceDE w:val="0"/>
        <w:autoSpaceDN w:val="0"/>
        <w:adjustRightInd w:val="0"/>
        <w:spacing w:after="0" w:line="240" w:lineRule="auto"/>
        <w:ind w:left="851" w:hanging="425"/>
        <w:rPr>
          <w:rFonts w:asciiTheme="minorHAnsi" w:hAnsiTheme="minorHAnsi" w:cstheme="minorHAnsi"/>
          <w:lang w:val="es-ES_tradnl"/>
        </w:rPr>
      </w:pPr>
    </w:p>
    <w:p w14:paraId="52AC5C38" w14:textId="77777777" w:rsidR="00B906A8" w:rsidRPr="00B618D5" w:rsidRDefault="00B906A8" w:rsidP="009C04A9">
      <w:pPr>
        <w:pStyle w:val="ListParagraph"/>
        <w:numPr>
          <w:ilvl w:val="0"/>
          <w:numId w:val="6"/>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un reducido número de observadores expertos de las organizaciones y redes científicas y técnicas reconocidas por la COP (y enume</w:t>
      </w:r>
      <w:r w:rsidR="006B0FEF" w:rsidRPr="00B618D5">
        <w:rPr>
          <w:rFonts w:asciiTheme="minorHAnsi" w:hAnsiTheme="minorHAnsi" w:cstheme="minorHAnsi"/>
          <w:lang w:val="es-ES_tradnl"/>
        </w:rPr>
        <w:t>radas en el Anexo 2), a lo</w:t>
      </w:r>
      <w:r w:rsidRPr="00B618D5">
        <w:rPr>
          <w:rFonts w:asciiTheme="minorHAnsi" w:hAnsiTheme="minorHAnsi" w:cstheme="minorHAnsi"/>
          <w:lang w:val="es-ES_tradnl"/>
        </w:rPr>
        <w:t xml:space="preserve">s que se puede invitar a apoyar la labor del Grupo según proceda. </w:t>
      </w:r>
    </w:p>
    <w:p w14:paraId="395AC17C" w14:textId="77777777" w:rsidR="00B906A8" w:rsidRPr="00B618D5" w:rsidRDefault="00B906A8" w:rsidP="009C04A9">
      <w:pPr>
        <w:pStyle w:val="ListParagraph"/>
        <w:spacing w:after="0" w:line="240" w:lineRule="auto"/>
        <w:rPr>
          <w:rFonts w:asciiTheme="minorHAnsi" w:eastAsiaTheme="minorHAnsi" w:hAnsiTheme="minorHAnsi" w:cstheme="minorHAnsi"/>
          <w:bCs/>
          <w:lang w:val="es-ES_tradnl"/>
        </w:rPr>
      </w:pPr>
    </w:p>
    <w:p w14:paraId="69BD9686" w14:textId="5AC1ACD6" w:rsidR="00B906A8" w:rsidRPr="00B618D5" w:rsidRDefault="00B906A8" w:rsidP="009C04A9">
      <w:pPr>
        <w:pStyle w:val="ListParagraph"/>
        <w:numPr>
          <w:ilvl w:val="0"/>
          <w:numId w:val="6"/>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eastAsiaTheme="minorHAnsi" w:hAnsiTheme="minorHAnsi" w:cstheme="minorHAnsi"/>
          <w:bCs/>
          <w:lang w:val="es-ES_tradnl"/>
        </w:rPr>
        <w:t>Se seguirá invitando a participar en calidad de observadores a los presidentes de los órganos subsidiarios científicos y técnicos y al personal relevante de las secretarías de otros acuerdos</w:t>
      </w:r>
      <w:r w:rsidR="00114520" w:rsidRPr="00B618D5">
        <w:rPr>
          <w:rFonts w:asciiTheme="minorHAnsi" w:eastAsiaTheme="minorHAnsi" w:hAnsiTheme="minorHAnsi" w:cstheme="minorHAnsi"/>
          <w:bCs/>
          <w:lang w:val="es-ES_tradnl"/>
        </w:rPr>
        <w:t xml:space="preserve"> multilaterales</w:t>
      </w:r>
      <w:r w:rsidRPr="00B618D5">
        <w:rPr>
          <w:rFonts w:asciiTheme="minorHAnsi" w:eastAsiaTheme="minorHAnsi" w:hAnsiTheme="minorHAnsi" w:cstheme="minorHAnsi"/>
          <w:bCs/>
          <w:lang w:val="es-ES_tradnl"/>
        </w:rPr>
        <w:t xml:space="preserve"> sobre </w:t>
      </w:r>
      <w:r w:rsidR="00114520" w:rsidRPr="00B618D5">
        <w:rPr>
          <w:rFonts w:asciiTheme="minorHAnsi" w:eastAsiaTheme="minorHAnsi" w:hAnsiTheme="minorHAnsi" w:cstheme="minorHAnsi"/>
          <w:bCs/>
          <w:lang w:val="es-ES_tradnl"/>
        </w:rPr>
        <w:t xml:space="preserve">el </w:t>
      </w:r>
      <w:r w:rsidRPr="00B618D5">
        <w:rPr>
          <w:rFonts w:asciiTheme="minorHAnsi" w:eastAsiaTheme="minorHAnsi" w:hAnsiTheme="minorHAnsi" w:cstheme="minorHAnsi"/>
          <w:bCs/>
          <w:lang w:val="es-ES_tradnl"/>
        </w:rPr>
        <w:t>medio ambiente.</w:t>
      </w:r>
    </w:p>
    <w:p w14:paraId="294482C6" w14:textId="77777777" w:rsidR="00B906A8" w:rsidRPr="00B618D5" w:rsidRDefault="00B906A8" w:rsidP="009C04A9">
      <w:pPr>
        <w:pStyle w:val="ListParagraph"/>
        <w:spacing w:after="0" w:line="240" w:lineRule="auto"/>
        <w:rPr>
          <w:rFonts w:asciiTheme="minorHAnsi" w:hAnsiTheme="minorHAnsi" w:cstheme="minorHAnsi"/>
          <w:lang w:val="es-ES_tradnl"/>
        </w:rPr>
      </w:pPr>
    </w:p>
    <w:p w14:paraId="4459B594" w14:textId="1A65A5FA"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Se pedirá a las </w:t>
      </w:r>
      <w:r w:rsidR="00114520" w:rsidRPr="00B618D5">
        <w:rPr>
          <w:rFonts w:asciiTheme="minorHAnsi" w:eastAsiaTheme="minorHAnsi" w:hAnsiTheme="minorHAnsi" w:cstheme="minorHAnsi"/>
          <w:bCs/>
          <w:lang w:val="es-ES_tradnl"/>
        </w:rPr>
        <w:t xml:space="preserve">OIA y a otras </w:t>
      </w:r>
      <w:r w:rsidRPr="00B618D5">
        <w:rPr>
          <w:rFonts w:asciiTheme="minorHAnsi" w:eastAsiaTheme="minorHAnsi" w:hAnsiTheme="minorHAnsi" w:cstheme="minorHAnsi"/>
          <w:bCs/>
          <w:lang w:val="es-ES_tradnl"/>
        </w:rPr>
        <w:t>organizaciones</w:t>
      </w:r>
      <w:r w:rsidR="00114520" w:rsidRPr="00B618D5">
        <w:rPr>
          <w:rFonts w:asciiTheme="minorHAnsi" w:eastAsiaTheme="minorHAnsi" w:hAnsiTheme="minorHAnsi" w:cstheme="minorHAnsi"/>
          <w:bCs/>
          <w:lang w:val="es-ES_tradnl"/>
        </w:rPr>
        <w:t xml:space="preserve"> enumeradas en el Anexo 2, cuando proceda,</w:t>
      </w:r>
      <w:r w:rsidRPr="00B618D5">
        <w:rPr>
          <w:rFonts w:asciiTheme="minorHAnsi" w:eastAsiaTheme="minorHAnsi" w:hAnsiTheme="minorHAnsi" w:cstheme="minorHAnsi"/>
          <w:bCs/>
          <w:lang w:val="es-ES_tradnl"/>
        </w:rPr>
        <w:t xml:space="preserve"> que designen a un representante que tenga acceso a las redes nacionales, regionales e internacionales de expertos en humedales y que se comprometa a realizar esta función durante todo el trienio para garantizar la continuidad en la participación.</w:t>
      </w:r>
    </w:p>
    <w:p w14:paraId="4097CBD4"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1A734E6C" w14:textId="1746219B"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Las Partes Contratantes podrán proponer </w:t>
      </w:r>
      <w:r w:rsidR="006B0FEF" w:rsidRPr="00B618D5">
        <w:rPr>
          <w:rFonts w:asciiTheme="minorHAnsi" w:eastAsiaTheme="minorHAnsi" w:hAnsiTheme="minorHAnsi" w:cstheme="minorHAnsi"/>
          <w:bCs/>
          <w:lang w:val="es-ES_tradnl"/>
        </w:rPr>
        <w:t xml:space="preserve">a </w:t>
      </w:r>
      <w:r w:rsidRPr="00B618D5">
        <w:rPr>
          <w:rFonts w:asciiTheme="minorHAnsi" w:eastAsiaTheme="minorHAnsi" w:hAnsiTheme="minorHAnsi" w:cstheme="minorHAnsi"/>
          <w:bCs/>
          <w:lang w:val="es-ES_tradnl"/>
        </w:rPr>
        <w:t>expertos científicos y técnicos para participar en calidad</w:t>
      </w:r>
      <w:r w:rsidR="00AB55D8" w:rsidRPr="00B618D5">
        <w:rPr>
          <w:rFonts w:asciiTheme="minorHAnsi" w:eastAsiaTheme="minorHAnsi" w:hAnsiTheme="minorHAnsi" w:cstheme="minorHAnsi"/>
          <w:bCs/>
          <w:lang w:val="es-ES_tradnl"/>
        </w:rPr>
        <w:t xml:space="preserve"> de observadores</w:t>
      </w:r>
      <w:r w:rsidRPr="00B618D5">
        <w:rPr>
          <w:rFonts w:asciiTheme="minorHAnsi" w:eastAsiaTheme="minorHAnsi" w:hAnsiTheme="minorHAnsi" w:cstheme="minorHAnsi"/>
          <w:bCs/>
          <w:lang w:val="es-ES_tradnl"/>
        </w:rPr>
        <w:t xml:space="preserve"> en las reuniones o </w:t>
      </w:r>
      <w:r w:rsidR="00AB55D8" w:rsidRPr="00B618D5">
        <w:rPr>
          <w:rFonts w:asciiTheme="minorHAnsi" w:eastAsiaTheme="minorHAnsi" w:hAnsiTheme="minorHAnsi" w:cstheme="minorHAnsi"/>
          <w:bCs/>
          <w:lang w:val="es-ES_tradnl"/>
        </w:rPr>
        <w:t xml:space="preserve">los </w:t>
      </w:r>
      <w:r w:rsidRPr="00B618D5">
        <w:rPr>
          <w:rFonts w:asciiTheme="minorHAnsi" w:eastAsiaTheme="minorHAnsi" w:hAnsiTheme="minorHAnsi" w:cstheme="minorHAnsi"/>
          <w:bCs/>
          <w:lang w:val="es-ES_tradnl"/>
        </w:rPr>
        <w:t xml:space="preserve">procesos del GECT </w:t>
      </w:r>
      <w:r w:rsidR="00AB55D8" w:rsidRPr="00B618D5">
        <w:rPr>
          <w:rFonts w:asciiTheme="minorHAnsi" w:eastAsiaTheme="minorHAnsi" w:hAnsiTheme="minorHAnsi" w:cstheme="minorHAnsi"/>
          <w:bCs/>
          <w:lang w:val="es-ES_tradnl"/>
        </w:rPr>
        <w:t>entre períodos de sesiones c</w:t>
      </w:r>
      <w:r w:rsidRPr="00B618D5">
        <w:rPr>
          <w:rFonts w:asciiTheme="minorHAnsi" w:eastAsiaTheme="minorHAnsi" w:hAnsiTheme="minorHAnsi" w:cstheme="minorHAnsi"/>
          <w:bCs/>
          <w:lang w:val="es-ES_tradnl"/>
        </w:rPr>
        <w:t>on la aprobación de</w:t>
      </w:r>
      <w:r w:rsidR="00AB55D8" w:rsidRPr="00B618D5">
        <w:rPr>
          <w:rFonts w:asciiTheme="minorHAnsi" w:eastAsiaTheme="minorHAnsi" w:hAnsiTheme="minorHAnsi" w:cstheme="minorHAnsi"/>
          <w:bCs/>
          <w:lang w:val="es-ES_tradnl"/>
        </w:rPr>
        <w:t>l Presidente del GECT</w:t>
      </w:r>
      <w:r w:rsidRPr="00B618D5">
        <w:rPr>
          <w:rFonts w:asciiTheme="minorHAnsi" w:eastAsiaTheme="minorHAnsi" w:hAnsiTheme="minorHAnsi" w:cstheme="minorHAnsi"/>
          <w:bCs/>
          <w:lang w:val="es-ES_tradnl"/>
        </w:rPr>
        <w:t xml:space="preserve">.  </w:t>
      </w:r>
    </w:p>
    <w:p w14:paraId="44F8EDB6" w14:textId="77777777" w:rsidR="009C51FA" w:rsidRPr="00B618D5" w:rsidRDefault="009C51FA" w:rsidP="009C04A9">
      <w:pPr>
        <w:pStyle w:val="ListParagraph"/>
        <w:spacing w:after="0" w:line="240" w:lineRule="auto"/>
        <w:ind w:left="426"/>
        <w:contextualSpacing w:val="0"/>
        <w:rPr>
          <w:rFonts w:asciiTheme="minorHAnsi" w:eastAsiaTheme="minorHAnsi" w:hAnsiTheme="minorHAnsi" w:cstheme="minorHAnsi"/>
          <w:bCs/>
          <w:lang w:val="es-ES_tradnl"/>
        </w:rPr>
      </w:pPr>
    </w:p>
    <w:p w14:paraId="576FB758" w14:textId="2BF86123"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Los representantes de otras organizaciones </w:t>
      </w:r>
      <w:r w:rsidR="009C51FA" w:rsidRPr="00B618D5">
        <w:rPr>
          <w:rFonts w:asciiTheme="minorHAnsi" w:eastAsiaTheme="minorHAnsi" w:hAnsiTheme="minorHAnsi" w:cstheme="minorHAnsi"/>
          <w:bCs/>
          <w:lang w:val="es-ES_tradnl"/>
        </w:rPr>
        <w:t xml:space="preserve">no incluidas en el Anexo 2 </w:t>
      </w:r>
      <w:r w:rsidRPr="00B618D5">
        <w:rPr>
          <w:rFonts w:asciiTheme="minorHAnsi" w:eastAsiaTheme="minorHAnsi" w:hAnsiTheme="minorHAnsi" w:cstheme="minorHAnsi"/>
          <w:bCs/>
          <w:lang w:val="es-ES_tradnl"/>
        </w:rPr>
        <w:t>que soliciten participar en calidad de observadores en las reuniones o los procesos del GECT entre períodos de sesiones podrán hacerlo con la aprobación del Presidente del GECT.</w:t>
      </w:r>
    </w:p>
    <w:p w14:paraId="73D99F1B"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7EB9BD79"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Se seleccionará al Presidente y Vicepresidente entre los miembros que hayan sido designados para formar parte del Grupo.</w:t>
      </w:r>
    </w:p>
    <w:p w14:paraId="36A6D61A" w14:textId="77777777" w:rsidR="00B906A8" w:rsidRPr="00B618D5" w:rsidRDefault="00B906A8" w:rsidP="009C04A9">
      <w:pPr>
        <w:rPr>
          <w:rFonts w:asciiTheme="minorHAnsi" w:hAnsiTheme="minorHAnsi" w:cstheme="minorHAnsi"/>
          <w:b/>
          <w:bCs/>
          <w:sz w:val="22"/>
          <w:szCs w:val="22"/>
          <w:lang w:val="es-ES_tradnl"/>
        </w:rPr>
      </w:pPr>
    </w:p>
    <w:p w14:paraId="397062C3" w14:textId="77777777" w:rsidR="00B906A8" w:rsidRPr="00B618D5" w:rsidRDefault="00B906A8" w:rsidP="009C04A9">
      <w:pPr>
        <w:rPr>
          <w:rFonts w:asciiTheme="minorHAnsi" w:hAnsiTheme="minorHAnsi" w:cstheme="minorHAnsi"/>
          <w:b/>
          <w:bCs/>
          <w:sz w:val="22"/>
          <w:szCs w:val="22"/>
          <w:lang w:val="es-ES_tradnl"/>
        </w:rPr>
      </w:pPr>
      <w:r w:rsidRPr="00B618D5">
        <w:rPr>
          <w:rFonts w:asciiTheme="minorHAnsi" w:hAnsiTheme="minorHAnsi" w:cstheme="minorHAnsi"/>
          <w:b/>
          <w:bCs/>
          <w:sz w:val="22"/>
          <w:szCs w:val="22"/>
          <w:lang w:val="es-ES_tradnl"/>
        </w:rPr>
        <w:t>Funciones y responsabilidades de los miembros del GECT</w:t>
      </w:r>
    </w:p>
    <w:p w14:paraId="278998F9" w14:textId="77777777" w:rsidR="00B906A8" w:rsidRPr="00B618D5" w:rsidRDefault="00B906A8" w:rsidP="009C04A9">
      <w:pPr>
        <w:rPr>
          <w:rFonts w:asciiTheme="minorHAnsi" w:hAnsiTheme="minorHAnsi" w:cstheme="minorHAnsi"/>
          <w:b/>
          <w:bCs/>
          <w:sz w:val="22"/>
          <w:szCs w:val="22"/>
          <w:lang w:val="es-ES_tradnl"/>
        </w:rPr>
      </w:pPr>
    </w:p>
    <w:p w14:paraId="64BE62E5"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Las principales responsabilidades colectivas de los miembros del Grupo son las siguientes:</w:t>
      </w:r>
    </w:p>
    <w:p w14:paraId="76E4CE3E"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42C925AC" w14:textId="6F23055C" w:rsidR="00B906A8" w:rsidRPr="00B618D5" w:rsidRDefault="00B906A8" w:rsidP="009C04A9">
      <w:pPr>
        <w:pStyle w:val="ListParagraph"/>
        <w:numPr>
          <w:ilvl w:val="0"/>
          <w:numId w:val="7"/>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determinar el alcance, los productos y el enfoque de ejecución de cada una de las tareas asignadas</w:t>
      </w:r>
      <w:r w:rsidR="009C51FA" w:rsidRPr="00B618D5">
        <w:rPr>
          <w:rFonts w:asciiTheme="minorHAnsi" w:hAnsiTheme="minorHAnsi" w:cstheme="minorHAnsi"/>
          <w:lang w:val="es-ES_tradnl"/>
        </w:rPr>
        <w:t xml:space="preserve">, </w:t>
      </w:r>
      <w:r w:rsidR="007D50CE" w:rsidRPr="00B618D5">
        <w:rPr>
          <w:rFonts w:asciiTheme="minorHAnsi" w:hAnsiTheme="minorHAnsi" w:cstheme="minorHAnsi"/>
          <w:lang w:val="es-ES_tradnl"/>
        </w:rPr>
        <w:t xml:space="preserve">por ejemplo mediante talleres de análisis inicial, según proceda, y de esa manera velar </w:t>
      </w:r>
      <w:r w:rsidRPr="00B618D5">
        <w:rPr>
          <w:rFonts w:asciiTheme="minorHAnsi" w:hAnsiTheme="minorHAnsi" w:cstheme="minorHAnsi"/>
          <w:lang w:val="es-ES_tradnl"/>
        </w:rPr>
        <w:t>por que se reciban aportaciones de la red de Coordinadores Nacionales del GECT, las Iniciativas Regionales de Ramsar y otras organizaciones pertinentes;</w:t>
      </w:r>
    </w:p>
    <w:p w14:paraId="39B708C8" w14:textId="77777777" w:rsidR="00B906A8" w:rsidRPr="00B618D5" w:rsidRDefault="00B906A8" w:rsidP="009C04A9">
      <w:pPr>
        <w:pStyle w:val="ListParagraph"/>
        <w:autoSpaceDE w:val="0"/>
        <w:autoSpaceDN w:val="0"/>
        <w:adjustRightInd w:val="0"/>
        <w:spacing w:after="0" w:line="240" w:lineRule="auto"/>
        <w:ind w:left="851" w:hanging="425"/>
        <w:rPr>
          <w:rFonts w:asciiTheme="minorHAnsi" w:hAnsiTheme="minorHAnsi" w:cstheme="minorHAnsi"/>
          <w:lang w:val="es-ES_tradnl"/>
        </w:rPr>
      </w:pPr>
    </w:p>
    <w:p w14:paraId="3DD8BD91" w14:textId="77777777" w:rsidR="00B906A8" w:rsidRPr="00B618D5" w:rsidRDefault="00B906A8" w:rsidP="009C04A9">
      <w:pPr>
        <w:pStyle w:val="ListParagraph"/>
        <w:numPr>
          <w:ilvl w:val="0"/>
          <w:numId w:val="7"/>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garantizar un examen por pares adecuado de los proyectos de materiales y consultar a otros expertos y al equipo de Comunicaciones de la Secretaría sobre la mejor manera de garantizar su comunicación y aplicación efectivas;</w:t>
      </w:r>
    </w:p>
    <w:p w14:paraId="7D7AAB4A" w14:textId="77777777" w:rsidR="009C51FA" w:rsidRPr="00B618D5" w:rsidRDefault="009C51FA" w:rsidP="009C04A9">
      <w:pPr>
        <w:autoSpaceDE w:val="0"/>
        <w:autoSpaceDN w:val="0"/>
        <w:adjustRightInd w:val="0"/>
        <w:rPr>
          <w:rFonts w:asciiTheme="minorHAnsi" w:hAnsiTheme="minorHAnsi" w:cstheme="minorHAnsi"/>
          <w:lang w:val="es-ES_tradnl"/>
        </w:rPr>
      </w:pPr>
    </w:p>
    <w:p w14:paraId="2FB6B31B" w14:textId="0D499C17" w:rsidR="00B906A8" w:rsidRPr="00B618D5" w:rsidRDefault="00B906A8" w:rsidP="009C04A9">
      <w:pPr>
        <w:pStyle w:val="ListParagraph"/>
        <w:numPr>
          <w:ilvl w:val="0"/>
          <w:numId w:val="7"/>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examinar todos los materiales científicos y técnicos redactados por los órganos de la Convención, consultando a los Coordinadores Nacionales del GECT según sea necesario, antes de que se transmitan a las Partes y a la Conferencia de las Partes</w:t>
      </w:r>
      <w:r w:rsidR="00D423C1" w:rsidRPr="00B618D5">
        <w:rPr>
          <w:rFonts w:asciiTheme="minorHAnsi" w:hAnsiTheme="minorHAnsi" w:cstheme="minorHAnsi"/>
          <w:lang w:val="es-ES_tradnl"/>
        </w:rPr>
        <w:t xml:space="preserve"> </w:t>
      </w:r>
      <w:r w:rsidR="00D24E5A" w:rsidRPr="00B618D5">
        <w:rPr>
          <w:rFonts w:asciiTheme="minorHAnsi" w:hAnsiTheme="minorHAnsi" w:cstheme="minorHAnsi"/>
          <w:lang w:val="es-ES_tradnl"/>
        </w:rPr>
        <w:t>y posteriormente</w:t>
      </w:r>
      <w:r w:rsidRPr="00B618D5">
        <w:rPr>
          <w:rFonts w:asciiTheme="minorHAnsi" w:hAnsiTheme="minorHAnsi" w:cstheme="minorHAnsi"/>
          <w:lang w:val="es-ES_tradnl"/>
        </w:rPr>
        <w:t xml:space="preserve">, en consonancia con lo dispuesto en la Resolución VIII.45; </w:t>
      </w:r>
    </w:p>
    <w:p w14:paraId="0F01F066" w14:textId="77777777" w:rsidR="00B906A8" w:rsidRPr="00B618D5" w:rsidRDefault="00B906A8" w:rsidP="009C04A9">
      <w:pPr>
        <w:pStyle w:val="ListParagraph"/>
        <w:autoSpaceDE w:val="0"/>
        <w:autoSpaceDN w:val="0"/>
        <w:adjustRightInd w:val="0"/>
        <w:spacing w:after="0" w:line="240" w:lineRule="auto"/>
        <w:ind w:left="851" w:hanging="425"/>
        <w:rPr>
          <w:rFonts w:asciiTheme="minorHAnsi" w:hAnsiTheme="minorHAnsi" w:cstheme="minorHAnsi"/>
          <w:lang w:val="es-ES_tradnl"/>
        </w:rPr>
      </w:pPr>
    </w:p>
    <w:p w14:paraId="58702782" w14:textId="006E6AD5" w:rsidR="00B906A8" w:rsidRPr="00B618D5" w:rsidRDefault="00B906A8" w:rsidP="009C04A9">
      <w:pPr>
        <w:pStyle w:val="ListParagraph"/>
        <w:numPr>
          <w:ilvl w:val="0"/>
          <w:numId w:val="7"/>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alentar a sus propias redes nacionales e internacionales de expertos en humedales a contribuir en mayor medida a la labor del Grupo y</w:t>
      </w:r>
      <w:r w:rsidR="00AF3415" w:rsidRPr="00B618D5">
        <w:rPr>
          <w:rFonts w:asciiTheme="minorHAnsi" w:hAnsiTheme="minorHAnsi" w:cstheme="minorHAnsi"/>
          <w:lang w:val="es-ES_tradnl"/>
        </w:rPr>
        <w:t xml:space="preserve"> divulgar sus productos finales;</w:t>
      </w:r>
    </w:p>
    <w:p w14:paraId="61A897BE" w14:textId="77777777" w:rsidR="00B906A8" w:rsidRPr="00B618D5" w:rsidRDefault="00B906A8" w:rsidP="009C04A9">
      <w:pPr>
        <w:pStyle w:val="ListParagraph"/>
        <w:spacing w:after="0" w:line="240" w:lineRule="auto"/>
        <w:rPr>
          <w:rFonts w:asciiTheme="minorHAnsi" w:hAnsiTheme="minorHAnsi" w:cstheme="minorHAnsi"/>
          <w:lang w:val="es-ES_tradnl"/>
        </w:rPr>
      </w:pPr>
    </w:p>
    <w:p w14:paraId="1BD234FC" w14:textId="19A3A6DE" w:rsidR="00B906A8" w:rsidRPr="00B618D5" w:rsidRDefault="00D24E5A" w:rsidP="009C04A9">
      <w:pPr>
        <w:pStyle w:val="ListParagraph"/>
        <w:numPr>
          <w:ilvl w:val="0"/>
          <w:numId w:val="7"/>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A</w:t>
      </w:r>
      <w:r w:rsidR="00B906A8" w:rsidRPr="00B618D5">
        <w:rPr>
          <w:rFonts w:asciiTheme="minorHAnsi" w:hAnsiTheme="minorHAnsi" w:cstheme="minorHAnsi"/>
          <w:lang w:val="es-ES_tradnl"/>
        </w:rPr>
        <w:t xml:space="preserve">yudar a la Secretaría de Ramsar </w:t>
      </w:r>
      <w:r w:rsidR="00D423C1" w:rsidRPr="00B618D5">
        <w:rPr>
          <w:rFonts w:asciiTheme="minorHAnsi" w:hAnsiTheme="minorHAnsi" w:cstheme="minorHAnsi"/>
          <w:lang w:val="es-ES_tradnl"/>
        </w:rPr>
        <w:t>con cuestiones científicas y técnicas</w:t>
      </w:r>
      <w:r w:rsidRPr="00B618D5">
        <w:rPr>
          <w:rFonts w:asciiTheme="minorHAnsi" w:hAnsiTheme="minorHAnsi" w:cstheme="minorHAnsi"/>
          <w:lang w:val="es-ES_tradnl"/>
        </w:rPr>
        <w:t xml:space="preserve"> cuando se le solicite</w:t>
      </w:r>
      <w:r w:rsidR="00D423C1" w:rsidRPr="00B618D5">
        <w:rPr>
          <w:rFonts w:asciiTheme="minorHAnsi" w:hAnsiTheme="minorHAnsi" w:cstheme="minorHAnsi"/>
          <w:lang w:val="es-ES_tradnl"/>
        </w:rPr>
        <w:t xml:space="preserve"> y </w:t>
      </w:r>
      <w:r w:rsidR="00B906A8" w:rsidRPr="00B618D5">
        <w:rPr>
          <w:rFonts w:asciiTheme="minorHAnsi" w:hAnsiTheme="minorHAnsi" w:cstheme="minorHAnsi"/>
          <w:lang w:val="es-ES_tradnl"/>
        </w:rPr>
        <w:t>en las Misiones Ramsar de Asesoramiento según sea necesario y en función de la disponibilidad de recursos;</w:t>
      </w:r>
      <w:r w:rsidR="00AF3415" w:rsidRPr="00B618D5">
        <w:rPr>
          <w:rFonts w:asciiTheme="minorHAnsi" w:hAnsiTheme="minorHAnsi" w:cstheme="minorHAnsi"/>
          <w:lang w:val="es-ES_tradnl"/>
        </w:rPr>
        <w:t xml:space="preserve"> y</w:t>
      </w:r>
    </w:p>
    <w:p w14:paraId="6A475CAB" w14:textId="77777777" w:rsidR="00B906A8" w:rsidRPr="00B618D5" w:rsidRDefault="00B906A8" w:rsidP="009C04A9">
      <w:pPr>
        <w:pStyle w:val="ListParagraph"/>
        <w:spacing w:after="0" w:line="240" w:lineRule="auto"/>
        <w:rPr>
          <w:rFonts w:asciiTheme="minorHAnsi" w:hAnsiTheme="minorHAnsi" w:cstheme="minorHAnsi"/>
          <w:lang w:val="es-ES_tradnl"/>
        </w:rPr>
      </w:pPr>
    </w:p>
    <w:p w14:paraId="4EBB0401" w14:textId="77E4823D" w:rsidR="00B906A8" w:rsidRPr="00B618D5" w:rsidRDefault="00D24E5A" w:rsidP="009C04A9">
      <w:pPr>
        <w:pStyle w:val="ListParagraph"/>
        <w:numPr>
          <w:ilvl w:val="0"/>
          <w:numId w:val="7"/>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P</w:t>
      </w:r>
      <w:r w:rsidR="00B906A8" w:rsidRPr="00B618D5">
        <w:rPr>
          <w:rFonts w:asciiTheme="minorHAnsi" w:hAnsiTheme="minorHAnsi" w:cstheme="minorHAnsi"/>
          <w:lang w:val="es-ES_tradnl"/>
        </w:rPr>
        <w:t xml:space="preserve">ara evitar cualquier conflicto de intereses, los miembros del GECT </w:t>
      </w:r>
      <w:r w:rsidR="00D423C1" w:rsidRPr="00B618D5">
        <w:rPr>
          <w:rFonts w:asciiTheme="minorHAnsi" w:hAnsiTheme="minorHAnsi" w:cstheme="minorHAnsi"/>
          <w:lang w:val="es-ES_tradnl"/>
        </w:rPr>
        <w:t xml:space="preserve">no </w:t>
      </w:r>
      <w:r w:rsidR="009C51FA" w:rsidRPr="00B618D5">
        <w:rPr>
          <w:rFonts w:asciiTheme="minorHAnsi" w:hAnsiTheme="minorHAnsi" w:cstheme="minorHAnsi"/>
          <w:lang w:val="es-ES_tradnl"/>
        </w:rPr>
        <w:t>recibirán</w:t>
      </w:r>
      <w:r w:rsidRPr="00B618D5">
        <w:rPr>
          <w:rFonts w:asciiTheme="minorHAnsi" w:hAnsiTheme="minorHAnsi" w:cstheme="minorHAnsi"/>
          <w:lang w:val="es-ES_tradnl"/>
        </w:rPr>
        <w:t xml:space="preserve"> </w:t>
      </w:r>
      <w:r w:rsidR="00F803E2" w:rsidRPr="00B618D5">
        <w:rPr>
          <w:rFonts w:asciiTheme="minorHAnsi" w:hAnsiTheme="minorHAnsi" w:cstheme="minorHAnsi"/>
          <w:lang w:val="es-ES_tradnl"/>
        </w:rPr>
        <w:t>ninguna recompensa</w:t>
      </w:r>
      <w:r w:rsidR="00D423C1" w:rsidRPr="00B618D5">
        <w:rPr>
          <w:rFonts w:asciiTheme="minorHAnsi" w:hAnsiTheme="minorHAnsi" w:cstheme="minorHAnsi"/>
          <w:lang w:val="es-ES_tradnl"/>
        </w:rPr>
        <w:t xml:space="preserve"> por sus contribuciones al GECT. Los miembros </w:t>
      </w:r>
      <w:r w:rsidR="00B906A8" w:rsidRPr="00B618D5">
        <w:rPr>
          <w:rFonts w:asciiTheme="minorHAnsi" w:hAnsiTheme="minorHAnsi" w:cstheme="minorHAnsi"/>
          <w:lang w:val="es-ES_tradnl"/>
        </w:rPr>
        <w:t>que hayan preparado algún trabajo sustancial no deberían participar en el examen del mismo. Todos los miembros deberían firmar una declaración de “conflicto de intereses” en el momento de aceptar la candidatura para formar parte del grupo.</w:t>
      </w:r>
    </w:p>
    <w:p w14:paraId="77958C2D" w14:textId="77777777" w:rsidR="00B906A8" w:rsidRPr="00B618D5" w:rsidRDefault="00B906A8" w:rsidP="009C04A9">
      <w:pPr>
        <w:pStyle w:val="ListParagraph"/>
        <w:spacing w:after="0" w:line="240" w:lineRule="auto"/>
        <w:rPr>
          <w:rFonts w:asciiTheme="minorHAnsi" w:hAnsiTheme="minorHAnsi" w:cstheme="minorHAnsi"/>
          <w:lang w:val="es-ES_tradnl"/>
        </w:rPr>
      </w:pPr>
    </w:p>
    <w:p w14:paraId="3F2F972E"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El Presidente del GECT debe tener un amplio conocimiento sobre las cuestiones relativas a los humedales y estar familiarizado con la labor del Grupo y de la Convención. Tendrá las siguientes funciones:</w:t>
      </w:r>
    </w:p>
    <w:p w14:paraId="1FC78ADE" w14:textId="77777777" w:rsidR="00B906A8" w:rsidRPr="00B618D5" w:rsidRDefault="00B906A8" w:rsidP="009C04A9">
      <w:pPr>
        <w:pStyle w:val="ListParagraph"/>
        <w:tabs>
          <w:tab w:val="left" w:pos="887"/>
        </w:tabs>
        <w:spacing w:after="0" w:line="240" w:lineRule="auto"/>
        <w:ind w:left="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ab/>
      </w:r>
    </w:p>
    <w:p w14:paraId="4527213E" w14:textId="14655766" w:rsidR="00B906A8" w:rsidRPr="00B618D5" w:rsidRDefault="00B906A8" w:rsidP="009C04A9">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preparar el orden del día de las reuniones del GECT</w:t>
      </w:r>
      <w:r w:rsidR="009C51FA" w:rsidRPr="00B618D5">
        <w:rPr>
          <w:rFonts w:asciiTheme="minorHAnsi" w:hAnsiTheme="minorHAnsi" w:cstheme="minorHAnsi"/>
          <w:lang w:val="es-ES_tradnl"/>
        </w:rPr>
        <w:t xml:space="preserve"> así como los documentos pertinentes para las reuniones</w:t>
      </w:r>
      <w:r w:rsidRPr="00B618D5">
        <w:rPr>
          <w:rFonts w:asciiTheme="minorHAnsi" w:hAnsiTheme="minorHAnsi" w:cstheme="minorHAnsi"/>
          <w:lang w:val="es-ES_tradnl"/>
        </w:rPr>
        <w:t xml:space="preserve"> con la ayuda de la Secretaría y el Vicepresidente;</w:t>
      </w:r>
    </w:p>
    <w:p w14:paraId="09332304" w14:textId="77777777" w:rsidR="00B906A8" w:rsidRPr="00B618D5" w:rsidRDefault="00B906A8" w:rsidP="009C04A9">
      <w:pPr>
        <w:pStyle w:val="ListParagraph"/>
        <w:autoSpaceDE w:val="0"/>
        <w:autoSpaceDN w:val="0"/>
        <w:adjustRightInd w:val="0"/>
        <w:spacing w:after="0" w:line="240" w:lineRule="auto"/>
        <w:ind w:left="851" w:hanging="425"/>
        <w:rPr>
          <w:rFonts w:asciiTheme="minorHAnsi" w:hAnsiTheme="minorHAnsi" w:cstheme="minorHAnsi"/>
          <w:lang w:val="es-ES_tradnl"/>
        </w:rPr>
      </w:pPr>
    </w:p>
    <w:p w14:paraId="09D2FB9E" w14:textId="77777777" w:rsidR="00B906A8" w:rsidRPr="00B618D5" w:rsidRDefault="00B906A8" w:rsidP="009C04A9">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presidir sesiones plenarias de las reuniones del GECT y supervisar el funcionamiento de todos los aspectos de dichas reuniones;</w:t>
      </w:r>
    </w:p>
    <w:p w14:paraId="7E0B817C" w14:textId="77777777" w:rsidR="00B906A8" w:rsidRPr="00B618D5" w:rsidRDefault="00B906A8" w:rsidP="009C04A9">
      <w:pPr>
        <w:pStyle w:val="ListParagraph"/>
        <w:spacing w:after="0" w:line="240" w:lineRule="auto"/>
        <w:ind w:left="851" w:hanging="425"/>
        <w:rPr>
          <w:rFonts w:asciiTheme="minorHAnsi" w:hAnsiTheme="minorHAnsi" w:cstheme="minorHAnsi"/>
          <w:lang w:val="es-ES_tradnl"/>
        </w:rPr>
      </w:pPr>
    </w:p>
    <w:p w14:paraId="1A736EE1" w14:textId="77777777" w:rsidR="00B906A8" w:rsidRPr="00B618D5" w:rsidRDefault="00B906A8" w:rsidP="009C04A9">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administrar la aplicación del plan de trabajo del GECT y asegurarse de la provisión oportuna de los productos del mismo;</w:t>
      </w:r>
    </w:p>
    <w:p w14:paraId="597178E4" w14:textId="77777777" w:rsidR="00B906A8" w:rsidRPr="00B618D5" w:rsidRDefault="00B906A8" w:rsidP="009C04A9">
      <w:pPr>
        <w:pStyle w:val="ListParagraph"/>
        <w:spacing w:after="0" w:line="240" w:lineRule="auto"/>
        <w:rPr>
          <w:rFonts w:asciiTheme="minorHAnsi" w:hAnsiTheme="minorHAnsi" w:cstheme="minorHAnsi"/>
          <w:lang w:val="es-ES_tradnl"/>
        </w:rPr>
      </w:pPr>
    </w:p>
    <w:p w14:paraId="7137A3C8" w14:textId="77777777" w:rsidR="00B906A8" w:rsidRPr="00B618D5" w:rsidRDefault="00B906A8" w:rsidP="009C04A9">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eastAsiaTheme="minorHAnsi" w:hAnsiTheme="minorHAnsi" w:cs="Garamond"/>
          <w:lang w:val="es-ES_tradnl"/>
        </w:rPr>
        <w:t>dirigir la labor del GECT y coordinar el asesoramiento del Grupo a la siguiente COP acerca de prioridades nuevas y emergentes que las Partes deberían considerar para la labor del Grupo en el siguiente trienio;</w:t>
      </w:r>
    </w:p>
    <w:p w14:paraId="7E933181" w14:textId="77777777" w:rsidR="00B906A8" w:rsidRPr="00B618D5" w:rsidRDefault="00B906A8" w:rsidP="009C04A9">
      <w:pPr>
        <w:autoSpaceDE w:val="0"/>
        <w:autoSpaceDN w:val="0"/>
        <w:adjustRightInd w:val="0"/>
        <w:rPr>
          <w:rFonts w:asciiTheme="minorHAnsi" w:hAnsiTheme="minorHAnsi" w:cstheme="minorHAnsi"/>
          <w:lang w:val="es-ES_tradnl"/>
        </w:rPr>
      </w:pPr>
    </w:p>
    <w:p w14:paraId="6FDF19D2" w14:textId="77777777" w:rsidR="00B906A8" w:rsidRPr="00B618D5" w:rsidRDefault="00B906A8" w:rsidP="009C04A9">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designar responsables y corresponsables de todos los grupos de trabajo temáticos establecidos por el Grupo y asesorarles acerca de la composición de los grupos;</w:t>
      </w:r>
    </w:p>
    <w:p w14:paraId="5CEE8626" w14:textId="77777777" w:rsidR="00B906A8" w:rsidRPr="00B618D5" w:rsidRDefault="00B906A8" w:rsidP="009C04A9">
      <w:pPr>
        <w:pStyle w:val="ListParagraph"/>
        <w:autoSpaceDE w:val="0"/>
        <w:autoSpaceDN w:val="0"/>
        <w:adjustRightInd w:val="0"/>
        <w:spacing w:after="0" w:line="240" w:lineRule="auto"/>
        <w:ind w:left="851" w:hanging="425"/>
        <w:rPr>
          <w:rFonts w:asciiTheme="minorHAnsi" w:hAnsiTheme="minorHAnsi" w:cstheme="minorHAnsi"/>
          <w:lang w:val="es-ES_tradnl"/>
        </w:rPr>
      </w:pPr>
    </w:p>
    <w:p w14:paraId="459D3932" w14:textId="77777777" w:rsidR="00B906A8" w:rsidRPr="00B618D5" w:rsidRDefault="00B906A8" w:rsidP="009C04A9">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junto con el Vicepresidente del GECT, ponerse de acuerdo acerca del reparto de las responsabilidades respecto de la supervisión de los grupos de trabajo temáticos o los grupos de tareas específicos establecidos por el Grupo;</w:t>
      </w:r>
    </w:p>
    <w:p w14:paraId="3BA80164" w14:textId="77777777" w:rsidR="00B906A8" w:rsidRPr="00B618D5" w:rsidRDefault="00B906A8" w:rsidP="009C04A9">
      <w:pPr>
        <w:pStyle w:val="ListParagraph"/>
        <w:autoSpaceDE w:val="0"/>
        <w:autoSpaceDN w:val="0"/>
        <w:adjustRightInd w:val="0"/>
        <w:spacing w:after="0" w:line="240" w:lineRule="auto"/>
        <w:ind w:left="851" w:hanging="425"/>
        <w:rPr>
          <w:rFonts w:asciiTheme="minorHAnsi" w:hAnsiTheme="minorHAnsi" w:cstheme="minorHAnsi"/>
          <w:lang w:val="es-ES_tradnl"/>
        </w:rPr>
      </w:pPr>
    </w:p>
    <w:p w14:paraId="374A2515" w14:textId="1A91ABF2" w:rsidR="00B906A8" w:rsidRPr="00B618D5" w:rsidRDefault="00AF3415" w:rsidP="009C04A9">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coordinar</w:t>
      </w:r>
      <w:r w:rsidR="00B906A8" w:rsidRPr="00B618D5">
        <w:rPr>
          <w:rFonts w:asciiTheme="minorHAnsi" w:hAnsiTheme="minorHAnsi" w:cstheme="minorHAnsi"/>
          <w:lang w:val="es-ES_tradnl"/>
        </w:rPr>
        <w:t xml:space="preserve"> las aportaciones del Grupo, de sus grupos de trabajo temáticos y de la Secretaría sobre prioridades nuevas y emergentes y, con la ayuda del Panel, identificar tareas prioritarias y redactar</w:t>
      </w:r>
      <w:r w:rsidR="00D953FE" w:rsidRPr="00B618D5">
        <w:rPr>
          <w:rFonts w:asciiTheme="minorHAnsi" w:hAnsiTheme="minorHAnsi" w:cstheme="minorHAnsi"/>
          <w:lang w:val="es-ES_tradnl"/>
        </w:rPr>
        <w:t xml:space="preserve"> las áreas temáticas</w:t>
      </w:r>
      <w:r w:rsidR="00444F73" w:rsidRPr="00B618D5">
        <w:rPr>
          <w:rFonts w:asciiTheme="minorHAnsi" w:hAnsiTheme="minorHAnsi" w:cstheme="minorHAnsi"/>
          <w:lang w:val="es-ES_tradnl"/>
        </w:rPr>
        <w:t xml:space="preserve"> prioritarias</w:t>
      </w:r>
      <w:r w:rsidR="00D953FE" w:rsidRPr="00B618D5">
        <w:rPr>
          <w:rFonts w:asciiTheme="minorHAnsi" w:hAnsiTheme="minorHAnsi" w:cstheme="minorHAnsi"/>
          <w:lang w:val="es-ES_tradnl"/>
        </w:rPr>
        <w:t xml:space="preserve"> </w:t>
      </w:r>
      <w:r w:rsidR="00B906A8" w:rsidRPr="00B618D5">
        <w:rPr>
          <w:rFonts w:asciiTheme="minorHAnsi" w:hAnsiTheme="minorHAnsi" w:cstheme="minorHAnsi"/>
          <w:lang w:val="es-ES_tradnl"/>
        </w:rPr>
        <w:t xml:space="preserve">del </w:t>
      </w:r>
      <w:r w:rsidR="00444F73" w:rsidRPr="00B618D5">
        <w:rPr>
          <w:rFonts w:asciiTheme="minorHAnsi" w:hAnsiTheme="minorHAnsi" w:cstheme="minorHAnsi"/>
          <w:lang w:val="es-ES_tradnl"/>
        </w:rPr>
        <w:t xml:space="preserve">plan de trabajo del </w:t>
      </w:r>
      <w:r w:rsidR="00B906A8" w:rsidRPr="00B618D5">
        <w:rPr>
          <w:rFonts w:asciiTheme="minorHAnsi" w:hAnsiTheme="minorHAnsi" w:cstheme="minorHAnsi"/>
          <w:lang w:val="es-ES_tradnl"/>
        </w:rPr>
        <w:t>GECT para el siguiente trienio</w:t>
      </w:r>
      <w:r w:rsidR="00D953FE" w:rsidRPr="00B618D5">
        <w:rPr>
          <w:rFonts w:asciiTheme="minorHAnsi" w:hAnsiTheme="minorHAnsi" w:cstheme="minorHAnsi"/>
          <w:lang w:val="es-ES_tradnl"/>
        </w:rPr>
        <w:t xml:space="preserve"> con los miembros del GECT</w:t>
      </w:r>
      <w:r w:rsidR="00B906A8" w:rsidRPr="00B618D5">
        <w:rPr>
          <w:rFonts w:asciiTheme="minorHAnsi" w:hAnsiTheme="minorHAnsi" w:cstheme="minorHAnsi"/>
          <w:lang w:val="es-ES_tradnl"/>
        </w:rPr>
        <w:t xml:space="preserve"> para su aprobación por </w:t>
      </w:r>
      <w:r w:rsidR="00D953FE" w:rsidRPr="00B618D5">
        <w:rPr>
          <w:rFonts w:asciiTheme="minorHAnsi" w:hAnsiTheme="minorHAnsi" w:cstheme="minorHAnsi"/>
          <w:lang w:val="es-ES_tradnl"/>
        </w:rPr>
        <w:t xml:space="preserve">el </w:t>
      </w:r>
      <w:r w:rsidR="00444F73" w:rsidRPr="00B618D5">
        <w:rPr>
          <w:rFonts w:asciiTheme="minorHAnsi" w:hAnsiTheme="minorHAnsi" w:cstheme="minorHAnsi"/>
          <w:lang w:val="es-ES_tradnl"/>
        </w:rPr>
        <w:t>Comité Permanente</w:t>
      </w:r>
      <w:r w:rsidR="00B906A8" w:rsidRPr="00B618D5">
        <w:rPr>
          <w:rFonts w:asciiTheme="minorHAnsi" w:hAnsiTheme="minorHAnsi" w:cstheme="minorHAnsi"/>
          <w:lang w:val="es-ES_tradnl"/>
        </w:rPr>
        <w:t>;</w:t>
      </w:r>
    </w:p>
    <w:p w14:paraId="327D629B" w14:textId="77777777" w:rsidR="00B906A8" w:rsidRPr="00B618D5" w:rsidRDefault="00B906A8" w:rsidP="009C04A9">
      <w:pPr>
        <w:pStyle w:val="ListParagraph"/>
        <w:spacing w:after="0" w:line="240" w:lineRule="auto"/>
        <w:ind w:left="851" w:hanging="425"/>
        <w:rPr>
          <w:rFonts w:asciiTheme="minorHAnsi" w:hAnsiTheme="minorHAnsi" w:cstheme="minorHAnsi"/>
          <w:lang w:val="es-ES_tradnl"/>
        </w:rPr>
      </w:pPr>
    </w:p>
    <w:p w14:paraId="0F3CB532" w14:textId="77777777" w:rsidR="00B906A8" w:rsidRPr="00B618D5" w:rsidRDefault="00B906A8" w:rsidP="009C04A9">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presentar un informe a cada reunión de la COP y del Comité Permanente sobre los avances en el plan de trabajo del GECT y las tareas prioritarias incluidas en el mismo y las cuestiones relacionadas con el GECT y proporcionar comentarios y orientaciones al GECT;</w:t>
      </w:r>
    </w:p>
    <w:p w14:paraId="26FFED52" w14:textId="77777777" w:rsidR="00B906A8" w:rsidRPr="00B618D5" w:rsidRDefault="00B906A8" w:rsidP="009C04A9">
      <w:pPr>
        <w:pStyle w:val="ListParagraph"/>
        <w:autoSpaceDE w:val="0"/>
        <w:autoSpaceDN w:val="0"/>
        <w:adjustRightInd w:val="0"/>
        <w:spacing w:after="0" w:line="240" w:lineRule="auto"/>
        <w:ind w:left="851" w:hanging="425"/>
        <w:rPr>
          <w:rFonts w:asciiTheme="minorHAnsi" w:hAnsiTheme="minorHAnsi" w:cstheme="minorHAnsi"/>
          <w:lang w:val="es-ES_tradnl"/>
        </w:rPr>
      </w:pPr>
    </w:p>
    <w:p w14:paraId="4340386F" w14:textId="77777777" w:rsidR="00B906A8" w:rsidRPr="00B618D5" w:rsidRDefault="00B906A8" w:rsidP="009C04A9">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 xml:space="preserve">siempre que existan recursos disponibles, representar al GECT en las reuniones de otros acuerdos multilaterales sobre medio ambiente (AMMA) y otros procesos e iniciativas relevantes para la labor del GECT, tales como las reuniones de las Presidencias de los órganos subsidiarios de asesoramiento científico de las Convenciones relacionadas con la </w:t>
      </w:r>
      <w:r w:rsidRPr="00B618D5">
        <w:rPr>
          <w:rFonts w:asciiTheme="minorHAnsi" w:hAnsiTheme="minorHAnsi" w:cstheme="minorHAnsi"/>
          <w:lang w:val="es-ES_tradnl"/>
        </w:rPr>
        <w:lastRenderedPageBreak/>
        <w:t>biodiversidad y la Plataforma Intergubernamental Científico-normativa sobre Diversidad Biológica y Servicios de los Ecosistemas (IPBES);</w:t>
      </w:r>
    </w:p>
    <w:p w14:paraId="11C1C568" w14:textId="77777777" w:rsidR="00B906A8" w:rsidRPr="00B618D5" w:rsidRDefault="00B906A8" w:rsidP="009C04A9">
      <w:pPr>
        <w:pStyle w:val="ListParagraph"/>
        <w:autoSpaceDE w:val="0"/>
        <w:autoSpaceDN w:val="0"/>
        <w:adjustRightInd w:val="0"/>
        <w:spacing w:after="0" w:line="240" w:lineRule="auto"/>
        <w:ind w:left="851" w:hanging="425"/>
        <w:rPr>
          <w:rFonts w:asciiTheme="minorHAnsi" w:hAnsiTheme="minorHAnsi" w:cstheme="minorHAnsi"/>
          <w:lang w:val="es-ES_tradnl"/>
        </w:rPr>
      </w:pPr>
    </w:p>
    <w:p w14:paraId="51BEDA68" w14:textId="77777777" w:rsidR="00B906A8" w:rsidRPr="00B618D5" w:rsidRDefault="00B906A8" w:rsidP="009C04A9">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si lo solicita el Secretario General, representar el trabajo científico y técnico de la Convención en el exterior manteniendo relaciones con organizaciones asociadas y, siempre que existan recursos disponibles, participando en foros y conferencias de carácter científico;</w:t>
      </w:r>
    </w:p>
    <w:p w14:paraId="21CDA764" w14:textId="77777777" w:rsidR="00B906A8" w:rsidRPr="00B618D5" w:rsidRDefault="00B906A8" w:rsidP="009C04A9">
      <w:pPr>
        <w:pStyle w:val="ListParagraph"/>
        <w:spacing w:after="0" w:line="240" w:lineRule="auto"/>
        <w:ind w:left="851" w:hanging="425"/>
        <w:rPr>
          <w:rFonts w:asciiTheme="minorHAnsi" w:hAnsiTheme="minorHAnsi" w:cstheme="minorHAnsi"/>
          <w:lang w:val="es-ES_tradnl"/>
        </w:rPr>
      </w:pPr>
    </w:p>
    <w:p w14:paraId="699B7879" w14:textId="09204816" w:rsidR="00B906A8" w:rsidRPr="00B618D5" w:rsidRDefault="00B906A8" w:rsidP="009C04A9">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recomendar al Grupo de Trabajo Administrativo del Comité Permanente para su consideración los nombres de miembros candidatos a ser designados de nuevo para el trienio siguiente debido a sus contribuciones a la labor del GECT y a la relevancia de sus conocimientos para las tareas prioritarias asignadas por la COP; y</w:t>
      </w:r>
    </w:p>
    <w:p w14:paraId="0C69AF4C" w14:textId="77777777" w:rsidR="00B906A8" w:rsidRPr="00B618D5" w:rsidRDefault="00B906A8" w:rsidP="009C04A9">
      <w:pPr>
        <w:pStyle w:val="ListParagraph"/>
        <w:autoSpaceDE w:val="0"/>
        <w:autoSpaceDN w:val="0"/>
        <w:adjustRightInd w:val="0"/>
        <w:spacing w:after="0" w:line="240" w:lineRule="auto"/>
        <w:ind w:left="851" w:hanging="425"/>
        <w:rPr>
          <w:rFonts w:asciiTheme="minorHAnsi" w:hAnsiTheme="minorHAnsi" w:cstheme="minorHAnsi"/>
          <w:lang w:val="es-ES_tradnl"/>
        </w:rPr>
      </w:pPr>
    </w:p>
    <w:p w14:paraId="4D76BB51" w14:textId="77777777" w:rsidR="00B906A8" w:rsidRPr="00B618D5" w:rsidRDefault="00B906A8" w:rsidP="009C04A9">
      <w:pPr>
        <w:pStyle w:val="ListParagraph"/>
        <w:numPr>
          <w:ilvl w:val="0"/>
          <w:numId w:val="8"/>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mantener un registro de las horas dedicadas a contribuir a la labor del Grupo para facilitar la presentación de informes sobre las aportaciones.</w:t>
      </w:r>
    </w:p>
    <w:p w14:paraId="5EFD01EB" w14:textId="77777777" w:rsidR="00B906A8" w:rsidRPr="00B618D5" w:rsidRDefault="00B906A8" w:rsidP="009C04A9">
      <w:pPr>
        <w:autoSpaceDE w:val="0"/>
        <w:autoSpaceDN w:val="0"/>
        <w:adjustRightInd w:val="0"/>
        <w:rPr>
          <w:rFonts w:asciiTheme="minorHAnsi" w:eastAsiaTheme="minorHAnsi" w:hAnsiTheme="minorHAnsi"/>
          <w:b/>
          <w:sz w:val="22"/>
          <w:lang w:val="es-ES_tradnl"/>
        </w:rPr>
      </w:pPr>
    </w:p>
    <w:p w14:paraId="2B3F7900"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El Vicepresidente del GECT también debe poseer un amplio conocimiento sobre las cuestiones relativas a los humedales y estar familiarizado con la labor del Grupo y de la Convención. Tendrá las siguientes funciones:</w:t>
      </w:r>
    </w:p>
    <w:p w14:paraId="3D11CCAB"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6EE58386" w14:textId="77777777" w:rsidR="00B906A8" w:rsidRPr="00B618D5" w:rsidRDefault="00B906A8" w:rsidP="009C04A9">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ayudar a la Secretaría y al Presidente del GECT a preparar el orden del día y otros documentos para las reuniones del GECT;</w:t>
      </w:r>
    </w:p>
    <w:p w14:paraId="75F3AFDA" w14:textId="77777777" w:rsidR="00B906A8" w:rsidRPr="00B618D5" w:rsidRDefault="00B906A8" w:rsidP="009C04A9">
      <w:pPr>
        <w:pStyle w:val="ListParagraph"/>
        <w:autoSpaceDE w:val="0"/>
        <w:autoSpaceDN w:val="0"/>
        <w:adjustRightInd w:val="0"/>
        <w:spacing w:after="0" w:line="240" w:lineRule="auto"/>
        <w:ind w:left="851" w:hanging="425"/>
        <w:rPr>
          <w:rFonts w:asciiTheme="minorHAnsi" w:hAnsiTheme="minorHAnsi" w:cstheme="minorHAnsi"/>
          <w:lang w:val="es-ES_tradnl"/>
        </w:rPr>
      </w:pPr>
    </w:p>
    <w:p w14:paraId="20AE27EC" w14:textId="77777777" w:rsidR="00B906A8" w:rsidRPr="00B618D5" w:rsidRDefault="00B906A8" w:rsidP="009C04A9">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sustituir al presidente del GECT presidiendo sesiones plenarias de las reuniones del GECT y supervisando el funcionamiento de todos los aspectos de dichas reuniones;</w:t>
      </w:r>
    </w:p>
    <w:p w14:paraId="543E4799" w14:textId="77777777" w:rsidR="00B906A8" w:rsidRPr="00B618D5" w:rsidRDefault="00B906A8" w:rsidP="009C04A9">
      <w:pPr>
        <w:pStyle w:val="ListParagraph"/>
        <w:autoSpaceDE w:val="0"/>
        <w:autoSpaceDN w:val="0"/>
        <w:adjustRightInd w:val="0"/>
        <w:spacing w:after="0" w:line="240" w:lineRule="auto"/>
        <w:ind w:left="851" w:hanging="425"/>
        <w:rPr>
          <w:rFonts w:asciiTheme="minorHAnsi" w:hAnsiTheme="minorHAnsi" w:cstheme="minorHAnsi"/>
          <w:lang w:val="es-ES_tradnl"/>
        </w:rPr>
      </w:pPr>
    </w:p>
    <w:p w14:paraId="744DA1A1" w14:textId="77777777" w:rsidR="00B906A8" w:rsidRPr="00B618D5" w:rsidRDefault="00B906A8" w:rsidP="009C04A9">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junto con el presidente del GECT y la Secretaría, asesorar a los responsables y corresponsables de los grupos de trabajo sobre la composición de los mismos;</w:t>
      </w:r>
    </w:p>
    <w:p w14:paraId="613E90A7" w14:textId="77777777" w:rsidR="00B906A8" w:rsidRPr="00B618D5" w:rsidRDefault="00B906A8" w:rsidP="009C04A9">
      <w:pPr>
        <w:pStyle w:val="ListParagraph"/>
        <w:autoSpaceDE w:val="0"/>
        <w:autoSpaceDN w:val="0"/>
        <w:adjustRightInd w:val="0"/>
        <w:spacing w:after="0" w:line="240" w:lineRule="auto"/>
        <w:ind w:left="851" w:hanging="425"/>
        <w:rPr>
          <w:rFonts w:asciiTheme="minorHAnsi" w:hAnsiTheme="minorHAnsi" w:cstheme="minorHAnsi"/>
          <w:lang w:val="es-ES_tradnl"/>
        </w:rPr>
      </w:pPr>
    </w:p>
    <w:p w14:paraId="3840378D" w14:textId="77777777" w:rsidR="00B906A8" w:rsidRPr="00B618D5" w:rsidRDefault="00B906A8" w:rsidP="009C04A9">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junto con el Presidente del GECT, ponerse de acuerdo acerca del reparto de las responsabilidades respecto de la supervisión de los grupos de trabajo temáticos o los grupos de tareas específicos establecidos por el Grupo;</w:t>
      </w:r>
    </w:p>
    <w:p w14:paraId="129FF0BF" w14:textId="77777777" w:rsidR="00B906A8" w:rsidRPr="00B618D5" w:rsidRDefault="00B906A8" w:rsidP="009C04A9">
      <w:pPr>
        <w:rPr>
          <w:rFonts w:asciiTheme="minorHAnsi" w:hAnsiTheme="minorHAnsi" w:cstheme="minorHAnsi"/>
          <w:lang w:val="es-ES_tradnl"/>
        </w:rPr>
      </w:pPr>
    </w:p>
    <w:p w14:paraId="1CE37EAB" w14:textId="77777777" w:rsidR="00B906A8" w:rsidRPr="00B618D5" w:rsidRDefault="00B906A8" w:rsidP="009C04A9">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siempre que existan recursos disponibles, sustituir al Presidente representando al GECT en reuniones de otros AMMA y procesos e iniciativas relevantes;</w:t>
      </w:r>
    </w:p>
    <w:p w14:paraId="5E7F3133" w14:textId="77777777" w:rsidR="00B906A8" w:rsidRPr="00B618D5" w:rsidRDefault="00B906A8" w:rsidP="009C04A9">
      <w:pPr>
        <w:pStyle w:val="ListParagraph"/>
        <w:autoSpaceDE w:val="0"/>
        <w:autoSpaceDN w:val="0"/>
        <w:adjustRightInd w:val="0"/>
        <w:spacing w:after="0" w:line="240" w:lineRule="auto"/>
        <w:ind w:left="851" w:hanging="425"/>
        <w:rPr>
          <w:rFonts w:asciiTheme="minorHAnsi" w:hAnsiTheme="minorHAnsi" w:cstheme="minorHAnsi"/>
          <w:lang w:val="es-ES_tradnl"/>
        </w:rPr>
      </w:pPr>
    </w:p>
    <w:p w14:paraId="508F4B84" w14:textId="77777777" w:rsidR="00B906A8" w:rsidRPr="00B618D5" w:rsidRDefault="00B906A8" w:rsidP="009C04A9">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representar el trabajo científico y técnico de la Convención en el exterior manteniendo relaciones con organizaciones asociadas y, siempre que existan recursos disponibles, participando en foros y conferencias de carácter científico; y</w:t>
      </w:r>
    </w:p>
    <w:p w14:paraId="2450E690" w14:textId="77777777" w:rsidR="00B906A8" w:rsidRPr="00B618D5" w:rsidRDefault="00B906A8" w:rsidP="009C04A9">
      <w:pPr>
        <w:rPr>
          <w:rFonts w:asciiTheme="minorHAnsi" w:hAnsiTheme="minorHAnsi" w:cstheme="minorHAnsi"/>
          <w:lang w:val="es-ES_tradnl"/>
        </w:rPr>
      </w:pPr>
    </w:p>
    <w:p w14:paraId="4EA9F376" w14:textId="77777777" w:rsidR="00B906A8" w:rsidRPr="00B618D5" w:rsidRDefault="00B906A8" w:rsidP="009C04A9">
      <w:pPr>
        <w:pStyle w:val="ListParagraph"/>
        <w:numPr>
          <w:ilvl w:val="0"/>
          <w:numId w:val="9"/>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cuando se le solicite, sustituir al Presidente del GECT en cualquiera de sus otras funciones; y mantener un registro de las horas dedicadas a contribuir a la labor del Grupo para facilitar la presentación de informes sobre las aportaciones por parte del Presidente del GECT.</w:t>
      </w:r>
    </w:p>
    <w:p w14:paraId="68EDC4D7" w14:textId="77777777" w:rsidR="00B906A8" w:rsidRPr="00B618D5" w:rsidRDefault="00B906A8" w:rsidP="009C04A9">
      <w:pPr>
        <w:autoSpaceDE w:val="0"/>
        <w:autoSpaceDN w:val="0"/>
        <w:adjustRightInd w:val="0"/>
        <w:rPr>
          <w:rFonts w:asciiTheme="minorHAnsi" w:hAnsiTheme="minorHAnsi" w:cstheme="minorHAnsi"/>
          <w:b/>
          <w:sz w:val="22"/>
          <w:szCs w:val="22"/>
          <w:lang w:val="es-ES_tradnl"/>
        </w:rPr>
      </w:pPr>
    </w:p>
    <w:p w14:paraId="04A5572F"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Los miembros tendrán las siguientes funciones:</w:t>
      </w:r>
    </w:p>
    <w:p w14:paraId="560E48D7"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7D0D44BB" w14:textId="77777777" w:rsidR="00B906A8" w:rsidRPr="00B618D5" w:rsidRDefault="00B906A8" w:rsidP="009C04A9">
      <w:pPr>
        <w:pStyle w:val="ListParagraph"/>
        <w:numPr>
          <w:ilvl w:val="0"/>
          <w:numId w:val="10"/>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 xml:space="preserve"> garantizar la calidad científica de los productos acabados;</w:t>
      </w:r>
    </w:p>
    <w:p w14:paraId="0112B7F8" w14:textId="77777777" w:rsidR="00B906A8" w:rsidRPr="00B618D5" w:rsidRDefault="00B906A8" w:rsidP="009C04A9">
      <w:pPr>
        <w:pStyle w:val="ListParagraph"/>
        <w:autoSpaceDE w:val="0"/>
        <w:autoSpaceDN w:val="0"/>
        <w:adjustRightInd w:val="0"/>
        <w:spacing w:after="0" w:line="240" w:lineRule="auto"/>
        <w:ind w:left="851" w:hanging="425"/>
        <w:rPr>
          <w:rFonts w:asciiTheme="minorHAnsi" w:hAnsiTheme="minorHAnsi" w:cstheme="minorHAnsi"/>
          <w:lang w:val="es-ES_tradnl"/>
        </w:rPr>
      </w:pPr>
    </w:p>
    <w:p w14:paraId="46284649" w14:textId="77777777" w:rsidR="00B906A8" w:rsidRPr="00B618D5" w:rsidRDefault="00B906A8" w:rsidP="009C04A9">
      <w:pPr>
        <w:pStyle w:val="ListParagraph"/>
        <w:numPr>
          <w:ilvl w:val="0"/>
          <w:numId w:val="10"/>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proporcionar asesoramiento independiente al Secretario General y al Presidente del GECT sobre cues</w:t>
      </w:r>
      <w:r w:rsidR="00D423C1" w:rsidRPr="00B618D5">
        <w:rPr>
          <w:rFonts w:asciiTheme="minorHAnsi" w:hAnsiTheme="minorHAnsi" w:cstheme="minorHAnsi"/>
          <w:lang w:val="es-ES_tradnl"/>
        </w:rPr>
        <w:t>tiones científicas emergentes;</w:t>
      </w:r>
    </w:p>
    <w:p w14:paraId="121D4A45" w14:textId="77777777" w:rsidR="00B906A8" w:rsidRPr="00B618D5" w:rsidRDefault="00B906A8" w:rsidP="009C04A9">
      <w:pPr>
        <w:pStyle w:val="ListParagraph"/>
        <w:autoSpaceDE w:val="0"/>
        <w:autoSpaceDN w:val="0"/>
        <w:adjustRightInd w:val="0"/>
        <w:spacing w:after="0" w:line="240" w:lineRule="auto"/>
        <w:ind w:left="851" w:hanging="425"/>
        <w:rPr>
          <w:rFonts w:asciiTheme="minorHAnsi" w:hAnsiTheme="minorHAnsi" w:cstheme="minorHAnsi"/>
          <w:lang w:val="es-ES_tradnl"/>
        </w:rPr>
      </w:pPr>
    </w:p>
    <w:p w14:paraId="08B6FFA7" w14:textId="5547BEC6" w:rsidR="00D423C1" w:rsidRPr="00B618D5" w:rsidRDefault="00B906A8" w:rsidP="009C04A9">
      <w:pPr>
        <w:pStyle w:val="ListParagraph"/>
        <w:numPr>
          <w:ilvl w:val="0"/>
          <w:numId w:val="10"/>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apoya</w:t>
      </w:r>
      <w:r w:rsidR="00D423C1" w:rsidRPr="00B618D5">
        <w:rPr>
          <w:rFonts w:asciiTheme="minorHAnsi" w:hAnsiTheme="minorHAnsi" w:cstheme="minorHAnsi"/>
          <w:lang w:val="es-ES_tradnl"/>
        </w:rPr>
        <w:t xml:space="preserve">r y defender </w:t>
      </w:r>
      <w:r w:rsidR="003F3DEF">
        <w:rPr>
          <w:rFonts w:asciiTheme="minorHAnsi" w:hAnsiTheme="minorHAnsi" w:cstheme="minorHAnsi"/>
          <w:lang w:val="es-ES_tradnl"/>
        </w:rPr>
        <w:t>al</w:t>
      </w:r>
      <w:r w:rsidR="00D423C1" w:rsidRPr="00B618D5">
        <w:rPr>
          <w:rFonts w:asciiTheme="minorHAnsi" w:hAnsiTheme="minorHAnsi" w:cstheme="minorHAnsi"/>
          <w:lang w:val="es-ES_tradnl"/>
        </w:rPr>
        <w:t xml:space="preserve"> GECT y </w:t>
      </w:r>
      <w:r w:rsidR="003F3DEF">
        <w:rPr>
          <w:rFonts w:asciiTheme="minorHAnsi" w:hAnsiTheme="minorHAnsi" w:cstheme="minorHAnsi"/>
          <w:lang w:val="es-ES_tradnl"/>
        </w:rPr>
        <w:t xml:space="preserve">a </w:t>
      </w:r>
      <w:r w:rsidR="00D423C1" w:rsidRPr="00B618D5">
        <w:rPr>
          <w:rFonts w:asciiTheme="minorHAnsi" w:hAnsiTheme="minorHAnsi" w:cstheme="minorHAnsi"/>
          <w:lang w:val="es-ES_tradnl"/>
        </w:rPr>
        <w:t>su labor;</w:t>
      </w:r>
    </w:p>
    <w:p w14:paraId="6F7A6130" w14:textId="77777777" w:rsidR="00D423C1" w:rsidRPr="00B618D5" w:rsidRDefault="00D423C1" w:rsidP="009C04A9">
      <w:pPr>
        <w:autoSpaceDE w:val="0"/>
        <w:autoSpaceDN w:val="0"/>
        <w:adjustRightInd w:val="0"/>
        <w:rPr>
          <w:rFonts w:asciiTheme="minorHAnsi" w:hAnsiTheme="minorHAnsi" w:cstheme="minorHAnsi"/>
          <w:lang w:val="es-ES_tradnl"/>
        </w:rPr>
      </w:pPr>
    </w:p>
    <w:p w14:paraId="44EF5F21" w14:textId="58BF4DCD" w:rsidR="00D423C1" w:rsidRPr="00B618D5" w:rsidRDefault="00D423C1" w:rsidP="009C04A9">
      <w:pPr>
        <w:pStyle w:val="ListParagraph"/>
        <w:numPr>
          <w:ilvl w:val="0"/>
          <w:numId w:val="10"/>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pr</w:t>
      </w:r>
      <w:r w:rsidR="00B906A8" w:rsidRPr="00B618D5">
        <w:rPr>
          <w:rFonts w:asciiTheme="minorHAnsi" w:hAnsiTheme="minorHAnsi" w:cstheme="minorHAnsi"/>
          <w:lang w:val="es-ES_tradnl"/>
        </w:rPr>
        <w:t xml:space="preserve">eparar orientaciones para informar a los responsables de políticas </w:t>
      </w:r>
      <w:r w:rsidR="003377F4">
        <w:rPr>
          <w:rFonts w:asciiTheme="minorHAnsi" w:hAnsiTheme="minorHAnsi" w:cstheme="minorHAnsi"/>
          <w:lang w:val="es-ES_tradnl"/>
        </w:rPr>
        <w:t>e implem</w:t>
      </w:r>
      <w:r w:rsidR="00FF3C63">
        <w:rPr>
          <w:rFonts w:asciiTheme="minorHAnsi" w:hAnsiTheme="minorHAnsi" w:cstheme="minorHAnsi"/>
          <w:lang w:val="es-ES_tradnl"/>
        </w:rPr>
        <w:t>en</w:t>
      </w:r>
      <w:r w:rsidR="003377F4">
        <w:rPr>
          <w:rFonts w:asciiTheme="minorHAnsi" w:hAnsiTheme="minorHAnsi" w:cstheme="minorHAnsi"/>
          <w:lang w:val="es-ES_tradnl"/>
        </w:rPr>
        <w:t>tadores</w:t>
      </w:r>
      <w:r w:rsidR="00B906A8" w:rsidRPr="00B618D5">
        <w:rPr>
          <w:rFonts w:asciiTheme="minorHAnsi" w:hAnsiTheme="minorHAnsi" w:cstheme="minorHAnsi"/>
          <w:lang w:val="es-ES_tradnl"/>
        </w:rPr>
        <w:t xml:space="preserve"> y solicitar aportaciones y comentarios sobre las mismas a los actores interesados y asociados en todas las regiones de Ramsar; y</w:t>
      </w:r>
    </w:p>
    <w:p w14:paraId="2E215606" w14:textId="77777777" w:rsidR="00D423C1" w:rsidRPr="00B618D5" w:rsidRDefault="00D423C1"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4FEDE046" w14:textId="00E7CF15" w:rsidR="00B906A8" w:rsidRPr="00B618D5" w:rsidRDefault="00B906A8" w:rsidP="009C04A9">
      <w:pPr>
        <w:pStyle w:val="ListParagraph"/>
        <w:numPr>
          <w:ilvl w:val="0"/>
          <w:numId w:val="10"/>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ayudar</w:t>
      </w:r>
      <w:r w:rsidR="00D953FE" w:rsidRPr="00B618D5">
        <w:rPr>
          <w:rFonts w:asciiTheme="minorHAnsi" w:hAnsiTheme="minorHAnsi" w:cstheme="minorHAnsi"/>
          <w:lang w:val="es-ES_tradnl"/>
        </w:rPr>
        <w:t xml:space="preserve"> a la CECoP, según proceda, </w:t>
      </w:r>
      <w:r w:rsidRPr="00B618D5">
        <w:rPr>
          <w:rFonts w:asciiTheme="minorHAnsi" w:hAnsiTheme="minorHAnsi" w:cstheme="minorHAnsi"/>
          <w:lang w:val="es-ES_tradnl"/>
        </w:rPr>
        <w:t>a</w:t>
      </w:r>
      <w:r w:rsidR="004000C9" w:rsidRPr="00B618D5">
        <w:rPr>
          <w:rFonts w:asciiTheme="minorHAnsi" w:hAnsiTheme="minorHAnsi" w:cstheme="minorHAnsi"/>
          <w:lang w:val="es-ES_tradnl"/>
        </w:rPr>
        <w:t xml:space="preserve"> examinar,</w:t>
      </w:r>
      <w:r w:rsidRPr="00B618D5">
        <w:rPr>
          <w:rFonts w:asciiTheme="minorHAnsi" w:hAnsiTheme="minorHAnsi" w:cstheme="minorHAnsi"/>
          <w:lang w:val="es-ES_tradnl"/>
        </w:rPr>
        <w:t xml:space="preserve"> divulgar, promover y aplicar las orientaciones en las redes, los países y las regiones pertinentes.</w:t>
      </w:r>
    </w:p>
    <w:p w14:paraId="73C1AAD4" w14:textId="77777777" w:rsidR="00B906A8" w:rsidRPr="00B618D5" w:rsidRDefault="00B906A8" w:rsidP="009C04A9">
      <w:pPr>
        <w:rPr>
          <w:rFonts w:asciiTheme="minorHAnsi" w:hAnsiTheme="minorHAnsi" w:cstheme="minorHAnsi"/>
          <w:b/>
          <w:sz w:val="22"/>
          <w:szCs w:val="22"/>
          <w:lang w:val="es-ES_tradnl"/>
        </w:rPr>
      </w:pPr>
    </w:p>
    <w:p w14:paraId="67C37934"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Garamond"/>
          <w:lang w:val="es-ES_tradnl"/>
        </w:rPr>
        <w:t xml:space="preserve">Los observadores de las OIA propuestos para formar parte del GECT deberían ser expertos en humedales y desempeñar una función en sus OIA manteniendo y proporcionando acceso a los conocimientos sobre la conservación y el uso sostenible de los humedales de las redes regionales y mundiales de su organización. Además de realizar la función de todos los Miembros del GECT (descrita más arriba), se espera que los </w:t>
      </w:r>
      <w:r w:rsidR="00D423C1" w:rsidRPr="00B618D5">
        <w:rPr>
          <w:rFonts w:asciiTheme="minorHAnsi" w:eastAsiaTheme="minorHAnsi" w:hAnsiTheme="minorHAnsi" w:cs="Garamond"/>
          <w:lang w:val="es-ES_tradnl"/>
        </w:rPr>
        <w:t>observadores</w:t>
      </w:r>
      <w:r w:rsidRPr="00B618D5">
        <w:rPr>
          <w:rFonts w:asciiTheme="minorHAnsi" w:eastAsiaTheme="minorHAnsi" w:hAnsiTheme="minorHAnsi" w:cs="Garamond"/>
          <w:lang w:val="es-ES_tradnl"/>
        </w:rPr>
        <w:t xml:space="preserve"> de</w:t>
      </w:r>
      <w:r w:rsidR="00D423C1" w:rsidRPr="00B618D5">
        <w:rPr>
          <w:rFonts w:asciiTheme="minorHAnsi" w:eastAsiaTheme="minorHAnsi" w:hAnsiTheme="minorHAnsi" w:cs="Garamond"/>
          <w:lang w:val="es-ES_tradnl"/>
        </w:rPr>
        <w:t xml:space="preserve"> las</w:t>
      </w:r>
      <w:r w:rsidRPr="00B618D5">
        <w:rPr>
          <w:rFonts w:asciiTheme="minorHAnsi" w:eastAsiaTheme="minorHAnsi" w:hAnsiTheme="minorHAnsi" w:cs="Garamond"/>
          <w:lang w:val="es-ES_tradnl"/>
        </w:rPr>
        <w:t xml:space="preserve"> OIA en el GECT hagan lo siguiente:</w:t>
      </w:r>
    </w:p>
    <w:p w14:paraId="510DB933"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1686B64B" w14:textId="77777777" w:rsidR="00B906A8" w:rsidRPr="00B618D5" w:rsidRDefault="00B906A8" w:rsidP="009C04A9">
      <w:pPr>
        <w:pStyle w:val="ListParagraph"/>
        <w:numPr>
          <w:ilvl w:val="0"/>
          <w:numId w:val="12"/>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recabar la opinión de los expertos en sus organizaciones (incluyendo los grupos de especialistas y redes relevantes) sobre el plan de trabajo del GECT;</w:t>
      </w:r>
    </w:p>
    <w:p w14:paraId="490C09C7" w14:textId="77777777" w:rsidR="00B906A8" w:rsidRPr="00B618D5" w:rsidRDefault="00B906A8"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6DDFE969" w14:textId="77777777" w:rsidR="00B906A8" w:rsidRPr="00B618D5" w:rsidRDefault="00B906A8" w:rsidP="009C04A9">
      <w:pPr>
        <w:pStyle w:val="ListParagraph"/>
        <w:numPr>
          <w:ilvl w:val="0"/>
          <w:numId w:val="12"/>
        </w:numPr>
        <w:autoSpaceDE w:val="0"/>
        <w:autoSpaceDN w:val="0"/>
        <w:adjustRightInd w:val="0"/>
        <w:spacing w:after="0" w:line="240" w:lineRule="auto"/>
        <w:ind w:left="851" w:hanging="425"/>
        <w:rPr>
          <w:lang w:val="es-ES_tradnl"/>
        </w:rPr>
      </w:pPr>
      <w:r w:rsidRPr="00B618D5">
        <w:rPr>
          <w:lang w:val="es-ES_tradnl"/>
        </w:rPr>
        <w:t>participar en grupos de trabajo y grupos de tareas establecidos por el Grupo;</w:t>
      </w:r>
    </w:p>
    <w:p w14:paraId="420A6458" w14:textId="77777777" w:rsidR="00B906A8" w:rsidRPr="00B618D5" w:rsidRDefault="00B906A8" w:rsidP="009C04A9">
      <w:pPr>
        <w:pStyle w:val="ListParagraph"/>
        <w:autoSpaceDE w:val="0"/>
        <w:autoSpaceDN w:val="0"/>
        <w:adjustRightInd w:val="0"/>
        <w:spacing w:after="0" w:line="240" w:lineRule="auto"/>
        <w:ind w:left="851"/>
        <w:rPr>
          <w:lang w:val="es-ES_tradnl"/>
        </w:rPr>
      </w:pPr>
    </w:p>
    <w:p w14:paraId="23B85FE8" w14:textId="617E2A8B" w:rsidR="00B906A8" w:rsidRPr="00B618D5" w:rsidRDefault="00B906A8" w:rsidP="009C04A9">
      <w:pPr>
        <w:pStyle w:val="ListParagraph"/>
        <w:numPr>
          <w:ilvl w:val="0"/>
          <w:numId w:val="12"/>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garantizar que la capacidad científica y técnica de las redes de expertos en humedales de su organización sea accesible al Grupo y establecer mecanismos para identificar e implicar a expertos de sus redes en la labor del GECT;</w:t>
      </w:r>
      <w:r w:rsidR="00AF3415" w:rsidRPr="00B618D5">
        <w:rPr>
          <w:rFonts w:asciiTheme="minorHAnsi" w:hAnsiTheme="minorHAnsi" w:cstheme="minorHAnsi"/>
          <w:lang w:val="es-ES_tradnl"/>
        </w:rPr>
        <w:t xml:space="preserve"> y</w:t>
      </w:r>
    </w:p>
    <w:p w14:paraId="73441C3F" w14:textId="77777777" w:rsidR="00B906A8" w:rsidRPr="00B618D5" w:rsidRDefault="00B906A8"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16FC9C58" w14:textId="00F539FB" w:rsidR="00B906A8" w:rsidRPr="00B618D5" w:rsidRDefault="00B906A8" w:rsidP="009C04A9">
      <w:pPr>
        <w:pStyle w:val="ListParagraph"/>
        <w:numPr>
          <w:ilvl w:val="0"/>
          <w:numId w:val="12"/>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aprovechar la capacidad de promoción de su organización para promover y divulgar los producto</w:t>
      </w:r>
      <w:r w:rsidR="00AF3415" w:rsidRPr="00B618D5">
        <w:rPr>
          <w:rFonts w:asciiTheme="minorHAnsi" w:hAnsiTheme="minorHAnsi" w:cstheme="minorHAnsi"/>
          <w:lang w:val="es-ES_tradnl"/>
        </w:rPr>
        <w:t>s del GECT.</w:t>
      </w:r>
    </w:p>
    <w:p w14:paraId="74068E65" w14:textId="77777777" w:rsidR="00B906A8" w:rsidRPr="00B618D5" w:rsidRDefault="00B906A8"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3A919BE6" w14:textId="02F886C8"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Garamond"/>
          <w:lang w:val="es-ES_tradnl"/>
        </w:rPr>
        <w:t xml:space="preserve"> Se </w:t>
      </w:r>
      <w:r w:rsidR="002C3952" w:rsidRPr="00B618D5">
        <w:rPr>
          <w:rFonts w:asciiTheme="minorHAnsi" w:eastAsiaTheme="minorHAnsi" w:hAnsiTheme="minorHAnsi" w:cs="Garamond"/>
          <w:lang w:val="es-ES_tradnl"/>
        </w:rPr>
        <w:t>invita a</w:t>
      </w:r>
      <w:r w:rsidRPr="00B618D5">
        <w:rPr>
          <w:rFonts w:asciiTheme="minorHAnsi" w:eastAsiaTheme="minorHAnsi" w:hAnsiTheme="minorHAnsi" w:cs="Garamond"/>
          <w:lang w:val="es-ES_tradnl"/>
        </w:rPr>
        <w:t xml:space="preserve"> los representantes de las Organizaciones Observadoras hagan lo siguiente:</w:t>
      </w:r>
    </w:p>
    <w:p w14:paraId="7F168CE9"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1F28B5FE" w14:textId="77777777" w:rsidR="00B906A8" w:rsidRPr="00B618D5" w:rsidRDefault="00B906A8" w:rsidP="009C04A9">
      <w:pPr>
        <w:pStyle w:val="ListParagraph"/>
        <w:numPr>
          <w:ilvl w:val="0"/>
          <w:numId w:val="40"/>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garantizar que la capacidad científica y técnica de las redes nacionales, regionales e internacionales de expertos en humedales de su organización (según proceda) sea accesible al Grupo y establecer mecanismos para identificar e implicar a expertos de sus redes en la labor del GECT;</w:t>
      </w:r>
    </w:p>
    <w:p w14:paraId="77DA81C0" w14:textId="77777777" w:rsidR="00B906A8" w:rsidRPr="00B618D5" w:rsidRDefault="00B906A8"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14B09099" w14:textId="77777777" w:rsidR="00B906A8" w:rsidRPr="00B618D5" w:rsidRDefault="00B906A8" w:rsidP="009C04A9">
      <w:pPr>
        <w:pStyle w:val="ListParagraph"/>
        <w:numPr>
          <w:ilvl w:val="0"/>
          <w:numId w:val="40"/>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señalar al Grupo y sus grupos de trabajo cualquier trabajo relevante para las tareas del GECT que ya exista o esté en curso a través de sus procesos e iniciativas;</w:t>
      </w:r>
    </w:p>
    <w:p w14:paraId="54A7FC25" w14:textId="77777777" w:rsidR="00B906A8" w:rsidRPr="00B618D5" w:rsidRDefault="00B906A8"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4B810AFB" w14:textId="5ABE1219" w:rsidR="00B906A8" w:rsidRPr="00B618D5" w:rsidRDefault="00B906A8" w:rsidP="009C04A9">
      <w:pPr>
        <w:pStyle w:val="ListParagraph"/>
        <w:numPr>
          <w:ilvl w:val="0"/>
          <w:numId w:val="40"/>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proporcionar asesoramiento sobre cuestiones y tendencias emergentes y prioritarias;</w:t>
      </w:r>
    </w:p>
    <w:p w14:paraId="308F1C78" w14:textId="77777777" w:rsidR="00B906A8" w:rsidRPr="00B618D5" w:rsidRDefault="00B906A8"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7D4406E6" w14:textId="77777777" w:rsidR="00B906A8" w:rsidRPr="00B618D5" w:rsidRDefault="00B906A8" w:rsidP="009C04A9">
      <w:pPr>
        <w:pStyle w:val="ListParagraph"/>
        <w:numPr>
          <w:ilvl w:val="0"/>
          <w:numId w:val="40"/>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participar en los grupos de trabajo y grupos de tareas relevantes establecidos por el Grupo;</w:t>
      </w:r>
    </w:p>
    <w:p w14:paraId="35C9A78E" w14:textId="77777777" w:rsidR="00B906A8" w:rsidRPr="00B618D5" w:rsidRDefault="00B906A8"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142DD21F" w14:textId="77777777" w:rsidR="00B906A8" w:rsidRPr="00B618D5" w:rsidRDefault="00B906A8" w:rsidP="009C04A9">
      <w:pPr>
        <w:pStyle w:val="ListParagraph"/>
        <w:numPr>
          <w:ilvl w:val="0"/>
          <w:numId w:val="40"/>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apoyar y promover la labor del GECT;</w:t>
      </w:r>
    </w:p>
    <w:p w14:paraId="3CE2B971" w14:textId="77777777" w:rsidR="00B906A8" w:rsidRPr="00B618D5" w:rsidRDefault="00B906A8"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60F0F725" w14:textId="77777777" w:rsidR="00B906A8" w:rsidRPr="00B618D5" w:rsidRDefault="00B906A8" w:rsidP="009C04A9">
      <w:pPr>
        <w:pStyle w:val="ListParagraph"/>
        <w:numPr>
          <w:ilvl w:val="0"/>
          <w:numId w:val="40"/>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crear oportunidades de alianzas, colaboraciones y financiación;</w:t>
      </w:r>
      <w:r w:rsidR="00D423C1" w:rsidRPr="00B618D5">
        <w:rPr>
          <w:rFonts w:asciiTheme="minorHAnsi" w:hAnsiTheme="minorHAnsi" w:cstheme="minorHAnsi"/>
          <w:lang w:val="es-ES_tradnl"/>
        </w:rPr>
        <w:t xml:space="preserve"> y</w:t>
      </w:r>
    </w:p>
    <w:p w14:paraId="17463124" w14:textId="77777777" w:rsidR="00B906A8" w:rsidRPr="00B618D5" w:rsidRDefault="00B906A8"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7AD7FEBA" w14:textId="77777777" w:rsidR="00B906A8" w:rsidRPr="00B618D5" w:rsidRDefault="00B906A8" w:rsidP="009C04A9">
      <w:pPr>
        <w:pStyle w:val="ListParagraph"/>
        <w:numPr>
          <w:ilvl w:val="0"/>
          <w:numId w:val="40"/>
        </w:numPr>
        <w:autoSpaceDE w:val="0"/>
        <w:autoSpaceDN w:val="0"/>
        <w:adjustRightInd w:val="0"/>
        <w:spacing w:after="0" w:line="240" w:lineRule="auto"/>
        <w:ind w:left="851" w:hanging="425"/>
        <w:rPr>
          <w:lang w:val="es-ES_tradnl"/>
        </w:rPr>
      </w:pPr>
      <w:r w:rsidRPr="00B618D5">
        <w:rPr>
          <w:rFonts w:asciiTheme="minorHAnsi" w:hAnsiTheme="minorHAnsi" w:cstheme="minorHAnsi"/>
          <w:lang w:val="es-ES_tradnl"/>
        </w:rPr>
        <w:t xml:space="preserve">aprovechar la capacidad de promoción de su organización para compartir información acerca de los productos del GECT y ayudar a divulgarlos una vez que estén finalizados.  </w:t>
      </w:r>
    </w:p>
    <w:p w14:paraId="4B541ECE" w14:textId="77777777" w:rsidR="00B906A8" w:rsidRPr="00B618D5" w:rsidRDefault="00B906A8" w:rsidP="009C04A9">
      <w:pPr>
        <w:autoSpaceDE w:val="0"/>
        <w:autoSpaceDN w:val="0"/>
        <w:adjustRightInd w:val="0"/>
        <w:rPr>
          <w:rFonts w:asciiTheme="minorHAnsi" w:hAnsiTheme="minorHAnsi" w:cstheme="minorHAnsi"/>
          <w:lang w:val="es-ES_tradnl"/>
        </w:rPr>
      </w:pPr>
    </w:p>
    <w:p w14:paraId="752E9AC7" w14:textId="08ADBD91"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lastRenderedPageBreak/>
        <w:t xml:space="preserve">Los Coordinadores Nacionales del GECT de cada Parte Contratante actúan como enlace entre sus </w:t>
      </w:r>
      <w:r w:rsidR="001C2429">
        <w:rPr>
          <w:rFonts w:asciiTheme="minorHAnsi" w:eastAsiaTheme="minorHAnsi" w:hAnsiTheme="minorHAnsi" w:cstheme="minorHAnsi"/>
          <w:bCs/>
          <w:lang w:val="es-ES_tradnl"/>
        </w:rPr>
        <w:t>implementadores</w:t>
      </w:r>
      <w:r w:rsidRPr="00B618D5">
        <w:rPr>
          <w:rFonts w:asciiTheme="minorHAnsi" w:eastAsiaTheme="minorHAnsi" w:hAnsiTheme="minorHAnsi" w:cstheme="minorHAnsi"/>
          <w:bCs/>
          <w:lang w:val="es-ES_tradnl"/>
        </w:rPr>
        <w:t xml:space="preserve"> nacionales en materia de humedales</w:t>
      </w:r>
      <w:r w:rsidR="00F468C2" w:rsidRPr="00B618D5">
        <w:rPr>
          <w:rFonts w:asciiTheme="minorHAnsi" w:eastAsiaTheme="minorHAnsi" w:hAnsiTheme="minorHAnsi" w:cstheme="minorHAnsi"/>
          <w:bCs/>
          <w:lang w:val="es-ES_tradnl"/>
        </w:rPr>
        <w:t>, otros Coordinadores N</w:t>
      </w:r>
      <w:r w:rsidR="002C3952" w:rsidRPr="00B618D5">
        <w:rPr>
          <w:rFonts w:asciiTheme="minorHAnsi" w:eastAsiaTheme="minorHAnsi" w:hAnsiTheme="minorHAnsi" w:cstheme="minorHAnsi"/>
          <w:bCs/>
          <w:lang w:val="es-ES_tradnl"/>
        </w:rPr>
        <w:t>acionales de Ramsar</w:t>
      </w:r>
      <w:r w:rsidRPr="00B618D5">
        <w:rPr>
          <w:rFonts w:asciiTheme="minorHAnsi" w:eastAsiaTheme="minorHAnsi" w:hAnsiTheme="minorHAnsi" w:cstheme="minorHAnsi"/>
          <w:bCs/>
          <w:lang w:val="es-ES_tradnl"/>
        </w:rPr>
        <w:t xml:space="preserve"> y el GECT. Se les designa para esta función por su conocimiento científico y técnico experto en la conservación, el manejo y el uso racional de los humedales. </w:t>
      </w:r>
      <w:r w:rsidR="00F468C2" w:rsidRPr="00B618D5">
        <w:rPr>
          <w:rFonts w:asciiTheme="minorHAnsi" w:eastAsiaTheme="minorHAnsi" w:hAnsiTheme="minorHAnsi" w:cstheme="minorHAnsi"/>
          <w:bCs/>
          <w:lang w:val="es-ES_tradnl"/>
        </w:rPr>
        <w:t>La Secretaría debería velar por que exista un vínculo más eficaz entre el GECT y sus coordinadores nacionales de forma que se tengan en cuenta las necesidades técnicas de las Partes en el plan de trabajo del GECT. S</w:t>
      </w:r>
      <w:r w:rsidRPr="00B618D5">
        <w:rPr>
          <w:rFonts w:asciiTheme="minorHAnsi" w:eastAsiaTheme="minorHAnsi" w:hAnsiTheme="minorHAnsi" w:cstheme="minorHAnsi"/>
          <w:bCs/>
          <w:lang w:val="es-ES_tradnl"/>
        </w:rPr>
        <w:t>e espera que hagan lo siguiente:</w:t>
      </w:r>
    </w:p>
    <w:p w14:paraId="17F4AB3F" w14:textId="77777777" w:rsidR="00B906A8" w:rsidRPr="00B618D5" w:rsidRDefault="00B906A8" w:rsidP="009C04A9">
      <w:pPr>
        <w:rPr>
          <w:rFonts w:asciiTheme="minorHAnsi" w:hAnsiTheme="minorHAnsi"/>
          <w:lang w:val="es-ES_tradnl"/>
        </w:rPr>
      </w:pPr>
    </w:p>
    <w:p w14:paraId="205A598B" w14:textId="20DDED69" w:rsidR="00B906A8" w:rsidRPr="00B618D5" w:rsidRDefault="00B906A8" w:rsidP="009C04A9">
      <w:pPr>
        <w:pStyle w:val="ListParagraph"/>
        <w:numPr>
          <w:ilvl w:val="0"/>
          <w:numId w:val="14"/>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proporcionar aportaciones</w:t>
      </w:r>
      <w:r w:rsidR="00F468C2" w:rsidRPr="00B618D5">
        <w:rPr>
          <w:rFonts w:asciiTheme="minorHAnsi" w:hAnsiTheme="minorHAnsi" w:cstheme="minorHAnsi"/>
          <w:lang w:val="es-ES_tradnl"/>
        </w:rPr>
        <w:t xml:space="preserve"> científicas y técnicas</w:t>
      </w:r>
      <w:r w:rsidRPr="00B618D5">
        <w:rPr>
          <w:rFonts w:asciiTheme="minorHAnsi" w:hAnsiTheme="minorHAnsi" w:cstheme="minorHAnsi"/>
          <w:lang w:val="es-ES_tradnl"/>
        </w:rPr>
        <w:t xml:space="preserve"> y apoyo a la aplicación del plan de trabajo del GECT;</w:t>
      </w:r>
    </w:p>
    <w:p w14:paraId="4529F22D" w14:textId="77777777" w:rsidR="00B906A8" w:rsidRPr="00B618D5" w:rsidRDefault="00B906A8"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753C8987" w14:textId="77777777" w:rsidR="00B906A8" w:rsidRPr="00B618D5" w:rsidRDefault="00B906A8" w:rsidP="009C04A9">
      <w:pPr>
        <w:pStyle w:val="ListParagraph"/>
        <w:numPr>
          <w:ilvl w:val="0"/>
          <w:numId w:val="14"/>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mantener contactos periódicos con otros Coordinadores Nacionales de Ramsar en sus países (Coordinador Nacional de Ramsar y Coordinadores Nacionales de CECoP);</w:t>
      </w:r>
    </w:p>
    <w:p w14:paraId="2E74F070" w14:textId="77777777" w:rsidR="00B906A8" w:rsidRPr="00B618D5" w:rsidRDefault="00B906A8"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5738BDD8" w14:textId="77777777" w:rsidR="00B906A8" w:rsidRPr="00B618D5" w:rsidRDefault="00B906A8" w:rsidP="009C04A9">
      <w:pPr>
        <w:pStyle w:val="ListParagraph"/>
        <w:numPr>
          <w:ilvl w:val="0"/>
          <w:numId w:val="14"/>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movilizar a las capacidades locales y, en la medida de lo posible, consultar a otros expertos y organismos y centros de humedales en su país, incluyendo los coordinadores nacionales o puntos focales de otros AMMA, y solicitar sus contribuciones;</w:t>
      </w:r>
    </w:p>
    <w:p w14:paraId="36D7FA69" w14:textId="77777777" w:rsidR="00B906A8" w:rsidRPr="00B618D5" w:rsidRDefault="00B906A8" w:rsidP="009C04A9">
      <w:pPr>
        <w:pStyle w:val="ListParagraph"/>
        <w:spacing w:after="0" w:line="240" w:lineRule="auto"/>
        <w:rPr>
          <w:rFonts w:asciiTheme="minorHAnsi" w:hAnsiTheme="minorHAnsi" w:cstheme="minorHAnsi"/>
          <w:lang w:val="es-ES_tradnl"/>
        </w:rPr>
      </w:pPr>
    </w:p>
    <w:p w14:paraId="16AE5A0D" w14:textId="2C959653" w:rsidR="00B906A8" w:rsidRPr="00B618D5" w:rsidRDefault="00B906A8" w:rsidP="009C04A9">
      <w:pPr>
        <w:pStyle w:val="ListParagraph"/>
        <w:numPr>
          <w:ilvl w:val="0"/>
          <w:numId w:val="14"/>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eastAsiaTheme="minorHAnsi" w:hAnsiTheme="minorHAnsi" w:cs="Garamond"/>
          <w:lang w:val="es-ES_tradnl"/>
        </w:rPr>
        <w:t xml:space="preserve">los coordinadores nacionales del GECT deberían proporcionar asesoramiento y participar en reuniones del Comité Nacional sobre Humedales o de Ramsar u órganos similares (p. ej., Comités Nacionales de Biodiversidad) en los casos en que </w:t>
      </w:r>
      <w:r w:rsidR="00EB5261" w:rsidRPr="00B618D5">
        <w:rPr>
          <w:rFonts w:asciiTheme="minorHAnsi" w:eastAsiaTheme="minorHAnsi" w:hAnsiTheme="minorHAnsi" w:cs="Garamond"/>
          <w:lang w:val="es-ES_tradnl"/>
        </w:rPr>
        <w:t>est</w:t>
      </w:r>
      <w:r w:rsidRPr="00B618D5">
        <w:rPr>
          <w:rFonts w:asciiTheme="minorHAnsi" w:eastAsiaTheme="minorHAnsi" w:hAnsiTheme="minorHAnsi" w:cs="Garamond"/>
          <w:lang w:val="es-ES_tradnl"/>
        </w:rPr>
        <w:t>os existan y proporcionar asesoramiento en la preparación de Informes Nacionales a las Conferencias de las Partes Contratantes</w:t>
      </w:r>
      <w:r w:rsidR="00C2197E" w:rsidRPr="00B618D5">
        <w:rPr>
          <w:rFonts w:asciiTheme="minorHAnsi" w:eastAsiaTheme="minorHAnsi" w:hAnsiTheme="minorHAnsi" w:cs="Garamond"/>
          <w:lang w:val="es-ES_tradnl"/>
        </w:rPr>
        <w:t>. También deberían ayudar a divulgar información sobre el trabajo del GECT que se considere apropiado para el contexto nacional a las personas y entidades pertinentes de sus países;</w:t>
      </w:r>
    </w:p>
    <w:p w14:paraId="39C15846" w14:textId="77777777" w:rsidR="00B906A8" w:rsidRPr="00B618D5" w:rsidRDefault="00B906A8"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49644E12" w14:textId="1D4071BC" w:rsidR="00B906A8" w:rsidRPr="00B618D5" w:rsidRDefault="00B906A8" w:rsidP="009C04A9">
      <w:pPr>
        <w:pStyle w:val="ListParagraph"/>
        <w:numPr>
          <w:ilvl w:val="0"/>
          <w:numId w:val="14"/>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proporcionar apoyo técnico a las actividades nacionales sobre humedales tales como la preparación de inventario</w:t>
      </w:r>
      <w:r w:rsidR="00F468C2" w:rsidRPr="00B618D5">
        <w:rPr>
          <w:rFonts w:asciiTheme="minorHAnsi" w:hAnsiTheme="minorHAnsi" w:cstheme="minorHAnsi"/>
          <w:lang w:val="es-ES_tradnl"/>
        </w:rPr>
        <w:t>s</w:t>
      </w:r>
      <w:r w:rsidRPr="00B618D5">
        <w:rPr>
          <w:rFonts w:asciiTheme="minorHAnsi" w:hAnsiTheme="minorHAnsi" w:cstheme="minorHAnsi"/>
          <w:lang w:val="es-ES_tradnl"/>
        </w:rPr>
        <w:t xml:space="preserve"> de humedales;</w:t>
      </w:r>
      <w:r w:rsidR="00D423C1" w:rsidRPr="00B618D5">
        <w:rPr>
          <w:rFonts w:asciiTheme="minorHAnsi" w:hAnsiTheme="minorHAnsi" w:cstheme="minorHAnsi"/>
          <w:lang w:val="es-ES_tradnl"/>
        </w:rPr>
        <w:t xml:space="preserve"> y</w:t>
      </w:r>
    </w:p>
    <w:p w14:paraId="2813DDCF" w14:textId="77777777" w:rsidR="00B906A8" w:rsidRPr="00B618D5" w:rsidRDefault="00B906A8"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1D311CCD" w14:textId="77777777" w:rsidR="00B906A8" w:rsidRPr="00B618D5" w:rsidRDefault="00B906A8" w:rsidP="009C04A9">
      <w:pPr>
        <w:pStyle w:val="ListParagraph"/>
        <w:numPr>
          <w:ilvl w:val="0"/>
          <w:numId w:val="14"/>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ayudar a divulgar productos del GECT e información sobre su labor, adaptada al contexto nacional según proceda.</w:t>
      </w:r>
    </w:p>
    <w:p w14:paraId="002AACB5" w14:textId="77777777" w:rsidR="00B906A8" w:rsidRPr="00B618D5" w:rsidRDefault="00B906A8" w:rsidP="009C04A9">
      <w:pPr>
        <w:ind w:left="851" w:hanging="851"/>
        <w:rPr>
          <w:rFonts w:asciiTheme="minorHAnsi" w:hAnsiTheme="minorHAnsi" w:cstheme="minorHAnsi"/>
          <w:b/>
          <w:bCs/>
          <w:sz w:val="22"/>
          <w:szCs w:val="22"/>
          <w:lang w:val="es-ES_tradnl"/>
        </w:rPr>
      </w:pPr>
    </w:p>
    <w:p w14:paraId="00305321" w14:textId="77777777" w:rsidR="00B906A8" w:rsidRPr="00B618D5" w:rsidRDefault="00B906A8" w:rsidP="009C04A9">
      <w:pPr>
        <w:ind w:left="851" w:hanging="851"/>
        <w:rPr>
          <w:rFonts w:asciiTheme="minorHAnsi" w:hAnsiTheme="minorHAnsi" w:cstheme="minorHAnsi"/>
          <w:b/>
          <w:bCs/>
          <w:sz w:val="22"/>
          <w:szCs w:val="22"/>
          <w:lang w:val="es-ES_tradnl"/>
        </w:rPr>
      </w:pPr>
      <w:r w:rsidRPr="00B618D5">
        <w:rPr>
          <w:rFonts w:asciiTheme="minorHAnsi" w:hAnsiTheme="minorHAnsi" w:cstheme="minorHAnsi"/>
          <w:b/>
          <w:bCs/>
          <w:sz w:val="22"/>
          <w:szCs w:val="22"/>
          <w:lang w:val="es-ES_tradnl"/>
        </w:rPr>
        <w:t>Selección de los miembros del Grupo</w:t>
      </w:r>
    </w:p>
    <w:p w14:paraId="58F1D561" w14:textId="77777777" w:rsidR="00B906A8" w:rsidRPr="00B618D5" w:rsidRDefault="00B906A8" w:rsidP="009C04A9">
      <w:pPr>
        <w:ind w:left="851" w:hanging="851"/>
        <w:rPr>
          <w:rFonts w:asciiTheme="minorHAnsi" w:hAnsiTheme="minorHAnsi" w:cstheme="minorHAnsi"/>
          <w:b/>
          <w:bCs/>
          <w:sz w:val="22"/>
          <w:szCs w:val="22"/>
          <w:lang w:val="es-ES_tradnl"/>
        </w:rPr>
      </w:pPr>
    </w:p>
    <w:p w14:paraId="5093E1E3"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Inmediatamente después de la COP, la Secretaría solicitará candidatos para ser miembros del GECT durante el siguiente trienio, incluyendo información sobre los perfiles concretos requeridos para los </w:t>
      </w:r>
      <w:r w:rsidR="00D423C1" w:rsidRPr="00B618D5">
        <w:rPr>
          <w:rFonts w:asciiTheme="minorHAnsi" w:eastAsiaTheme="minorHAnsi" w:hAnsiTheme="minorHAnsi" w:cstheme="minorHAnsi"/>
          <w:bCs/>
          <w:lang w:val="es-ES_tradnl"/>
        </w:rPr>
        <w:t>miembros científicos y técnicos.</w:t>
      </w:r>
    </w:p>
    <w:p w14:paraId="544D98C1"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3FEA1568"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El Grupo de Trabajo Administrativo del Comité Permanente designará los miembros y representantes observadores para cada trienio lo antes posible después de la COP entre los candidatos propuestos según el proceso descrito a continuación. </w:t>
      </w:r>
    </w:p>
    <w:p w14:paraId="124402D6" w14:textId="77777777" w:rsidR="00B906A8" w:rsidRPr="00B618D5" w:rsidRDefault="00B906A8" w:rsidP="009C04A9">
      <w:pPr>
        <w:rPr>
          <w:rFonts w:asciiTheme="minorHAnsi" w:eastAsiaTheme="minorHAnsi" w:hAnsiTheme="minorHAnsi" w:cstheme="minorHAnsi"/>
          <w:bCs/>
          <w:lang w:val="es-ES_tradnl"/>
        </w:rPr>
      </w:pPr>
    </w:p>
    <w:p w14:paraId="6890C175" w14:textId="17EE80F7" w:rsidR="00C2197E"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Las Autoridades Administrativas de cada región llegarán a un acuerdo interno y propondrán a un experto técnico, que será aceptado automáticamente.</w:t>
      </w:r>
    </w:p>
    <w:p w14:paraId="25A6DF2A" w14:textId="77777777" w:rsidR="00F77A73" w:rsidRPr="00B618D5" w:rsidRDefault="00F77A73" w:rsidP="009C04A9">
      <w:pPr>
        <w:rPr>
          <w:rFonts w:asciiTheme="minorHAnsi" w:eastAsiaTheme="minorHAnsi" w:hAnsiTheme="minorHAnsi" w:cstheme="minorHAnsi"/>
          <w:bCs/>
          <w:lang w:val="es-ES_tradnl"/>
        </w:rPr>
      </w:pPr>
    </w:p>
    <w:p w14:paraId="3C27BCE4" w14:textId="1BA5F8AB" w:rsidR="00C2197E" w:rsidRPr="00B618D5" w:rsidRDefault="00F77A73"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Las Autoridades Administrativas propondrán a miembros según las necesidades observadas </w:t>
      </w:r>
      <w:r w:rsidR="0085294F" w:rsidRPr="00B618D5">
        <w:rPr>
          <w:rFonts w:asciiTheme="minorHAnsi" w:eastAsiaTheme="minorHAnsi" w:hAnsiTheme="minorHAnsi" w:cstheme="minorHAnsi"/>
          <w:bCs/>
          <w:lang w:val="es-ES_tradnl"/>
        </w:rPr>
        <w:t>y los miembros del Comité Permanente realizarán la evaluación y preselección de las propuestas por regiones.</w:t>
      </w:r>
    </w:p>
    <w:p w14:paraId="2C8FE0D5" w14:textId="77777777" w:rsidR="00D423C1" w:rsidRPr="00B618D5" w:rsidRDefault="00D423C1" w:rsidP="009C04A9">
      <w:pPr>
        <w:rPr>
          <w:rFonts w:asciiTheme="minorHAnsi" w:eastAsiaTheme="minorHAnsi" w:hAnsiTheme="minorHAnsi" w:cstheme="minorHAnsi"/>
          <w:bCs/>
          <w:lang w:val="es-ES_tradnl"/>
        </w:rPr>
      </w:pPr>
    </w:p>
    <w:p w14:paraId="26B12166" w14:textId="7CAB1E4B" w:rsidR="00D423C1" w:rsidRPr="00B618D5" w:rsidRDefault="00D423C1"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Las Autoridades Administrativas de las Partes Contratantes también </w:t>
      </w:r>
      <w:r w:rsidR="00F803E2" w:rsidRPr="00B618D5">
        <w:rPr>
          <w:rFonts w:asciiTheme="minorHAnsi" w:eastAsiaTheme="minorHAnsi" w:hAnsiTheme="minorHAnsi" w:cstheme="minorHAnsi"/>
          <w:bCs/>
          <w:lang w:val="es-ES_tradnl"/>
        </w:rPr>
        <w:t>presentarán ca</w:t>
      </w:r>
      <w:r w:rsidRPr="00B618D5">
        <w:rPr>
          <w:rFonts w:asciiTheme="minorHAnsi" w:eastAsiaTheme="minorHAnsi" w:hAnsiTheme="minorHAnsi" w:cstheme="minorHAnsi"/>
          <w:bCs/>
          <w:lang w:val="es-ES_tradnl"/>
        </w:rPr>
        <w:t xml:space="preserve">ndidaturas para los seis miembros científicos y </w:t>
      </w:r>
      <w:r w:rsidR="00F803E2" w:rsidRPr="00B618D5">
        <w:rPr>
          <w:rFonts w:asciiTheme="minorHAnsi" w:eastAsiaTheme="minorHAnsi" w:hAnsiTheme="minorHAnsi" w:cstheme="minorHAnsi"/>
          <w:bCs/>
          <w:lang w:val="es-ES_tradnl"/>
        </w:rPr>
        <w:t xml:space="preserve">los </w:t>
      </w:r>
      <w:r w:rsidRPr="00B618D5">
        <w:rPr>
          <w:rFonts w:asciiTheme="minorHAnsi" w:eastAsiaTheme="minorHAnsi" w:hAnsiTheme="minorHAnsi" w:cstheme="minorHAnsi"/>
          <w:bCs/>
          <w:lang w:val="es-ES_tradnl"/>
        </w:rPr>
        <w:t xml:space="preserve">seis miembros técnicos y podrán </w:t>
      </w:r>
      <w:r w:rsidR="00F803E2" w:rsidRPr="00B618D5">
        <w:rPr>
          <w:rFonts w:asciiTheme="minorHAnsi" w:eastAsiaTheme="minorHAnsi" w:hAnsiTheme="minorHAnsi" w:cstheme="minorHAnsi"/>
          <w:bCs/>
          <w:lang w:val="es-ES_tradnl"/>
        </w:rPr>
        <w:t>proponer</w:t>
      </w:r>
      <w:r w:rsidRPr="00B618D5">
        <w:rPr>
          <w:rFonts w:asciiTheme="minorHAnsi" w:eastAsiaTheme="minorHAnsi" w:hAnsiTheme="minorHAnsi" w:cstheme="minorHAnsi"/>
          <w:bCs/>
          <w:lang w:val="es-ES_tradnl"/>
        </w:rPr>
        <w:t xml:space="preserve"> candidatos </w:t>
      </w:r>
      <w:r w:rsidRPr="00B618D5">
        <w:rPr>
          <w:rFonts w:asciiTheme="minorHAnsi" w:eastAsiaTheme="minorHAnsi" w:hAnsiTheme="minorHAnsi" w:cstheme="minorHAnsi"/>
          <w:bCs/>
          <w:lang w:val="es-ES_tradnl"/>
        </w:rPr>
        <w:lastRenderedPageBreak/>
        <w:t xml:space="preserve">para la Presidencia y la Vicepresidencia del GECT, </w:t>
      </w:r>
      <w:r w:rsidR="00F803E2" w:rsidRPr="00B618D5">
        <w:rPr>
          <w:rFonts w:asciiTheme="minorHAnsi" w:eastAsiaTheme="minorHAnsi" w:hAnsiTheme="minorHAnsi" w:cstheme="minorHAnsi"/>
          <w:bCs/>
          <w:lang w:val="es-ES_tradnl"/>
        </w:rPr>
        <w:t xml:space="preserve">inclusive </w:t>
      </w:r>
      <w:r w:rsidRPr="00B618D5">
        <w:rPr>
          <w:rFonts w:asciiTheme="minorHAnsi" w:eastAsiaTheme="minorHAnsi" w:hAnsiTheme="minorHAnsi" w:cstheme="minorHAnsi"/>
          <w:bCs/>
          <w:lang w:val="es-ES_tradnl"/>
        </w:rPr>
        <w:t>entre los candidatos propuestos con arreglo al párrafo 21.</w:t>
      </w:r>
    </w:p>
    <w:p w14:paraId="745B0D9C" w14:textId="77777777" w:rsidR="00D423C1" w:rsidRPr="00B618D5" w:rsidRDefault="00D423C1" w:rsidP="009C04A9">
      <w:pPr>
        <w:rPr>
          <w:rFonts w:asciiTheme="minorHAnsi" w:eastAsiaTheme="minorHAnsi" w:hAnsiTheme="minorHAnsi" w:cstheme="minorHAnsi"/>
          <w:bCs/>
          <w:color w:val="FF0000"/>
          <w:lang w:val="es-ES_tradnl"/>
        </w:rPr>
      </w:pPr>
    </w:p>
    <w:p w14:paraId="6426056B" w14:textId="1B8C65AC" w:rsidR="00D423C1" w:rsidRPr="00B618D5" w:rsidRDefault="00D423C1"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Garamond"/>
          <w:lang w:val="es-ES_tradnl"/>
        </w:rPr>
        <w:t xml:space="preserve">Las OIA y las organizaciones observadoras </w:t>
      </w:r>
      <w:r w:rsidR="00F803E2" w:rsidRPr="00B618D5">
        <w:rPr>
          <w:rFonts w:asciiTheme="minorHAnsi" w:eastAsiaTheme="minorHAnsi" w:hAnsiTheme="minorHAnsi" w:cstheme="minorHAnsi"/>
          <w:bCs/>
          <w:lang w:val="es-ES_tradnl"/>
        </w:rPr>
        <w:t xml:space="preserve">presentarán candidaturas </w:t>
      </w:r>
      <w:r w:rsidRPr="00B618D5">
        <w:rPr>
          <w:rFonts w:asciiTheme="minorHAnsi" w:eastAsiaTheme="minorHAnsi" w:hAnsiTheme="minorHAnsi" w:cs="Garamond"/>
          <w:lang w:val="es-ES_tradnl"/>
        </w:rPr>
        <w:t xml:space="preserve">para los seis </w:t>
      </w:r>
      <w:r w:rsidR="009370EF" w:rsidRPr="00B618D5">
        <w:rPr>
          <w:rFonts w:asciiTheme="minorHAnsi" w:eastAsiaTheme="minorHAnsi" w:hAnsiTheme="minorHAnsi" w:cs="Garamond"/>
          <w:lang w:val="es-ES_tradnl"/>
        </w:rPr>
        <w:t xml:space="preserve">miembros </w:t>
      </w:r>
      <w:r w:rsidR="00673B06" w:rsidRPr="00B618D5">
        <w:rPr>
          <w:rFonts w:asciiTheme="minorHAnsi" w:eastAsiaTheme="minorHAnsi" w:hAnsiTheme="minorHAnsi" w:cs="Garamond"/>
          <w:lang w:val="es-ES_tradnl"/>
        </w:rPr>
        <w:t xml:space="preserve">científicos y seis miembros </w:t>
      </w:r>
      <w:r w:rsidR="009370EF" w:rsidRPr="00B618D5">
        <w:rPr>
          <w:rFonts w:asciiTheme="minorHAnsi" w:eastAsiaTheme="minorHAnsi" w:hAnsiTheme="minorHAnsi" w:cs="Garamond"/>
          <w:lang w:val="es-ES_tradnl"/>
        </w:rPr>
        <w:t>técnicos</w:t>
      </w:r>
      <w:r w:rsidRPr="00B618D5">
        <w:rPr>
          <w:rFonts w:asciiTheme="minorHAnsi" w:eastAsiaTheme="minorHAnsi" w:hAnsiTheme="minorHAnsi" w:cstheme="minorHAnsi"/>
          <w:bCs/>
          <w:lang w:val="es-ES_tradnl"/>
        </w:rPr>
        <w:t>.</w:t>
      </w:r>
    </w:p>
    <w:p w14:paraId="21AABB81"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2DE81157"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Los miembros del GECT serán designados a título individual por sus conocimi</w:t>
      </w:r>
      <w:r w:rsidR="008119D2" w:rsidRPr="00B618D5">
        <w:rPr>
          <w:rFonts w:asciiTheme="minorHAnsi" w:eastAsiaTheme="minorHAnsi" w:hAnsiTheme="minorHAnsi" w:cstheme="minorHAnsi"/>
          <w:bCs/>
          <w:lang w:val="es-ES_tradnl"/>
        </w:rPr>
        <w:t>entos científicos y técnicos y n</w:t>
      </w:r>
      <w:r w:rsidRPr="00B618D5">
        <w:rPr>
          <w:rFonts w:asciiTheme="minorHAnsi" w:eastAsiaTheme="minorHAnsi" w:hAnsiTheme="minorHAnsi" w:cstheme="minorHAnsi"/>
          <w:bCs/>
          <w:lang w:val="es-ES_tradnl"/>
        </w:rPr>
        <w:t>o representarán a ninguna organización o gobierno en su interacción con el GECT. Se realizará una selección para garantizar los conocimientos científicos y técnicos necesarios para la labor del GECT durante el trienio así como un equilibrio regional y de género.</w:t>
      </w:r>
    </w:p>
    <w:p w14:paraId="3AEE0967" w14:textId="77777777" w:rsidR="00B906A8" w:rsidRPr="00B618D5" w:rsidRDefault="00B906A8" w:rsidP="009C04A9">
      <w:pPr>
        <w:rPr>
          <w:rFonts w:asciiTheme="minorHAnsi" w:eastAsiaTheme="minorHAnsi" w:hAnsiTheme="minorHAnsi" w:cstheme="minorHAnsi"/>
          <w:bCs/>
          <w:lang w:val="es-ES_tradnl"/>
        </w:rPr>
      </w:pPr>
    </w:p>
    <w:p w14:paraId="58EB833E"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Cada Organización Internacional Asociada propondrá a su miembro representante.</w:t>
      </w:r>
      <w:r w:rsidR="008119D2" w:rsidRPr="00B618D5">
        <w:rPr>
          <w:rFonts w:asciiTheme="minorHAnsi" w:eastAsiaTheme="minorHAnsi" w:hAnsiTheme="minorHAnsi" w:cstheme="minorHAnsi"/>
          <w:bCs/>
          <w:lang w:val="es-ES_tradnl"/>
        </w:rPr>
        <w:t xml:space="preserve"> Los observadores de las OIA </w:t>
      </w:r>
      <w:r w:rsidR="00E645F4" w:rsidRPr="00B618D5">
        <w:rPr>
          <w:rFonts w:asciiTheme="minorHAnsi" w:eastAsiaTheme="minorHAnsi" w:hAnsiTheme="minorHAnsi" w:cstheme="minorHAnsi"/>
          <w:bCs/>
          <w:lang w:val="es-ES_tradnl"/>
        </w:rPr>
        <w:t>podrán</w:t>
      </w:r>
      <w:r w:rsidR="008119D2" w:rsidRPr="00B618D5">
        <w:rPr>
          <w:rFonts w:asciiTheme="minorHAnsi" w:eastAsiaTheme="minorHAnsi" w:hAnsiTheme="minorHAnsi" w:cstheme="minorHAnsi"/>
          <w:bCs/>
          <w:lang w:val="es-ES_tradnl"/>
        </w:rPr>
        <w:t xml:space="preserve"> </w:t>
      </w:r>
      <w:r w:rsidR="00E645F4" w:rsidRPr="00B618D5">
        <w:rPr>
          <w:rFonts w:asciiTheme="minorHAnsi" w:eastAsiaTheme="minorHAnsi" w:hAnsiTheme="minorHAnsi" w:cstheme="minorHAnsi"/>
          <w:bCs/>
          <w:lang w:val="es-ES_tradnl"/>
        </w:rPr>
        <w:t>ejercer su mandato</w:t>
      </w:r>
      <w:r w:rsidR="008119D2" w:rsidRPr="00B618D5">
        <w:rPr>
          <w:rFonts w:asciiTheme="minorHAnsi" w:eastAsiaTheme="minorHAnsi" w:hAnsiTheme="minorHAnsi" w:cstheme="minorHAnsi"/>
          <w:bCs/>
          <w:lang w:val="es-ES_tradnl"/>
        </w:rPr>
        <w:t xml:space="preserve"> durante más de un trienio.</w:t>
      </w:r>
    </w:p>
    <w:p w14:paraId="5E16BEA8"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299D2AC5"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Cualquier organización observadora podrá proponer a un representante como observador en el Grupo.</w:t>
      </w:r>
      <w:r w:rsidR="008119D2" w:rsidRPr="00B618D5">
        <w:rPr>
          <w:rFonts w:asciiTheme="minorHAnsi" w:eastAsiaTheme="minorHAnsi" w:hAnsiTheme="minorHAnsi" w:cstheme="minorHAnsi"/>
          <w:bCs/>
          <w:lang w:val="es-ES_tradnl"/>
        </w:rPr>
        <w:t xml:space="preserve"> Las organizaciones observadoras </w:t>
      </w:r>
      <w:r w:rsidR="00E645F4" w:rsidRPr="00B618D5">
        <w:rPr>
          <w:rFonts w:asciiTheme="minorHAnsi" w:eastAsiaTheme="minorHAnsi" w:hAnsiTheme="minorHAnsi" w:cstheme="minorHAnsi"/>
          <w:bCs/>
          <w:lang w:val="es-ES_tradnl"/>
        </w:rPr>
        <w:t xml:space="preserve">podrán ejercer su mandato </w:t>
      </w:r>
      <w:r w:rsidR="008119D2" w:rsidRPr="00B618D5">
        <w:rPr>
          <w:rFonts w:asciiTheme="minorHAnsi" w:eastAsiaTheme="minorHAnsi" w:hAnsiTheme="minorHAnsi" w:cstheme="minorHAnsi"/>
          <w:bCs/>
          <w:lang w:val="es-ES_tradnl"/>
        </w:rPr>
        <w:t>durante más de un trienio</w:t>
      </w:r>
      <w:r w:rsidR="00E645F4" w:rsidRPr="00B618D5">
        <w:rPr>
          <w:rFonts w:asciiTheme="minorHAnsi" w:eastAsiaTheme="minorHAnsi" w:hAnsiTheme="minorHAnsi" w:cstheme="minorHAnsi"/>
          <w:bCs/>
          <w:lang w:val="es-ES_tradnl"/>
        </w:rPr>
        <w:t>.</w:t>
      </w:r>
    </w:p>
    <w:p w14:paraId="0D7E8516"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7425305A" w14:textId="5E89AA80" w:rsidR="00673B06"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Las organizaciones que nominen a miembros u observadores deberán aportar una carta de recomendación resumiendo la experiencia del candidato y la relevancia de su labor para el plan de trabajo del Grupo.</w:t>
      </w:r>
    </w:p>
    <w:p w14:paraId="7A511590" w14:textId="77777777" w:rsidR="0085294F" w:rsidRPr="00B618D5" w:rsidRDefault="0085294F" w:rsidP="009C04A9">
      <w:pPr>
        <w:pStyle w:val="ListParagraph"/>
        <w:spacing w:after="0" w:line="240" w:lineRule="auto"/>
        <w:ind w:left="426"/>
        <w:contextualSpacing w:val="0"/>
        <w:rPr>
          <w:rFonts w:asciiTheme="minorHAnsi" w:eastAsiaTheme="minorHAnsi" w:hAnsiTheme="minorHAnsi" w:cstheme="minorHAnsi"/>
          <w:bCs/>
          <w:lang w:val="es-ES_tradnl"/>
        </w:rPr>
      </w:pPr>
    </w:p>
    <w:p w14:paraId="11C935FD" w14:textId="7425C6EF"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Los candidatos propuestos deberán aportar un curriculum vitae y una declaración en la que se explique que están dispuestos a ser miembros del Grupo y que, cuando proceda, cuentan con el apoyo necesario de sus organizaciones de forma voluntaria para realizar el trabajo que se espera de ellos y tienen tiempo y disponibilidad para asistir a las reuniones.</w:t>
      </w:r>
      <w:r w:rsidR="00673B06" w:rsidRPr="00B618D5">
        <w:rPr>
          <w:rFonts w:asciiTheme="minorHAnsi" w:eastAsiaTheme="minorHAnsi" w:hAnsiTheme="minorHAnsi" w:cstheme="minorHAnsi"/>
          <w:bCs/>
          <w:lang w:val="es-ES_tradnl"/>
        </w:rPr>
        <w:t xml:space="preserve"> Indicarán si necesitan apoyo financiero para participar en las reuniones y aportar</w:t>
      </w:r>
      <w:r w:rsidR="00381D3F" w:rsidRPr="00B618D5">
        <w:rPr>
          <w:rFonts w:asciiTheme="minorHAnsi" w:eastAsiaTheme="minorHAnsi" w:hAnsiTheme="minorHAnsi" w:cstheme="minorHAnsi"/>
          <w:bCs/>
          <w:lang w:val="es-ES_tradnl"/>
        </w:rPr>
        <w:t>án un breve resumen que explique de qué manera sus conocimientos y experiencia pueden contribuir a la labor del Grupo.</w:t>
      </w:r>
    </w:p>
    <w:p w14:paraId="6F28EB1F" w14:textId="77777777" w:rsidR="00B906A8" w:rsidRPr="00B618D5" w:rsidRDefault="00B906A8" w:rsidP="009C04A9">
      <w:pPr>
        <w:rPr>
          <w:rFonts w:asciiTheme="minorHAnsi" w:eastAsiaTheme="minorHAnsi" w:hAnsiTheme="minorHAnsi" w:cstheme="minorHAnsi"/>
          <w:bCs/>
          <w:lang w:val="es-ES_tradnl"/>
        </w:rPr>
      </w:pPr>
    </w:p>
    <w:p w14:paraId="0FD0F7A8" w14:textId="7BC61C33"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La Secretaría </w:t>
      </w:r>
      <w:r w:rsidR="0085294F" w:rsidRPr="00B618D5">
        <w:rPr>
          <w:rFonts w:asciiTheme="minorHAnsi" w:eastAsiaTheme="minorHAnsi" w:hAnsiTheme="minorHAnsi" w:cstheme="minorHAnsi"/>
          <w:bCs/>
          <w:lang w:val="es-ES_tradnl"/>
        </w:rPr>
        <w:t xml:space="preserve">remitirá todas </w:t>
      </w:r>
      <w:r w:rsidRPr="00B618D5">
        <w:rPr>
          <w:rFonts w:asciiTheme="minorHAnsi" w:eastAsiaTheme="minorHAnsi" w:hAnsiTheme="minorHAnsi" w:cstheme="minorHAnsi"/>
          <w:bCs/>
          <w:lang w:val="es-ES_tradnl"/>
        </w:rPr>
        <w:t>las candidaturas propuestas y formulará recomendaciones para las designaciones para que las estudie el Grupo de Trabajo Administrativo del Comité Permanente, que tomará sus decisiones a través de medios electrónicos y teleconferencias lo antes posible después de cada COP para permitir al Grupo comenzar su trabajo lo más pronto posible.</w:t>
      </w:r>
    </w:p>
    <w:p w14:paraId="5EB99104"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0FFD2E02" w14:textId="77CA9BEB"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Si quedara vacante algún puesto de miembro del Grupo entre dos reuniones de la COP, el Grupo de Trabajo Administrativo del Comité Permanente evaluará otros candidatos </w:t>
      </w:r>
      <w:r w:rsidR="0019742B" w:rsidRPr="00B618D5">
        <w:rPr>
          <w:rFonts w:asciiTheme="minorHAnsi" w:eastAsiaTheme="minorHAnsi" w:hAnsiTheme="minorHAnsi" w:cstheme="minorHAnsi"/>
          <w:bCs/>
          <w:lang w:val="es-ES_tradnl"/>
        </w:rPr>
        <w:t xml:space="preserve">entre las propuestas recibidas </w:t>
      </w:r>
      <w:r w:rsidRPr="00B618D5">
        <w:rPr>
          <w:rFonts w:asciiTheme="minorHAnsi" w:eastAsiaTheme="minorHAnsi" w:hAnsiTheme="minorHAnsi" w:cstheme="minorHAnsi"/>
          <w:bCs/>
          <w:lang w:val="es-ES_tradnl"/>
        </w:rPr>
        <w:t>y designará a un sustituto tan pronto como sea posible.</w:t>
      </w:r>
    </w:p>
    <w:p w14:paraId="7EDAB73F" w14:textId="77777777" w:rsidR="00B906A8" w:rsidRPr="00B618D5" w:rsidRDefault="00B906A8" w:rsidP="009C04A9">
      <w:pPr>
        <w:rPr>
          <w:rFonts w:asciiTheme="minorHAnsi" w:eastAsiaTheme="minorHAnsi" w:hAnsiTheme="minorHAnsi" w:cstheme="minorHAnsi"/>
          <w:bCs/>
          <w:sz w:val="22"/>
          <w:szCs w:val="22"/>
          <w:lang w:val="es-ES_tradnl"/>
        </w:rPr>
      </w:pPr>
    </w:p>
    <w:p w14:paraId="27B4F8C1"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Los candidatos para ser designados como miembros del GECT deberán reunir las siguientes condiciones:</w:t>
      </w:r>
    </w:p>
    <w:p w14:paraId="64B7CA2B" w14:textId="77777777" w:rsidR="00B906A8" w:rsidRPr="00B618D5" w:rsidRDefault="00B906A8" w:rsidP="009C04A9">
      <w:pPr>
        <w:autoSpaceDE w:val="0"/>
        <w:autoSpaceDN w:val="0"/>
        <w:adjustRightInd w:val="0"/>
        <w:rPr>
          <w:rFonts w:asciiTheme="minorHAnsi" w:hAnsiTheme="minorHAnsi" w:cs="Garamond"/>
          <w:sz w:val="22"/>
          <w:szCs w:val="22"/>
          <w:lang w:val="es-ES_tradnl"/>
        </w:rPr>
      </w:pPr>
    </w:p>
    <w:p w14:paraId="79D3CD74" w14:textId="77777777" w:rsidR="00B906A8" w:rsidRPr="00B618D5" w:rsidRDefault="00B906A8" w:rsidP="009C04A9">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lang w:val="es-ES_tradnl"/>
        </w:rPr>
      </w:pPr>
      <w:r w:rsidRPr="00B618D5">
        <w:rPr>
          <w:rFonts w:asciiTheme="minorHAnsi" w:eastAsiaTheme="minorHAnsi" w:hAnsiTheme="minorHAnsi" w:cs="Garamond"/>
          <w:lang w:val="es-ES_tradnl"/>
        </w:rPr>
        <w:t>capacidad y experiencia de trabajo con expertos en conservación y uso racional de los humedales a escala local, nacional e internacional, incluidos los Coordinadores Nacionales del GECT cuando proceda;</w:t>
      </w:r>
    </w:p>
    <w:p w14:paraId="4D7DC251" w14:textId="77777777" w:rsidR="00B906A8" w:rsidRPr="00B618D5" w:rsidRDefault="00B906A8" w:rsidP="009C04A9">
      <w:pPr>
        <w:pStyle w:val="ListParagraph"/>
        <w:autoSpaceDE w:val="0"/>
        <w:autoSpaceDN w:val="0"/>
        <w:adjustRightInd w:val="0"/>
        <w:spacing w:after="0" w:line="240" w:lineRule="auto"/>
        <w:ind w:left="851"/>
        <w:contextualSpacing w:val="0"/>
        <w:rPr>
          <w:rFonts w:asciiTheme="minorHAnsi" w:eastAsiaTheme="minorHAnsi" w:hAnsiTheme="minorHAnsi" w:cs="Garamond"/>
          <w:lang w:val="es-ES_tradnl"/>
        </w:rPr>
      </w:pPr>
    </w:p>
    <w:p w14:paraId="6C947BE8" w14:textId="77777777" w:rsidR="00B906A8" w:rsidRPr="00B618D5" w:rsidRDefault="00B906A8" w:rsidP="009C04A9">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lang w:val="es-ES_tradnl"/>
        </w:rPr>
      </w:pPr>
      <w:r w:rsidRPr="00B618D5">
        <w:rPr>
          <w:rFonts w:asciiTheme="minorHAnsi" w:eastAsiaTheme="minorHAnsi" w:hAnsiTheme="minorHAnsi" w:cs="Garamond"/>
          <w:lang w:val="es-ES_tradnl"/>
        </w:rPr>
        <w:t>experiencia y competencia técnica reconocidas en uno o más aspectos de la conservación y el uso racional de los humedales, particularmente los que sean relevantes para las prioridades identificadas para la labor venidera del Grupo;</w:t>
      </w:r>
    </w:p>
    <w:p w14:paraId="1762755C" w14:textId="77777777" w:rsidR="00B906A8" w:rsidRPr="00B618D5" w:rsidRDefault="00B906A8" w:rsidP="009C04A9">
      <w:pPr>
        <w:pStyle w:val="ListParagraph"/>
        <w:autoSpaceDE w:val="0"/>
        <w:autoSpaceDN w:val="0"/>
        <w:adjustRightInd w:val="0"/>
        <w:spacing w:after="0" w:line="240" w:lineRule="auto"/>
        <w:ind w:left="851"/>
        <w:contextualSpacing w:val="0"/>
        <w:rPr>
          <w:rFonts w:asciiTheme="minorHAnsi" w:eastAsiaTheme="minorHAnsi" w:hAnsiTheme="minorHAnsi" w:cs="Garamond"/>
          <w:lang w:val="es-ES_tradnl"/>
        </w:rPr>
      </w:pPr>
    </w:p>
    <w:p w14:paraId="373D0A7D" w14:textId="77777777" w:rsidR="00B906A8" w:rsidRPr="00B618D5" w:rsidRDefault="00B906A8" w:rsidP="009C04A9">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lang w:val="es-ES_tradnl"/>
        </w:rPr>
      </w:pPr>
      <w:r w:rsidRPr="00B618D5">
        <w:rPr>
          <w:rFonts w:asciiTheme="minorHAnsi" w:eastAsiaTheme="minorHAnsi" w:hAnsiTheme="minorHAnsi" w:cs="Garamond"/>
          <w:lang w:val="es-ES_tradnl"/>
        </w:rPr>
        <w:t>pleno acceso al correo electrónico y a los sistemas basados en Internet que utilizará el Grupo;</w:t>
      </w:r>
    </w:p>
    <w:p w14:paraId="3BC81C80" w14:textId="77777777" w:rsidR="00B906A8" w:rsidRPr="00B618D5" w:rsidRDefault="00B906A8" w:rsidP="009C04A9">
      <w:pPr>
        <w:pStyle w:val="ListParagraph"/>
        <w:autoSpaceDE w:val="0"/>
        <w:autoSpaceDN w:val="0"/>
        <w:adjustRightInd w:val="0"/>
        <w:spacing w:after="0" w:line="240" w:lineRule="auto"/>
        <w:ind w:left="851"/>
        <w:contextualSpacing w:val="0"/>
        <w:rPr>
          <w:rFonts w:asciiTheme="minorHAnsi" w:eastAsiaTheme="minorHAnsi" w:hAnsiTheme="minorHAnsi" w:cs="Garamond"/>
          <w:lang w:val="es-ES_tradnl"/>
        </w:rPr>
      </w:pPr>
    </w:p>
    <w:p w14:paraId="06FA3218" w14:textId="7A34D0CD" w:rsidR="00B906A8" w:rsidRPr="00B618D5" w:rsidRDefault="00B906A8" w:rsidP="009C04A9">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lang w:val="es-ES_tradnl"/>
        </w:rPr>
      </w:pPr>
      <w:r w:rsidRPr="00B618D5">
        <w:rPr>
          <w:rFonts w:asciiTheme="minorHAnsi" w:eastAsiaTheme="minorHAnsi" w:hAnsiTheme="minorHAnsi" w:cs="Garamond"/>
          <w:lang w:val="es-ES_tradnl"/>
        </w:rPr>
        <w:t>excelente comprensión de</w:t>
      </w:r>
      <w:r w:rsidR="0019742B" w:rsidRPr="00B618D5">
        <w:rPr>
          <w:rFonts w:asciiTheme="minorHAnsi" w:eastAsiaTheme="minorHAnsi" w:hAnsiTheme="minorHAnsi" w:cs="Garamond"/>
          <w:lang w:val="es-ES_tradnl"/>
        </w:rPr>
        <w:t xml:space="preserve"> al menos uno de los tres idiomas de trabajo de la Convención</w:t>
      </w:r>
      <w:r w:rsidRPr="00B618D5">
        <w:rPr>
          <w:rFonts w:asciiTheme="minorHAnsi" w:eastAsiaTheme="minorHAnsi" w:hAnsiTheme="minorHAnsi" w:cs="Garamond"/>
          <w:lang w:val="es-ES_tradnl"/>
        </w:rPr>
        <w:t>; y</w:t>
      </w:r>
    </w:p>
    <w:p w14:paraId="47608328" w14:textId="77777777" w:rsidR="00B906A8" w:rsidRPr="00B618D5" w:rsidRDefault="00B906A8" w:rsidP="009C04A9">
      <w:pPr>
        <w:pStyle w:val="ListParagraph"/>
        <w:autoSpaceDE w:val="0"/>
        <w:autoSpaceDN w:val="0"/>
        <w:adjustRightInd w:val="0"/>
        <w:spacing w:after="0" w:line="240" w:lineRule="auto"/>
        <w:ind w:left="851"/>
        <w:contextualSpacing w:val="0"/>
        <w:rPr>
          <w:rFonts w:asciiTheme="minorHAnsi" w:eastAsiaTheme="minorHAnsi" w:hAnsiTheme="minorHAnsi" w:cs="Garamond"/>
          <w:lang w:val="es-ES_tradnl"/>
        </w:rPr>
      </w:pPr>
    </w:p>
    <w:p w14:paraId="5C947776" w14:textId="77777777" w:rsidR="00B906A8" w:rsidRPr="00B618D5" w:rsidRDefault="00B906A8" w:rsidP="009C04A9">
      <w:pPr>
        <w:pStyle w:val="ListParagraph"/>
        <w:numPr>
          <w:ilvl w:val="0"/>
          <w:numId w:val="19"/>
        </w:numPr>
        <w:autoSpaceDE w:val="0"/>
        <w:autoSpaceDN w:val="0"/>
        <w:adjustRightInd w:val="0"/>
        <w:spacing w:after="0" w:line="240" w:lineRule="auto"/>
        <w:ind w:left="851" w:hanging="425"/>
        <w:contextualSpacing w:val="0"/>
        <w:rPr>
          <w:rFonts w:asciiTheme="minorHAnsi" w:eastAsiaTheme="minorHAnsi" w:hAnsiTheme="minorHAnsi" w:cs="Garamond"/>
          <w:lang w:val="es-ES_tradnl"/>
        </w:rPr>
      </w:pPr>
      <w:r w:rsidRPr="00B618D5">
        <w:rPr>
          <w:rFonts w:asciiTheme="minorHAnsi" w:eastAsiaTheme="minorHAnsi" w:hAnsiTheme="minorHAnsi" w:cs="Garamond"/>
          <w:lang w:val="es-ES_tradnl"/>
        </w:rPr>
        <w:t>compromiso de realizar la labor del Grupo y de sus grupos de trabajo con el apoyo, cuando corresponda, de su organización, que le permita realizar el trabajo que se espera de los miembros del Grupo de forma voluntaria.</w:t>
      </w:r>
    </w:p>
    <w:p w14:paraId="46B7D337" w14:textId="77777777" w:rsidR="008119D2" w:rsidRPr="00B618D5" w:rsidRDefault="008119D2" w:rsidP="009C04A9">
      <w:pPr>
        <w:rPr>
          <w:rFonts w:asciiTheme="minorHAnsi" w:eastAsiaTheme="minorHAnsi" w:hAnsiTheme="minorHAnsi" w:cstheme="minorHAnsi"/>
          <w:b/>
          <w:sz w:val="22"/>
          <w:szCs w:val="22"/>
          <w:lang w:val="es-ES_tradnl" w:eastAsia="en-US"/>
        </w:rPr>
      </w:pPr>
    </w:p>
    <w:p w14:paraId="152ECDA9" w14:textId="77777777" w:rsidR="00B906A8" w:rsidRPr="00B618D5" w:rsidRDefault="00B906A8" w:rsidP="009C04A9">
      <w:pPr>
        <w:rPr>
          <w:rFonts w:asciiTheme="minorHAnsi" w:eastAsiaTheme="minorHAnsi" w:hAnsiTheme="minorHAnsi" w:cstheme="minorHAnsi"/>
          <w:b/>
          <w:sz w:val="22"/>
          <w:szCs w:val="22"/>
          <w:lang w:val="es-ES_tradnl" w:eastAsia="en-US"/>
        </w:rPr>
      </w:pPr>
      <w:r w:rsidRPr="00B618D5">
        <w:rPr>
          <w:rFonts w:asciiTheme="minorHAnsi" w:eastAsiaTheme="minorHAnsi" w:hAnsiTheme="minorHAnsi" w:cstheme="minorHAnsi"/>
          <w:b/>
          <w:sz w:val="22"/>
          <w:szCs w:val="22"/>
          <w:lang w:val="es-ES_tradnl" w:eastAsia="en-US"/>
        </w:rPr>
        <w:t>Duración del mandato de los miembros del Grupo</w:t>
      </w:r>
    </w:p>
    <w:p w14:paraId="3F94765B" w14:textId="77777777" w:rsidR="00B906A8" w:rsidRPr="00B618D5" w:rsidRDefault="00B906A8" w:rsidP="009C04A9">
      <w:pPr>
        <w:rPr>
          <w:rFonts w:asciiTheme="minorHAnsi" w:eastAsiaTheme="minorHAnsi" w:hAnsiTheme="minorHAnsi" w:cstheme="minorHAnsi"/>
          <w:sz w:val="22"/>
          <w:szCs w:val="22"/>
          <w:lang w:val="es-ES_tradnl" w:eastAsia="en-US"/>
        </w:rPr>
      </w:pPr>
    </w:p>
    <w:p w14:paraId="474B985F" w14:textId="1EF2B1F6" w:rsidR="0003470D" w:rsidRPr="00B618D5" w:rsidRDefault="00AB4D9A"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A partir del trienio 2014-2018, </w:t>
      </w:r>
      <w:r w:rsidR="0003470D" w:rsidRPr="00B618D5">
        <w:rPr>
          <w:rFonts w:asciiTheme="minorHAnsi" w:eastAsiaTheme="minorHAnsi" w:hAnsiTheme="minorHAnsi" w:cstheme="minorHAnsi"/>
          <w:bCs/>
          <w:lang w:val="es-ES_tradnl"/>
        </w:rPr>
        <w:t xml:space="preserve">el mandato de los miembros del Grupo no durará más de un trienio, con la posibilidad de ser reelegidos para un segundo mandato, para permitir una rotación en la composición del Grupo. No obstante, los expertos cuya experiencia se considere pertinente para las tareas del GECT podrían ser reelegidos para un tercer mandato. La duración máxima del mandato de cualquier miembro, incluidos el Presidente y el Vicepresidente, será de </w:t>
      </w:r>
      <w:r w:rsidR="006D531C" w:rsidRPr="00B618D5">
        <w:rPr>
          <w:rFonts w:asciiTheme="minorHAnsi" w:eastAsiaTheme="minorHAnsi" w:hAnsiTheme="minorHAnsi" w:cstheme="minorHAnsi"/>
          <w:bCs/>
          <w:lang w:val="es-ES_tradnl"/>
        </w:rPr>
        <w:t xml:space="preserve">tres </w:t>
      </w:r>
      <w:r w:rsidR="0003470D" w:rsidRPr="00B618D5">
        <w:rPr>
          <w:rFonts w:asciiTheme="minorHAnsi" w:eastAsiaTheme="minorHAnsi" w:hAnsiTheme="minorHAnsi" w:cstheme="minorHAnsi"/>
          <w:bCs/>
          <w:lang w:val="es-ES_tradnl"/>
        </w:rPr>
        <w:t>trienios (</w:t>
      </w:r>
      <w:r w:rsidR="006D531C" w:rsidRPr="00B618D5">
        <w:rPr>
          <w:rFonts w:asciiTheme="minorHAnsi" w:eastAsiaTheme="minorHAnsi" w:hAnsiTheme="minorHAnsi" w:cstheme="minorHAnsi"/>
          <w:bCs/>
          <w:lang w:val="es-ES_tradnl"/>
        </w:rPr>
        <w:t xml:space="preserve">nueve </w:t>
      </w:r>
      <w:r w:rsidR="0003470D" w:rsidRPr="00B618D5">
        <w:rPr>
          <w:rFonts w:asciiTheme="minorHAnsi" w:eastAsiaTheme="minorHAnsi" w:hAnsiTheme="minorHAnsi" w:cstheme="minorHAnsi"/>
          <w:bCs/>
          <w:lang w:val="es-ES_tradnl"/>
        </w:rPr>
        <w:t>años</w:t>
      </w:r>
      <w:r w:rsidR="006D531C" w:rsidRPr="00B618D5">
        <w:rPr>
          <w:rFonts w:asciiTheme="minorHAnsi" w:eastAsiaTheme="minorHAnsi" w:hAnsiTheme="minorHAnsi" w:cstheme="minorHAnsi"/>
          <w:bCs/>
          <w:lang w:val="es-ES_tradnl"/>
        </w:rPr>
        <w:t>)</w:t>
      </w:r>
      <w:r w:rsidR="00905E26" w:rsidRPr="00B618D5">
        <w:rPr>
          <w:rFonts w:asciiTheme="minorHAnsi" w:eastAsiaTheme="minorHAnsi" w:hAnsiTheme="minorHAnsi" w:cstheme="minorHAnsi"/>
          <w:bCs/>
          <w:lang w:val="es-ES_tradnl"/>
        </w:rPr>
        <w:t>.</w:t>
      </w:r>
    </w:p>
    <w:p w14:paraId="6F4AF628" w14:textId="77777777" w:rsidR="0003470D" w:rsidRPr="00B618D5" w:rsidRDefault="0003470D" w:rsidP="009C04A9">
      <w:pPr>
        <w:pStyle w:val="ListParagraph"/>
        <w:spacing w:after="0" w:line="240" w:lineRule="auto"/>
        <w:ind w:left="426"/>
        <w:contextualSpacing w:val="0"/>
        <w:rPr>
          <w:rFonts w:asciiTheme="minorHAnsi" w:eastAsiaTheme="minorHAnsi" w:hAnsiTheme="minorHAnsi" w:cstheme="minorHAnsi"/>
          <w:bCs/>
          <w:lang w:val="es-ES_tradnl"/>
        </w:rPr>
      </w:pPr>
    </w:p>
    <w:p w14:paraId="4DEB2934" w14:textId="4BCE2DC6"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En cada trienio,</w:t>
      </w:r>
      <w:r w:rsidR="00905E26" w:rsidRPr="00B618D5">
        <w:rPr>
          <w:rFonts w:asciiTheme="minorHAnsi" w:eastAsiaTheme="minorHAnsi" w:hAnsiTheme="minorHAnsi" w:cstheme="minorHAnsi"/>
          <w:bCs/>
          <w:lang w:val="es-ES_tradnl"/>
        </w:rPr>
        <w:t xml:space="preserve"> siempre que sea posible,</w:t>
      </w:r>
      <w:r w:rsidRPr="00B618D5">
        <w:rPr>
          <w:rFonts w:asciiTheme="minorHAnsi" w:eastAsiaTheme="minorHAnsi" w:hAnsiTheme="minorHAnsi" w:cstheme="minorHAnsi"/>
          <w:bCs/>
          <w:lang w:val="es-ES_tradnl"/>
        </w:rPr>
        <w:t xml:space="preserve"> permanecerán en el GECT </w:t>
      </w:r>
      <w:r w:rsidR="006D531C" w:rsidRPr="00B618D5">
        <w:rPr>
          <w:rFonts w:asciiTheme="minorHAnsi" w:eastAsiaTheme="minorHAnsi" w:hAnsiTheme="minorHAnsi" w:cstheme="minorHAnsi"/>
          <w:bCs/>
          <w:lang w:val="es-ES_tradnl"/>
        </w:rPr>
        <w:t>al menos seis</w:t>
      </w:r>
      <w:r w:rsidRPr="00B618D5">
        <w:rPr>
          <w:rFonts w:asciiTheme="minorHAnsi" w:eastAsiaTheme="minorHAnsi" w:hAnsiTheme="minorHAnsi" w:cstheme="minorHAnsi"/>
          <w:bCs/>
          <w:lang w:val="es-ES_tradnl"/>
        </w:rPr>
        <w:t xml:space="preserve"> miembros del Grupo saliente para garantizar la continuidad. En cada ocasión, el Presidente y el Vicepresidente del GECT y la Secretaría propondrán</w:t>
      </w:r>
      <w:r w:rsidR="006D531C" w:rsidRPr="00B618D5">
        <w:rPr>
          <w:rFonts w:asciiTheme="minorHAnsi" w:eastAsiaTheme="minorHAnsi" w:hAnsiTheme="minorHAnsi" w:cstheme="minorHAnsi"/>
          <w:bCs/>
          <w:lang w:val="es-ES_tradnl"/>
        </w:rPr>
        <w:t xml:space="preserve"> </w:t>
      </w:r>
      <w:r w:rsidR="00AF3415" w:rsidRPr="00B618D5">
        <w:rPr>
          <w:rFonts w:asciiTheme="minorHAnsi" w:eastAsiaTheme="minorHAnsi" w:hAnsiTheme="minorHAnsi" w:cstheme="minorHAnsi"/>
          <w:bCs/>
          <w:lang w:val="es-ES_tradnl"/>
        </w:rPr>
        <w:t xml:space="preserve">a </w:t>
      </w:r>
      <w:r w:rsidRPr="00B618D5">
        <w:rPr>
          <w:rFonts w:asciiTheme="minorHAnsi" w:eastAsiaTheme="minorHAnsi" w:hAnsiTheme="minorHAnsi" w:cstheme="minorHAnsi"/>
          <w:bCs/>
          <w:lang w:val="es-ES_tradnl"/>
        </w:rPr>
        <w:t>miembros del GECT para ser designados de nuevo,</w:t>
      </w:r>
      <w:r w:rsidR="006D531C" w:rsidRPr="00B618D5">
        <w:rPr>
          <w:rFonts w:asciiTheme="minorHAnsi" w:eastAsiaTheme="minorHAnsi" w:hAnsiTheme="minorHAnsi" w:cstheme="minorHAnsi"/>
          <w:bCs/>
          <w:lang w:val="es-ES_tradnl"/>
        </w:rPr>
        <w:t xml:space="preserve"> principalmente sobre la base de las áreas de trabajo</w:t>
      </w:r>
      <w:r w:rsidR="00331640" w:rsidRPr="00B618D5">
        <w:rPr>
          <w:rFonts w:asciiTheme="minorHAnsi" w:eastAsiaTheme="minorHAnsi" w:hAnsiTheme="minorHAnsi" w:cstheme="minorHAnsi"/>
          <w:bCs/>
          <w:lang w:val="es-ES_tradnl"/>
        </w:rPr>
        <w:t xml:space="preserve"> temáticas</w:t>
      </w:r>
      <w:r w:rsidR="006D531C" w:rsidRPr="00B618D5">
        <w:rPr>
          <w:rFonts w:asciiTheme="minorHAnsi" w:eastAsiaTheme="minorHAnsi" w:hAnsiTheme="minorHAnsi" w:cstheme="minorHAnsi"/>
          <w:bCs/>
          <w:lang w:val="es-ES_tradnl"/>
        </w:rPr>
        <w:t xml:space="preserve"> prioritarias,</w:t>
      </w:r>
      <w:r w:rsidRPr="00B618D5">
        <w:rPr>
          <w:rFonts w:asciiTheme="minorHAnsi" w:eastAsiaTheme="minorHAnsi" w:hAnsiTheme="minorHAnsi" w:cstheme="minorHAnsi"/>
          <w:bCs/>
          <w:lang w:val="es-ES_tradnl"/>
        </w:rPr>
        <w:t xml:space="preserve"> para su aprobación por el Grupo de Trabajo Administrativo del Comité Permanente.</w:t>
      </w:r>
    </w:p>
    <w:p w14:paraId="519894F8"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6597C934"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Los miembros propuestos para ser designados nuevamente deberán haber demostrado su capacidad de contribuir de manera efectiva a la labor del Grupo y confirmar su voluntad de ser designados de nuevo.</w:t>
      </w:r>
    </w:p>
    <w:p w14:paraId="0B0ECB4D" w14:textId="77777777" w:rsidR="00B906A8" w:rsidRPr="00B618D5" w:rsidRDefault="00B906A8" w:rsidP="009C04A9">
      <w:pPr>
        <w:ind w:left="360"/>
        <w:rPr>
          <w:rFonts w:asciiTheme="minorHAnsi" w:hAnsiTheme="minorHAnsi" w:cstheme="minorHAnsi"/>
          <w:lang w:val="es-ES_tradnl"/>
        </w:rPr>
      </w:pPr>
    </w:p>
    <w:p w14:paraId="519A02AB" w14:textId="77777777" w:rsidR="00B906A8" w:rsidRPr="00B618D5" w:rsidRDefault="00B906A8" w:rsidP="009C04A9">
      <w:pPr>
        <w:rPr>
          <w:rFonts w:asciiTheme="minorHAnsi" w:eastAsiaTheme="minorHAnsi" w:hAnsiTheme="minorHAnsi" w:cstheme="minorHAnsi"/>
          <w:b/>
          <w:sz w:val="22"/>
          <w:szCs w:val="22"/>
          <w:lang w:val="es-ES_tradnl" w:eastAsia="en-US"/>
        </w:rPr>
      </w:pPr>
      <w:r w:rsidRPr="00B618D5">
        <w:rPr>
          <w:rFonts w:asciiTheme="minorHAnsi" w:eastAsiaTheme="minorHAnsi" w:hAnsiTheme="minorHAnsi" w:cstheme="minorHAnsi"/>
          <w:b/>
          <w:sz w:val="22"/>
          <w:szCs w:val="22"/>
          <w:lang w:val="es-ES_tradnl" w:eastAsia="en-US"/>
        </w:rPr>
        <w:t>Funcionamiento del GECT</w:t>
      </w:r>
    </w:p>
    <w:p w14:paraId="1C652EB8" w14:textId="77777777" w:rsidR="00B906A8" w:rsidRPr="00B618D5" w:rsidRDefault="00B906A8" w:rsidP="009C04A9">
      <w:pPr>
        <w:rPr>
          <w:rFonts w:asciiTheme="minorHAnsi" w:eastAsiaTheme="minorHAnsi" w:hAnsiTheme="minorHAnsi" w:cstheme="minorHAnsi"/>
          <w:sz w:val="22"/>
          <w:szCs w:val="22"/>
          <w:lang w:val="es-ES_tradnl" w:eastAsia="en-US"/>
        </w:rPr>
      </w:pPr>
    </w:p>
    <w:p w14:paraId="70BDFF17"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El GECT desarrollará relaciones de colaboración con las Organizaciones Internacionales Asociadas, expertos temáticos y organizaciones regionales pertinentes para sus áreas de trabajo prioritarias y, cuando sea posible, directamente con los gestores y usuarios de los humedales.</w:t>
      </w:r>
    </w:p>
    <w:p w14:paraId="43F002AD"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69A38149" w14:textId="26B41AAD"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El GECT y el equipo de comunicaciones de la Secretaría trabajarán también con las Autoridades Administrativas y los Coordinadores Nacionales de CECoP, con las OIA y otros órganos para crear una red de </w:t>
      </w:r>
      <w:r w:rsidR="001C2429">
        <w:rPr>
          <w:rFonts w:asciiTheme="minorHAnsi" w:eastAsiaTheme="minorHAnsi" w:hAnsiTheme="minorHAnsi" w:cstheme="minorHAnsi"/>
          <w:bCs/>
          <w:lang w:val="es-ES_tradnl"/>
        </w:rPr>
        <w:t>implementadores</w:t>
      </w:r>
      <w:r w:rsidRPr="00B618D5">
        <w:rPr>
          <w:rFonts w:asciiTheme="minorHAnsi" w:eastAsiaTheme="minorHAnsi" w:hAnsiTheme="minorHAnsi" w:cstheme="minorHAnsi"/>
          <w:bCs/>
          <w:lang w:val="es-ES_tradnl"/>
        </w:rPr>
        <w:t xml:space="preserve"> y usuarios de los humedales, y la Secretaría mantendrá contactos periódicos con ellos.</w:t>
      </w:r>
    </w:p>
    <w:p w14:paraId="40A3B093"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62B9D62F"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El GECT se reunirá físicamente cada año para examinar los avances en las tareas identificadas, para estudiar cuestiones emergentes urgentes y, en el año previo a una COP, para deliberar sobre las áreas de trabajo que se recomendarán a la Conferencia de las Partes para su consideración para el siguiente trienio.</w:t>
      </w:r>
    </w:p>
    <w:p w14:paraId="0E5AC0AA"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4A9DE956"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Los miembros designados para el GECT establecerán, cuando proceda y con la ayuda de la Secretaría, grupos de trabajo al comienzo de cada trienio y actuarán como responsables (jefes) o corresponsables de </w:t>
      </w:r>
      <w:r w:rsidR="00EB5261" w:rsidRPr="00B618D5">
        <w:rPr>
          <w:rFonts w:asciiTheme="minorHAnsi" w:eastAsiaTheme="minorHAnsi" w:hAnsiTheme="minorHAnsi" w:cstheme="minorHAnsi"/>
          <w:bCs/>
          <w:lang w:val="es-ES_tradnl"/>
        </w:rPr>
        <w:t>est</w:t>
      </w:r>
      <w:r w:rsidRPr="00B618D5">
        <w:rPr>
          <w:rFonts w:asciiTheme="minorHAnsi" w:eastAsiaTheme="minorHAnsi" w:hAnsiTheme="minorHAnsi" w:cstheme="minorHAnsi"/>
          <w:bCs/>
          <w:lang w:val="es-ES_tradnl"/>
        </w:rPr>
        <w:t>os según hayan sido designados por el Presidente del GECT.</w:t>
      </w:r>
    </w:p>
    <w:p w14:paraId="270D6F32"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496F9AAB" w14:textId="50888960"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lang w:val="es-ES_tradnl"/>
        </w:rPr>
      </w:pPr>
      <w:r w:rsidRPr="00B618D5">
        <w:rPr>
          <w:rFonts w:asciiTheme="minorHAnsi" w:eastAsiaTheme="minorHAnsi" w:hAnsiTheme="minorHAnsi" w:cstheme="minorHAnsi"/>
          <w:bCs/>
          <w:lang w:val="es-ES_tradnl"/>
        </w:rPr>
        <w:t xml:space="preserve">Las reuniones del GECT tendrán lugar en los tres idiomas </w:t>
      </w:r>
      <w:r w:rsidR="008119D2" w:rsidRPr="00B618D5">
        <w:rPr>
          <w:rFonts w:asciiTheme="minorHAnsi" w:eastAsiaTheme="minorHAnsi" w:hAnsiTheme="minorHAnsi" w:cstheme="minorHAnsi"/>
          <w:bCs/>
          <w:lang w:val="es-ES_tradnl"/>
        </w:rPr>
        <w:t xml:space="preserve">oficiales </w:t>
      </w:r>
      <w:r w:rsidRPr="00B618D5">
        <w:rPr>
          <w:rFonts w:asciiTheme="minorHAnsi" w:eastAsiaTheme="minorHAnsi" w:hAnsiTheme="minorHAnsi" w:cstheme="minorHAnsi"/>
          <w:bCs/>
          <w:lang w:val="es-ES_tradnl"/>
        </w:rPr>
        <w:t>de la Convención. Los documentos para las reuniones se proporcionarán en los idiomas de la Convención, con sujeción a la disponibilidad de recursos.</w:t>
      </w:r>
    </w:p>
    <w:p w14:paraId="2628E198" w14:textId="77777777" w:rsidR="00445C52" w:rsidRPr="00B618D5" w:rsidRDefault="00445C52" w:rsidP="009C04A9">
      <w:pPr>
        <w:pStyle w:val="ListParagraph"/>
        <w:spacing w:after="0" w:line="240" w:lineRule="auto"/>
        <w:ind w:left="426"/>
        <w:contextualSpacing w:val="0"/>
        <w:rPr>
          <w:rFonts w:asciiTheme="minorHAnsi" w:eastAsiaTheme="minorHAnsi" w:hAnsiTheme="minorHAnsi" w:cstheme="minorHAnsi"/>
          <w:bCs/>
          <w:lang w:val="es-ES_tradnl"/>
        </w:rPr>
      </w:pPr>
    </w:p>
    <w:p w14:paraId="1A00DAA0" w14:textId="77777777" w:rsidR="00445C52" w:rsidRPr="00B618D5" w:rsidRDefault="00445C52" w:rsidP="009C04A9">
      <w:pPr>
        <w:pStyle w:val="ListParagraph"/>
        <w:spacing w:after="0" w:line="240" w:lineRule="auto"/>
        <w:ind w:left="426"/>
        <w:contextualSpacing w:val="0"/>
        <w:rPr>
          <w:rFonts w:asciiTheme="minorHAnsi" w:eastAsiaTheme="minorHAnsi" w:hAnsiTheme="minorHAnsi" w:cstheme="minorHAnsi"/>
          <w:lang w:val="es-ES_tradnl"/>
        </w:rPr>
      </w:pPr>
    </w:p>
    <w:p w14:paraId="598D733A" w14:textId="77777777" w:rsidR="00B906A8" w:rsidRPr="00B618D5" w:rsidRDefault="00B906A8" w:rsidP="009C04A9">
      <w:pPr>
        <w:ind w:left="-142"/>
        <w:rPr>
          <w:rFonts w:asciiTheme="minorHAnsi" w:hAnsiTheme="minorHAnsi" w:cstheme="minorHAnsi"/>
          <w:b/>
          <w:sz w:val="22"/>
          <w:szCs w:val="22"/>
          <w:lang w:val="es-ES_tradnl"/>
        </w:rPr>
      </w:pPr>
    </w:p>
    <w:p w14:paraId="228A617F" w14:textId="77777777" w:rsidR="00B906A8" w:rsidRPr="00B618D5" w:rsidRDefault="00B906A8" w:rsidP="009C04A9">
      <w:pPr>
        <w:ind w:left="-142"/>
        <w:rPr>
          <w:rFonts w:asciiTheme="minorHAnsi" w:hAnsiTheme="minorHAnsi" w:cstheme="minorHAnsi"/>
          <w:b/>
          <w:bCs/>
          <w:sz w:val="22"/>
          <w:szCs w:val="22"/>
          <w:lang w:val="es-ES_tradnl"/>
        </w:rPr>
      </w:pPr>
      <w:r w:rsidRPr="00B618D5">
        <w:rPr>
          <w:rFonts w:asciiTheme="minorHAnsi" w:hAnsiTheme="minorHAnsi" w:cstheme="minorHAnsi"/>
          <w:b/>
          <w:sz w:val="22"/>
          <w:szCs w:val="22"/>
          <w:lang w:val="es-ES_tradnl"/>
        </w:rPr>
        <w:t>El ciclo de trabajo trienal del GECT</w:t>
      </w:r>
    </w:p>
    <w:p w14:paraId="31CB0E6B" w14:textId="77777777" w:rsidR="00B906A8" w:rsidRPr="00B618D5" w:rsidRDefault="00B906A8" w:rsidP="009C04A9">
      <w:pPr>
        <w:rPr>
          <w:rFonts w:asciiTheme="minorHAnsi" w:hAnsiTheme="minorHAnsi" w:cstheme="minorHAnsi"/>
          <w:sz w:val="22"/>
          <w:szCs w:val="22"/>
          <w:lang w:val="es-ES_tradnl"/>
        </w:rPr>
      </w:pPr>
    </w:p>
    <w:p w14:paraId="55F4EB12"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El ciclo de trabajo trienal del GECT consta de seis etapas. Cada una de </w:t>
      </w:r>
      <w:r w:rsidR="00EB5261" w:rsidRPr="00B618D5">
        <w:rPr>
          <w:rFonts w:asciiTheme="minorHAnsi" w:eastAsiaTheme="minorHAnsi" w:hAnsiTheme="minorHAnsi" w:cstheme="minorHAnsi"/>
          <w:bCs/>
          <w:lang w:val="es-ES_tradnl"/>
        </w:rPr>
        <w:t>est</w:t>
      </w:r>
      <w:r w:rsidRPr="00B618D5">
        <w:rPr>
          <w:rFonts w:asciiTheme="minorHAnsi" w:eastAsiaTheme="minorHAnsi" w:hAnsiTheme="minorHAnsi" w:cstheme="minorHAnsi"/>
          <w:bCs/>
          <w:lang w:val="es-ES_tradnl"/>
        </w:rPr>
        <w:t>as tiene metas concretas que se deben cumplir para que el GECT pueda pasar a la siguiente etapa.</w:t>
      </w:r>
    </w:p>
    <w:p w14:paraId="2FEB0754" w14:textId="77777777" w:rsidR="00B906A8" w:rsidRPr="00B618D5" w:rsidRDefault="00B906A8" w:rsidP="009C04A9">
      <w:pPr>
        <w:rPr>
          <w:rFonts w:asciiTheme="minorHAnsi" w:hAnsiTheme="minorHAnsi" w:cstheme="minorHAnsi"/>
          <w:sz w:val="22"/>
          <w:szCs w:val="22"/>
          <w:lang w:val="es-ES_tradnl"/>
        </w:rPr>
      </w:pPr>
    </w:p>
    <w:p w14:paraId="6684E9AB" w14:textId="77777777" w:rsidR="00B906A8" w:rsidRPr="00B618D5" w:rsidRDefault="00B906A8" w:rsidP="009C04A9">
      <w:pPr>
        <w:ind w:left="-142" w:firstLine="568"/>
        <w:rPr>
          <w:rFonts w:asciiTheme="minorHAnsi" w:hAnsiTheme="minorHAnsi" w:cstheme="minorHAnsi"/>
          <w:b/>
          <w:sz w:val="22"/>
          <w:szCs w:val="22"/>
          <w:lang w:val="es-ES_tradnl"/>
        </w:rPr>
      </w:pPr>
      <w:r w:rsidRPr="00B618D5">
        <w:rPr>
          <w:rFonts w:asciiTheme="minorHAnsi" w:hAnsiTheme="minorHAnsi" w:cstheme="minorHAnsi"/>
          <w:b/>
          <w:sz w:val="22"/>
          <w:szCs w:val="22"/>
          <w:lang w:val="es-ES_tradnl"/>
        </w:rPr>
        <w:t>1ª Etapa: Establecimiento de prioridades para el siguiente trienio</w:t>
      </w:r>
    </w:p>
    <w:p w14:paraId="14054241"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El GECT presentará un informe a la última reunión plenaria del Comité Permanente antes de cada COP sobre el estado de las cuestiones tratadas durante el trienio, incluyendo todas las tareas acordadas por las Partes Contratantes en reuniones anteriores de la COP.</w:t>
      </w:r>
    </w:p>
    <w:p w14:paraId="28CB7821"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20CC4C87"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El GECT propondrá la manera en que completará cualquier tarea pendiente o propondrá soluciones alternativas en caso necesario.</w:t>
      </w:r>
    </w:p>
    <w:p w14:paraId="58A095E8"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23A3CE55" w14:textId="1002FB3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El GECT, en consulta con la Secretaría y el Comité Permanente, </w:t>
      </w:r>
      <w:r w:rsidR="00180A27" w:rsidRPr="00B618D5">
        <w:rPr>
          <w:rFonts w:asciiTheme="minorHAnsi" w:eastAsiaTheme="minorHAnsi" w:hAnsiTheme="minorHAnsi" w:cstheme="minorHAnsi"/>
          <w:bCs/>
          <w:lang w:val="es-ES_tradnl"/>
        </w:rPr>
        <w:t xml:space="preserve">determinará las </w:t>
      </w:r>
      <w:r w:rsidRPr="00B618D5">
        <w:rPr>
          <w:rFonts w:asciiTheme="minorHAnsi" w:eastAsiaTheme="minorHAnsi" w:hAnsiTheme="minorHAnsi" w:cstheme="minorHAnsi"/>
          <w:bCs/>
          <w:lang w:val="es-ES_tradnl"/>
        </w:rPr>
        <w:t>prioridades científicas y técnicas para el siguiente trienio</w:t>
      </w:r>
      <w:r w:rsidR="00180A27" w:rsidRPr="00B618D5">
        <w:rPr>
          <w:rFonts w:asciiTheme="minorHAnsi" w:eastAsiaTheme="minorHAnsi" w:hAnsiTheme="minorHAnsi" w:cstheme="minorHAnsi"/>
          <w:bCs/>
          <w:lang w:val="es-ES_tradnl"/>
        </w:rPr>
        <w:t xml:space="preserve"> y las </w:t>
      </w:r>
      <w:r w:rsidRPr="00B618D5">
        <w:rPr>
          <w:rFonts w:asciiTheme="minorHAnsi" w:eastAsiaTheme="minorHAnsi" w:hAnsiTheme="minorHAnsi" w:cstheme="minorHAnsi"/>
          <w:bCs/>
          <w:lang w:val="es-ES_tradnl"/>
        </w:rPr>
        <w:t>necesidades de financiación previstas, e indicará organizaciones asociadas que puedan ser relevantes, para someterlas a la consideración de la Conferencia de las Partes.</w:t>
      </w:r>
    </w:p>
    <w:p w14:paraId="5E2F5FAE"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5A767704"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La lista de prioridades reflejará el contenido del Plan Estratégico de Ramsar para el siguiente trienio, las Resoluciones de la última COP y otros asuntos prioritarios identificados por las redes regionales o mundiales de humedales.</w:t>
      </w:r>
    </w:p>
    <w:p w14:paraId="0DC0C85F"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37D397EA" w14:textId="77777777" w:rsidR="00B906A8" w:rsidRPr="00B618D5" w:rsidRDefault="00B906A8" w:rsidP="009C04A9">
      <w:pPr>
        <w:ind w:left="-142" w:firstLine="568"/>
        <w:rPr>
          <w:rFonts w:asciiTheme="minorHAnsi" w:hAnsiTheme="minorHAnsi" w:cstheme="minorHAnsi"/>
          <w:b/>
          <w:sz w:val="22"/>
          <w:szCs w:val="22"/>
          <w:lang w:val="es-ES_tradnl"/>
        </w:rPr>
      </w:pPr>
      <w:r w:rsidRPr="00B618D5">
        <w:rPr>
          <w:rFonts w:asciiTheme="minorHAnsi" w:hAnsiTheme="minorHAnsi" w:cstheme="minorHAnsi"/>
          <w:b/>
          <w:sz w:val="22"/>
          <w:szCs w:val="22"/>
          <w:lang w:val="es-ES_tradnl"/>
        </w:rPr>
        <w:t>2ª Etapa: Aprobación por la COP de las prioridades para la programación del GECT</w:t>
      </w:r>
    </w:p>
    <w:p w14:paraId="4B77B6B6" w14:textId="5D6C2A6C"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Se presentará </w:t>
      </w:r>
      <w:r w:rsidR="001C5C3A" w:rsidRPr="00B618D5">
        <w:rPr>
          <w:rFonts w:asciiTheme="minorHAnsi" w:eastAsiaTheme="minorHAnsi" w:hAnsiTheme="minorHAnsi" w:cstheme="minorHAnsi"/>
          <w:bCs/>
          <w:lang w:val="es-ES_tradnl"/>
        </w:rPr>
        <w:t>un proyecto</w:t>
      </w:r>
      <w:r w:rsidRPr="00B618D5">
        <w:rPr>
          <w:rFonts w:asciiTheme="minorHAnsi" w:eastAsiaTheme="minorHAnsi" w:hAnsiTheme="minorHAnsi" w:cstheme="minorHAnsi"/>
          <w:bCs/>
          <w:lang w:val="es-ES_tradnl"/>
        </w:rPr>
        <w:t xml:space="preserve"> de Resolución a la COP en la que se informe sobre los productos finalizados durante el trienio anterior y se proponga una lista de temas potenciales para el siguiente trienio</w:t>
      </w:r>
      <w:r w:rsidR="00A339CE" w:rsidRPr="00B618D5">
        <w:rPr>
          <w:rFonts w:asciiTheme="minorHAnsi" w:eastAsiaTheme="minorHAnsi" w:hAnsiTheme="minorHAnsi" w:cstheme="minorHAnsi"/>
          <w:bCs/>
          <w:lang w:val="es-ES_tradnl"/>
        </w:rPr>
        <w:t xml:space="preserve"> (Anexo 3)</w:t>
      </w:r>
      <w:r w:rsidRPr="00B618D5">
        <w:rPr>
          <w:rFonts w:asciiTheme="minorHAnsi" w:eastAsiaTheme="minorHAnsi" w:hAnsiTheme="minorHAnsi" w:cstheme="minorHAnsi"/>
          <w:bCs/>
          <w:lang w:val="es-ES_tradnl"/>
        </w:rPr>
        <w:t xml:space="preserve"> así como una lista revisada de posibles organizaciones observadoras (Anexo </w:t>
      </w:r>
      <w:r w:rsidR="00A339CE" w:rsidRPr="00B618D5">
        <w:rPr>
          <w:rFonts w:asciiTheme="minorHAnsi" w:eastAsiaTheme="minorHAnsi" w:hAnsiTheme="minorHAnsi" w:cstheme="minorHAnsi"/>
          <w:bCs/>
          <w:lang w:val="es-ES_tradnl"/>
        </w:rPr>
        <w:t>2</w:t>
      </w:r>
      <w:r w:rsidRPr="00B618D5">
        <w:rPr>
          <w:rFonts w:asciiTheme="minorHAnsi" w:eastAsiaTheme="minorHAnsi" w:hAnsiTheme="minorHAnsi" w:cstheme="minorHAnsi"/>
          <w:bCs/>
          <w:lang w:val="es-ES_tradnl"/>
        </w:rPr>
        <w:t>).</w:t>
      </w:r>
    </w:p>
    <w:p w14:paraId="4AA941A1"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5A478B56" w14:textId="0B5330C3"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La COP aprobará como máximo cinco áreas de trabajo temáticas</w:t>
      </w:r>
      <w:r w:rsidR="00A339CE" w:rsidRPr="00B618D5">
        <w:rPr>
          <w:rFonts w:asciiTheme="minorHAnsi" w:eastAsiaTheme="minorHAnsi" w:hAnsiTheme="minorHAnsi" w:cstheme="minorHAnsi"/>
          <w:bCs/>
          <w:lang w:val="es-ES_tradnl"/>
        </w:rPr>
        <w:t xml:space="preserve"> prioritarias</w:t>
      </w:r>
      <w:r w:rsidRPr="00B618D5">
        <w:rPr>
          <w:rFonts w:asciiTheme="minorHAnsi" w:eastAsiaTheme="minorHAnsi" w:hAnsiTheme="minorHAnsi" w:cstheme="minorHAnsi"/>
          <w:bCs/>
          <w:lang w:val="es-ES_tradnl"/>
        </w:rPr>
        <w:t xml:space="preserve"> para cada trienio y aprobará una asignación de fondos adecuada</w:t>
      </w:r>
      <w:r w:rsidRPr="00B618D5">
        <w:rPr>
          <w:rFonts w:asciiTheme="minorHAnsi" w:eastAsiaTheme="minorHAnsi" w:hAnsiTheme="minorHAnsi" w:cstheme="minorHAnsi"/>
          <w:bCs/>
          <w:color w:val="FF0000"/>
          <w:lang w:val="es-ES_tradnl"/>
        </w:rPr>
        <w:t xml:space="preserve"> </w:t>
      </w:r>
      <w:r w:rsidRPr="00B618D5">
        <w:rPr>
          <w:rFonts w:asciiTheme="minorHAnsi" w:eastAsiaTheme="minorHAnsi" w:hAnsiTheme="minorHAnsi" w:cstheme="minorHAnsi"/>
          <w:bCs/>
          <w:lang w:val="es-ES_tradnl"/>
        </w:rPr>
        <w:t>con cargo al presupuesto básico para las mismas. En la selección de estas cinco áreas de trabajo se tendrá en cuenta su relación y coherencia con el Plan de Trabajo y las tareas ya asignadas por la COP anterior</w:t>
      </w:r>
      <w:r w:rsidRPr="00B618D5">
        <w:rPr>
          <w:rFonts w:asciiTheme="minorHAnsi" w:hAnsiTheme="minorHAnsi" w:cstheme="minorHAnsi"/>
          <w:lang w:val="es-ES_tradnl"/>
        </w:rPr>
        <w:t>.</w:t>
      </w:r>
    </w:p>
    <w:p w14:paraId="05B957E2" w14:textId="77777777" w:rsidR="00B906A8" w:rsidRPr="00B618D5" w:rsidRDefault="00B906A8" w:rsidP="009C04A9">
      <w:pPr>
        <w:tabs>
          <w:tab w:val="left" w:pos="0"/>
        </w:tabs>
        <w:jc w:val="both"/>
        <w:rPr>
          <w:rFonts w:asciiTheme="minorHAnsi" w:hAnsiTheme="minorHAnsi" w:cstheme="minorHAnsi"/>
          <w:sz w:val="22"/>
          <w:szCs w:val="22"/>
          <w:lang w:val="es-ES_tradnl"/>
        </w:rPr>
      </w:pPr>
    </w:p>
    <w:p w14:paraId="326D3352" w14:textId="77777777" w:rsidR="00B906A8" w:rsidRPr="00B618D5" w:rsidRDefault="00B906A8" w:rsidP="009C04A9">
      <w:pPr>
        <w:ind w:left="-142" w:firstLine="568"/>
        <w:rPr>
          <w:rFonts w:asciiTheme="minorHAnsi" w:hAnsiTheme="minorHAnsi" w:cstheme="minorHAnsi"/>
          <w:b/>
          <w:sz w:val="22"/>
          <w:szCs w:val="22"/>
          <w:lang w:val="es-ES_tradnl"/>
        </w:rPr>
      </w:pPr>
      <w:r w:rsidRPr="00B618D5">
        <w:rPr>
          <w:rFonts w:asciiTheme="minorHAnsi" w:hAnsiTheme="minorHAnsi" w:cstheme="minorHAnsi"/>
          <w:b/>
          <w:sz w:val="22"/>
          <w:szCs w:val="22"/>
          <w:lang w:val="es-ES_tradnl"/>
        </w:rPr>
        <w:t>3ª Etapa: Reunión del GECT</w:t>
      </w:r>
    </w:p>
    <w:p w14:paraId="2256AFCD"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El GECT se reunirá lo antes posible después de la COP. El Grupo de Trabajo Administrativo del Comité Permanente seleccionará a los miembros del GECT entre sesiones, tan pronto como sea posible después de haber recibido las propuestas de la Secretaría. El Grupo de Trabajo Administrativo seleccionará en primer lugar al Presidente y al Vicepresidente, que participarán en la selección de los demás miembros.</w:t>
      </w:r>
    </w:p>
    <w:p w14:paraId="72A30B3C" w14:textId="77777777" w:rsidR="00B906A8" w:rsidRPr="00B618D5" w:rsidRDefault="00B906A8" w:rsidP="009C04A9">
      <w:pPr>
        <w:tabs>
          <w:tab w:val="left" w:pos="0"/>
        </w:tabs>
        <w:jc w:val="both"/>
        <w:rPr>
          <w:rFonts w:asciiTheme="minorHAnsi" w:hAnsiTheme="minorHAnsi" w:cstheme="minorHAnsi"/>
          <w:sz w:val="22"/>
          <w:szCs w:val="22"/>
          <w:lang w:val="es-ES_tradnl"/>
        </w:rPr>
      </w:pPr>
    </w:p>
    <w:p w14:paraId="73F2ECBD" w14:textId="77777777" w:rsidR="00B906A8" w:rsidRPr="00B618D5" w:rsidRDefault="00B906A8" w:rsidP="009C04A9">
      <w:pPr>
        <w:ind w:left="-142" w:firstLine="568"/>
        <w:rPr>
          <w:rFonts w:asciiTheme="minorHAnsi" w:hAnsiTheme="minorHAnsi" w:cstheme="minorHAnsi"/>
          <w:b/>
          <w:sz w:val="22"/>
          <w:szCs w:val="22"/>
          <w:lang w:val="es-ES_tradnl"/>
        </w:rPr>
      </w:pPr>
      <w:r w:rsidRPr="00B618D5">
        <w:rPr>
          <w:rFonts w:asciiTheme="minorHAnsi" w:hAnsiTheme="minorHAnsi" w:cstheme="minorHAnsi"/>
          <w:b/>
          <w:sz w:val="22"/>
          <w:szCs w:val="22"/>
          <w:lang w:val="es-ES_tradnl"/>
        </w:rPr>
        <w:t>4ª Etapa: Desarrollo del plan de trabajo del GECT</w:t>
      </w:r>
    </w:p>
    <w:p w14:paraId="4970F6E3" w14:textId="0B2B605A" w:rsidR="008119D2" w:rsidRPr="00B618D5" w:rsidRDefault="008119D2"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El GECT examinará la tabla que figura en el Anexo 3 y formulará recomendaciones sobre tareas específicas para facilitar la aplicación </w:t>
      </w:r>
      <w:r w:rsidR="00E645F4" w:rsidRPr="00B618D5">
        <w:rPr>
          <w:rFonts w:asciiTheme="minorHAnsi" w:eastAsiaTheme="minorHAnsi" w:hAnsiTheme="minorHAnsi" w:cstheme="minorHAnsi"/>
          <w:bCs/>
          <w:lang w:val="es-ES_tradnl"/>
        </w:rPr>
        <w:t xml:space="preserve">por las Partes </w:t>
      </w:r>
      <w:r w:rsidRPr="00B618D5">
        <w:rPr>
          <w:rFonts w:asciiTheme="minorHAnsi" w:eastAsiaTheme="minorHAnsi" w:hAnsiTheme="minorHAnsi" w:cstheme="minorHAnsi"/>
          <w:bCs/>
          <w:lang w:val="es-ES_tradnl"/>
        </w:rPr>
        <w:t>de las acciones identificadas en el objetivo</w:t>
      </w:r>
      <w:r w:rsidR="00E645F4" w:rsidRPr="00B618D5">
        <w:rPr>
          <w:rFonts w:asciiTheme="minorHAnsi" w:eastAsiaTheme="minorHAnsi" w:hAnsiTheme="minorHAnsi" w:cstheme="minorHAnsi"/>
          <w:bCs/>
          <w:lang w:val="es-ES_tradnl"/>
        </w:rPr>
        <w:t xml:space="preserve">, la meta o el indicador </w:t>
      </w:r>
      <w:r w:rsidRPr="00B618D5">
        <w:rPr>
          <w:rFonts w:asciiTheme="minorHAnsi" w:eastAsiaTheme="minorHAnsi" w:hAnsiTheme="minorHAnsi" w:cstheme="minorHAnsi"/>
          <w:bCs/>
          <w:lang w:val="es-ES_tradnl"/>
        </w:rPr>
        <w:t>del Plan Estratégico. Los productos resultantes estarán dirigidos</w:t>
      </w:r>
      <w:r w:rsidR="00A92970" w:rsidRPr="00B618D5">
        <w:rPr>
          <w:rFonts w:asciiTheme="minorHAnsi" w:eastAsiaTheme="minorHAnsi" w:hAnsiTheme="minorHAnsi" w:cstheme="minorHAnsi"/>
          <w:bCs/>
          <w:lang w:val="es-ES_tradnl"/>
        </w:rPr>
        <w:t xml:space="preserve"> a los públicos establecidos en el párrafo </w:t>
      </w:r>
      <w:r w:rsidR="00AF3415" w:rsidRPr="00B618D5">
        <w:rPr>
          <w:rFonts w:asciiTheme="minorHAnsi" w:eastAsiaTheme="minorHAnsi" w:hAnsiTheme="minorHAnsi" w:cstheme="minorHAnsi"/>
          <w:bCs/>
          <w:lang w:val="es-ES_tradnl"/>
        </w:rPr>
        <w:t>54</w:t>
      </w:r>
      <w:r w:rsidR="00085F2A" w:rsidRPr="00B618D5">
        <w:rPr>
          <w:rFonts w:asciiTheme="minorHAnsi" w:eastAsiaTheme="minorHAnsi" w:hAnsiTheme="minorHAnsi" w:cstheme="minorHAnsi"/>
          <w:bCs/>
          <w:lang w:val="es-ES_tradnl"/>
        </w:rPr>
        <w:t xml:space="preserve"> (Anexo 1) </w:t>
      </w:r>
      <w:r w:rsidRPr="00B618D5">
        <w:rPr>
          <w:rFonts w:asciiTheme="minorHAnsi" w:eastAsiaTheme="minorHAnsi" w:hAnsiTheme="minorHAnsi" w:cstheme="minorHAnsi"/>
          <w:bCs/>
          <w:lang w:val="es-ES_tradnl"/>
        </w:rPr>
        <w:t xml:space="preserve">y </w:t>
      </w:r>
      <w:r w:rsidR="00A92970" w:rsidRPr="00B618D5">
        <w:rPr>
          <w:rFonts w:asciiTheme="minorHAnsi" w:eastAsiaTheme="minorHAnsi" w:hAnsiTheme="minorHAnsi" w:cstheme="minorHAnsi"/>
          <w:bCs/>
          <w:lang w:val="es-ES_tradnl"/>
        </w:rPr>
        <w:t>se desarrollará</w:t>
      </w:r>
      <w:r w:rsidRPr="00B618D5">
        <w:rPr>
          <w:rFonts w:asciiTheme="minorHAnsi" w:eastAsiaTheme="minorHAnsi" w:hAnsiTheme="minorHAnsi" w:cstheme="minorHAnsi"/>
          <w:bCs/>
          <w:lang w:val="es-ES_tradnl"/>
        </w:rPr>
        <w:t xml:space="preserve"> el tipo de orientaciones </w:t>
      </w:r>
      <w:r w:rsidR="00A92970" w:rsidRPr="00B618D5">
        <w:rPr>
          <w:rFonts w:asciiTheme="minorHAnsi" w:eastAsiaTheme="minorHAnsi" w:hAnsiTheme="minorHAnsi" w:cstheme="minorHAnsi"/>
          <w:bCs/>
          <w:lang w:val="es-ES_tradnl"/>
        </w:rPr>
        <w:t>especificadas</w:t>
      </w:r>
      <w:r w:rsidRPr="00B618D5">
        <w:rPr>
          <w:rFonts w:asciiTheme="minorHAnsi" w:eastAsiaTheme="minorHAnsi" w:hAnsiTheme="minorHAnsi" w:cstheme="minorHAnsi"/>
          <w:bCs/>
          <w:lang w:val="es-ES_tradnl"/>
        </w:rPr>
        <w:t xml:space="preserve"> en el párrafo </w:t>
      </w:r>
      <w:r w:rsidR="005C460D" w:rsidRPr="00B618D5">
        <w:rPr>
          <w:rFonts w:asciiTheme="minorHAnsi" w:eastAsiaTheme="minorHAnsi" w:hAnsiTheme="minorHAnsi" w:cstheme="minorHAnsi"/>
          <w:bCs/>
          <w:lang w:val="es-ES_tradnl"/>
        </w:rPr>
        <w:t>55</w:t>
      </w:r>
      <w:r w:rsidR="00085F2A" w:rsidRPr="00B618D5">
        <w:rPr>
          <w:rFonts w:asciiTheme="minorHAnsi" w:eastAsiaTheme="minorHAnsi" w:hAnsiTheme="minorHAnsi" w:cstheme="minorHAnsi"/>
          <w:bCs/>
          <w:lang w:val="es-ES_tradnl"/>
        </w:rPr>
        <w:t xml:space="preserve"> (</w:t>
      </w:r>
      <w:r w:rsidR="00A92970" w:rsidRPr="00B618D5">
        <w:rPr>
          <w:rFonts w:asciiTheme="minorHAnsi" w:eastAsiaTheme="minorHAnsi" w:hAnsiTheme="minorHAnsi" w:cstheme="minorHAnsi"/>
          <w:bCs/>
          <w:lang w:val="es-ES_tradnl"/>
        </w:rPr>
        <w:t>A</w:t>
      </w:r>
      <w:r w:rsidRPr="00B618D5">
        <w:rPr>
          <w:rFonts w:asciiTheme="minorHAnsi" w:eastAsiaTheme="minorHAnsi" w:hAnsiTheme="minorHAnsi" w:cstheme="minorHAnsi"/>
          <w:bCs/>
          <w:lang w:val="es-ES_tradnl"/>
        </w:rPr>
        <w:t>nexo</w:t>
      </w:r>
      <w:r w:rsidR="00085F2A" w:rsidRPr="00B618D5">
        <w:rPr>
          <w:rFonts w:asciiTheme="minorHAnsi" w:eastAsiaTheme="minorHAnsi" w:hAnsiTheme="minorHAnsi" w:cstheme="minorHAnsi"/>
          <w:bCs/>
          <w:lang w:val="es-ES_tradnl"/>
        </w:rPr>
        <w:t xml:space="preserve"> 1) con el apoyo del </w:t>
      </w:r>
      <w:r w:rsidR="00331640" w:rsidRPr="00B618D5">
        <w:rPr>
          <w:rFonts w:asciiTheme="minorHAnsi" w:eastAsiaTheme="minorHAnsi" w:hAnsiTheme="minorHAnsi" w:cstheme="minorHAnsi"/>
          <w:bCs/>
          <w:lang w:val="es-ES_tradnl"/>
        </w:rPr>
        <w:t>programa de CECoP</w:t>
      </w:r>
      <w:r w:rsidR="00085F2A" w:rsidRPr="00B618D5">
        <w:rPr>
          <w:rFonts w:asciiTheme="minorHAnsi" w:eastAsiaTheme="minorHAnsi" w:hAnsiTheme="minorHAnsi" w:cstheme="minorHAnsi"/>
          <w:bCs/>
          <w:lang w:val="es-ES_tradnl"/>
        </w:rPr>
        <w:t xml:space="preserve"> de la Secretaría</w:t>
      </w:r>
      <w:r w:rsidRPr="00B618D5">
        <w:rPr>
          <w:rFonts w:asciiTheme="minorHAnsi" w:eastAsiaTheme="minorHAnsi" w:hAnsiTheme="minorHAnsi" w:cstheme="minorHAnsi"/>
          <w:bCs/>
          <w:lang w:val="es-ES_tradnl"/>
        </w:rPr>
        <w:t>.</w:t>
      </w:r>
    </w:p>
    <w:p w14:paraId="0DBC2F6B" w14:textId="77777777" w:rsidR="008119D2" w:rsidRPr="00B618D5" w:rsidRDefault="008119D2" w:rsidP="009C04A9">
      <w:pPr>
        <w:pStyle w:val="ListParagraph"/>
        <w:spacing w:after="0" w:line="240" w:lineRule="auto"/>
        <w:ind w:left="426"/>
        <w:contextualSpacing w:val="0"/>
        <w:rPr>
          <w:rFonts w:asciiTheme="minorHAnsi" w:eastAsiaTheme="minorHAnsi" w:hAnsiTheme="minorHAnsi" w:cstheme="minorHAnsi"/>
          <w:bCs/>
          <w:lang w:val="es-ES_tradnl"/>
        </w:rPr>
      </w:pPr>
    </w:p>
    <w:p w14:paraId="0773E441" w14:textId="4C274767" w:rsidR="008119D2" w:rsidRPr="00B618D5" w:rsidRDefault="00A92970"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En el desarrollo de</w:t>
      </w:r>
      <w:r w:rsidR="008119D2" w:rsidRPr="00B618D5">
        <w:rPr>
          <w:rFonts w:asciiTheme="minorHAnsi" w:eastAsiaTheme="minorHAnsi" w:hAnsiTheme="minorHAnsi" w:cstheme="minorHAnsi"/>
          <w:bCs/>
          <w:lang w:val="es-ES_tradnl"/>
        </w:rPr>
        <w:t xml:space="preserve"> dichas recomendaciones, el GECT hará lo siguiente: (1) realizar un estudio bibliográfico de las orientaciones </w:t>
      </w:r>
      <w:r w:rsidRPr="00B618D5">
        <w:rPr>
          <w:rFonts w:asciiTheme="minorHAnsi" w:eastAsiaTheme="minorHAnsi" w:hAnsiTheme="minorHAnsi" w:cstheme="minorHAnsi"/>
          <w:bCs/>
          <w:lang w:val="es-ES_tradnl"/>
        </w:rPr>
        <w:t xml:space="preserve">del GECT </w:t>
      </w:r>
      <w:r w:rsidR="008119D2" w:rsidRPr="00B618D5">
        <w:rPr>
          <w:rFonts w:asciiTheme="minorHAnsi" w:eastAsiaTheme="minorHAnsi" w:hAnsiTheme="minorHAnsi" w:cstheme="minorHAnsi"/>
          <w:bCs/>
          <w:lang w:val="es-ES_tradnl"/>
        </w:rPr>
        <w:t xml:space="preserve">disponibles y </w:t>
      </w:r>
      <w:r w:rsidRPr="00B618D5">
        <w:rPr>
          <w:rFonts w:asciiTheme="minorHAnsi" w:eastAsiaTheme="minorHAnsi" w:hAnsiTheme="minorHAnsi" w:cstheme="minorHAnsi"/>
          <w:bCs/>
          <w:lang w:val="es-ES_tradnl"/>
        </w:rPr>
        <w:t xml:space="preserve">cualquier </w:t>
      </w:r>
      <w:r w:rsidR="008119D2" w:rsidRPr="00B618D5">
        <w:rPr>
          <w:rFonts w:asciiTheme="minorHAnsi" w:eastAsiaTheme="minorHAnsi" w:hAnsiTheme="minorHAnsi" w:cstheme="minorHAnsi"/>
          <w:bCs/>
          <w:lang w:val="es-ES_tradnl"/>
        </w:rPr>
        <w:t xml:space="preserve">otra </w:t>
      </w:r>
      <w:r w:rsidRPr="00B618D5">
        <w:rPr>
          <w:rFonts w:asciiTheme="minorHAnsi" w:eastAsiaTheme="minorHAnsi" w:hAnsiTheme="minorHAnsi" w:cstheme="minorHAnsi"/>
          <w:bCs/>
          <w:lang w:val="es-ES_tradnl"/>
        </w:rPr>
        <w:t xml:space="preserve">información pertinente </w:t>
      </w:r>
      <w:r w:rsidR="008119D2" w:rsidRPr="00B618D5">
        <w:rPr>
          <w:rFonts w:asciiTheme="minorHAnsi" w:eastAsiaTheme="minorHAnsi" w:hAnsiTheme="minorHAnsi" w:cstheme="minorHAnsi"/>
          <w:bCs/>
          <w:lang w:val="es-ES_tradnl"/>
        </w:rPr>
        <w:t>y (2) consultar</w:t>
      </w:r>
      <w:r w:rsidRPr="00B618D5">
        <w:rPr>
          <w:rFonts w:asciiTheme="minorHAnsi" w:eastAsiaTheme="minorHAnsi" w:hAnsiTheme="minorHAnsi" w:cstheme="minorHAnsi"/>
          <w:bCs/>
          <w:lang w:val="es-ES_tradnl"/>
        </w:rPr>
        <w:t xml:space="preserve"> a los Coordinadores Nacional</w:t>
      </w:r>
      <w:r w:rsidR="008119D2" w:rsidRPr="00B618D5">
        <w:rPr>
          <w:rFonts w:asciiTheme="minorHAnsi" w:eastAsiaTheme="minorHAnsi" w:hAnsiTheme="minorHAnsi" w:cstheme="minorHAnsi"/>
          <w:bCs/>
          <w:lang w:val="es-ES_tradnl"/>
        </w:rPr>
        <w:t xml:space="preserve">es del GECT, </w:t>
      </w:r>
      <w:r w:rsidRPr="00B618D5">
        <w:rPr>
          <w:rFonts w:asciiTheme="minorHAnsi" w:eastAsiaTheme="minorHAnsi" w:hAnsiTheme="minorHAnsi" w:cstheme="minorHAnsi"/>
          <w:bCs/>
          <w:lang w:val="es-ES_tradnl"/>
        </w:rPr>
        <w:t>al</w:t>
      </w:r>
      <w:r w:rsidR="008119D2" w:rsidRPr="00B618D5">
        <w:rPr>
          <w:rFonts w:asciiTheme="minorHAnsi" w:eastAsiaTheme="minorHAnsi" w:hAnsiTheme="minorHAnsi" w:cstheme="minorHAnsi"/>
          <w:bCs/>
          <w:lang w:val="es-ES_tradnl"/>
        </w:rPr>
        <w:t xml:space="preserve"> programa de CECoP de la Secretaría y </w:t>
      </w:r>
      <w:r w:rsidRPr="00B618D5">
        <w:rPr>
          <w:rFonts w:asciiTheme="minorHAnsi" w:eastAsiaTheme="minorHAnsi" w:hAnsiTheme="minorHAnsi" w:cstheme="minorHAnsi"/>
          <w:bCs/>
          <w:lang w:val="es-ES_tradnl"/>
        </w:rPr>
        <w:lastRenderedPageBreak/>
        <w:t xml:space="preserve">a </w:t>
      </w:r>
      <w:r w:rsidR="008119D2" w:rsidRPr="00B618D5">
        <w:rPr>
          <w:rFonts w:asciiTheme="minorHAnsi" w:eastAsiaTheme="minorHAnsi" w:hAnsiTheme="minorHAnsi" w:cstheme="minorHAnsi"/>
          <w:bCs/>
          <w:lang w:val="es-ES_tradnl"/>
        </w:rPr>
        <w:t>los As</w:t>
      </w:r>
      <w:r w:rsidRPr="00B618D5">
        <w:rPr>
          <w:rFonts w:asciiTheme="minorHAnsi" w:eastAsiaTheme="minorHAnsi" w:hAnsiTheme="minorHAnsi" w:cstheme="minorHAnsi"/>
          <w:bCs/>
          <w:lang w:val="es-ES_tradnl"/>
        </w:rPr>
        <w:t>esores Regionales Superiores</w:t>
      </w:r>
      <w:r w:rsidR="008119D2" w:rsidRPr="00B618D5">
        <w:rPr>
          <w:rFonts w:asciiTheme="minorHAnsi" w:eastAsiaTheme="minorHAnsi" w:hAnsiTheme="minorHAnsi" w:cstheme="minorHAnsi"/>
          <w:bCs/>
          <w:lang w:val="es-ES_tradnl"/>
        </w:rPr>
        <w:t xml:space="preserve">, que serán responsables de </w:t>
      </w:r>
      <w:r w:rsidRPr="00B618D5">
        <w:rPr>
          <w:rFonts w:asciiTheme="minorHAnsi" w:eastAsiaTheme="minorHAnsi" w:hAnsiTheme="minorHAnsi" w:cstheme="minorHAnsi"/>
          <w:bCs/>
          <w:lang w:val="es-ES_tradnl"/>
        </w:rPr>
        <w:t>obtener</w:t>
      </w:r>
      <w:r w:rsidR="008119D2" w:rsidRPr="00B618D5">
        <w:rPr>
          <w:rFonts w:asciiTheme="minorHAnsi" w:eastAsiaTheme="minorHAnsi" w:hAnsiTheme="minorHAnsi" w:cstheme="minorHAnsi"/>
          <w:bCs/>
          <w:lang w:val="es-ES_tradnl"/>
        </w:rPr>
        <w:t xml:space="preserve"> datos e información de las Autoridades Administrativas</w:t>
      </w:r>
      <w:r w:rsidRPr="00B618D5">
        <w:rPr>
          <w:rFonts w:asciiTheme="minorHAnsi" w:eastAsiaTheme="minorHAnsi" w:hAnsiTheme="minorHAnsi" w:cstheme="minorHAnsi"/>
          <w:bCs/>
          <w:lang w:val="es-ES_tradnl"/>
        </w:rPr>
        <w:t xml:space="preserve"> y los</w:t>
      </w:r>
      <w:r w:rsidR="008119D2" w:rsidRPr="00B618D5">
        <w:rPr>
          <w:rFonts w:asciiTheme="minorHAnsi" w:eastAsiaTheme="minorHAnsi" w:hAnsiTheme="minorHAnsi" w:cstheme="minorHAnsi"/>
          <w:bCs/>
          <w:lang w:val="es-ES_tradnl"/>
        </w:rPr>
        <w:t xml:space="preserve"> </w:t>
      </w:r>
      <w:r w:rsidR="001C5C3A" w:rsidRPr="00B618D5">
        <w:rPr>
          <w:rFonts w:asciiTheme="minorHAnsi" w:eastAsiaTheme="minorHAnsi" w:hAnsiTheme="minorHAnsi" w:cstheme="minorHAnsi"/>
          <w:bCs/>
          <w:lang w:val="es-ES_tradnl"/>
        </w:rPr>
        <w:t>Coordinadores</w:t>
      </w:r>
      <w:r w:rsidRPr="00B618D5">
        <w:rPr>
          <w:rFonts w:asciiTheme="minorHAnsi" w:eastAsiaTheme="minorHAnsi" w:hAnsiTheme="minorHAnsi" w:cstheme="minorHAnsi"/>
          <w:bCs/>
          <w:lang w:val="es-ES_tradnl"/>
        </w:rPr>
        <w:t xml:space="preserve"> Nacionales </w:t>
      </w:r>
      <w:r w:rsidR="008119D2" w:rsidRPr="00B618D5">
        <w:rPr>
          <w:rFonts w:asciiTheme="minorHAnsi" w:eastAsiaTheme="minorHAnsi" w:hAnsiTheme="minorHAnsi" w:cstheme="minorHAnsi"/>
          <w:bCs/>
          <w:lang w:val="es-ES_tradnl"/>
        </w:rPr>
        <w:t xml:space="preserve">de sus </w:t>
      </w:r>
      <w:r w:rsidRPr="00B618D5">
        <w:rPr>
          <w:rFonts w:asciiTheme="minorHAnsi" w:eastAsiaTheme="minorHAnsi" w:hAnsiTheme="minorHAnsi" w:cstheme="minorHAnsi"/>
          <w:bCs/>
          <w:lang w:val="es-ES_tradnl"/>
        </w:rPr>
        <w:t>respectivas regiones</w:t>
      </w:r>
      <w:r w:rsidR="008119D2" w:rsidRPr="00B618D5">
        <w:rPr>
          <w:rFonts w:asciiTheme="minorHAnsi" w:eastAsiaTheme="minorHAnsi" w:hAnsiTheme="minorHAnsi" w:cstheme="minorHAnsi"/>
          <w:bCs/>
          <w:lang w:val="es-ES_tradnl"/>
        </w:rPr>
        <w:t>.</w:t>
      </w:r>
    </w:p>
    <w:p w14:paraId="040856ED" w14:textId="77777777" w:rsidR="008119D2" w:rsidRPr="00B618D5" w:rsidRDefault="008119D2" w:rsidP="009C04A9">
      <w:pPr>
        <w:ind w:left="-142" w:firstLine="568"/>
        <w:rPr>
          <w:rFonts w:asciiTheme="minorHAnsi" w:hAnsiTheme="minorHAnsi" w:cstheme="minorHAnsi"/>
          <w:b/>
          <w:sz w:val="22"/>
          <w:szCs w:val="22"/>
          <w:lang w:val="es-ES_tradnl"/>
        </w:rPr>
      </w:pPr>
    </w:p>
    <w:p w14:paraId="4EFB763F"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La primera tarea del nuevo GECT será desarrollar el plan de trabajo, en consulta con la</w:t>
      </w:r>
      <w:r w:rsidR="00A92970" w:rsidRPr="00B618D5">
        <w:rPr>
          <w:rFonts w:asciiTheme="minorHAnsi" w:eastAsiaTheme="minorHAnsi" w:hAnsiTheme="minorHAnsi" w:cstheme="minorHAnsi"/>
          <w:bCs/>
          <w:lang w:val="es-ES_tradnl"/>
        </w:rPr>
        <w:t xml:space="preserve"> Secretaría (Secretario General o</w:t>
      </w:r>
      <w:r w:rsidRPr="00B618D5">
        <w:rPr>
          <w:rFonts w:asciiTheme="minorHAnsi" w:eastAsiaTheme="minorHAnsi" w:hAnsiTheme="minorHAnsi" w:cstheme="minorHAnsi"/>
          <w:bCs/>
          <w:lang w:val="es-ES_tradnl"/>
        </w:rPr>
        <w:t xml:space="preserve"> SG Adjunto, Asesores Regionales Superiores y equipo de comunicaciones), basándose en las áreas de trabajo temáticas seleccionadas por las Partes Contratantes</w:t>
      </w:r>
      <w:r w:rsidR="00107B8B" w:rsidRPr="00B618D5">
        <w:rPr>
          <w:rFonts w:asciiTheme="minorHAnsi" w:eastAsiaTheme="minorHAnsi" w:hAnsiTheme="minorHAnsi" w:cstheme="minorHAnsi"/>
          <w:bCs/>
          <w:lang w:val="es-ES_tradnl"/>
        </w:rPr>
        <w:t xml:space="preserve"> y teniendo en cuenta los trabajos científicos </w:t>
      </w:r>
      <w:r w:rsidR="00A92970" w:rsidRPr="00B618D5">
        <w:rPr>
          <w:rFonts w:asciiTheme="minorHAnsi" w:eastAsiaTheme="minorHAnsi" w:hAnsiTheme="minorHAnsi" w:cstheme="minorHAnsi"/>
          <w:bCs/>
          <w:lang w:val="es-ES_tradnl"/>
        </w:rPr>
        <w:t xml:space="preserve">que se están llevando a cabo </w:t>
      </w:r>
      <w:r w:rsidR="00107B8B" w:rsidRPr="00B618D5">
        <w:rPr>
          <w:rFonts w:asciiTheme="minorHAnsi" w:eastAsiaTheme="minorHAnsi" w:hAnsiTheme="minorHAnsi" w:cstheme="minorHAnsi"/>
          <w:bCs/>
          <w:lang w:val="es-ES_tradnl"/>
        </w:rPr>
        <w:t>en otros procesos internacionales, particularmente</w:t>
      </w:r>
      <w:r w:rsidR="00984232" w:rsidRPr="00B618D5">
        <w:rPr>
          <w:rFonts w:asciiTheme="minorHAnsi" w:eastAsiaTheme="minorHAnsi" w:hAnsiTheme="minorHAnsi" w:cstheme="minorHAnsi"/>
          <w:bCs/>
          <w:lang w:val="es-ES_tradnl"/>
        </w:rPr>
        <w:t xml:space="preserve"> en</w:t>
      </w:r>
      <w:r w:rsidR="00107B8B" w:rsidRPr="00B618D5">
        <w:rPr>
          <w:rFonts w:asciiTheme="minorHAnsi" w:eastAsiaTheme="minorHAnsi" w:hAnsiTheme="minorHAnsi" w:cstheme="minorHAnsi"/>
          <w:bCs/>
          <w:lang w:val="es-ES_tradnl"/>
        </w:rPr>
        <w:t xml:space="preserve"> la IPBES.</w:t>
      </w:r>
    </w:p>
    <w:p w14:paraId="1FF438EA" w14:textId="77777777" w:rsidR="00B906A8" w:rsidRPr="00B618D5" w:rsidRDefault="00B906A8" w:rsidP="009C04A9">
      <w:pPr>
        <w:tabs>
          <w:tab w:val="left" w:pos="0"/>
        </w:tabs>
        <w:jc w:val="both"/>
        <w:rPr>
          <w:rFonts w:asciiTheme="minorHAnsi" w:hAnsiTheme="minorHAnsi" w:cstheme="minorHAnsi"/>
          <w:sz w:val="22"/>
          <w:szCs w:val="22"/>
          <w:lang w:val="es-ES_tradnl"/>
        </w:rPr>
      </w:pPr>
      <w:r w:rsidRPr="00B618D5">
        <w:rPr>
          <w:rFonts w:asciiTheme="minorHAnsi" w:hAnsiTheme="minorHAnsi" w:cstheme="minorHAnsi"/>
          <w:sz w:val="22"/>
          <w:szCs w:val="22"/>
          <w:lang w:val="es-ES_tradnl"/>
        </w:rPr>
        <w:t xml:space="preserve">  </w:t>
      </w:r>
    </w:p>
    <w:p w14:paraId="77381D4E" w14:textId="77777777" w:rsidR="00B906A8" w:rsidRPr="00B618D5" w:rsidRDefault="00B906A8" w:rsidP="009C04A9">
      <w:pPr>
        <w:ind w:left="-142" w:firstLine="568"/>
        <w:rPr>
          <w:rFonts w:asciiTheme="minorHAnsi" w:hAnsiTheme="minorHAnsi" w:cstheme="minorHAnsi"/>
          <w:b/>
          <w:sz w:val="22"/>
          <w:szCs w:val="22"/>
          <w:lang w:val="es-ES_tradnl"/>
        </w:rPr>
      </w:pPr>
      <w:r w:rsidRPr="00B618D5">
        <w:rPr>
          <w:rFonts w:asciiTheme="minorHAnsi" w:hAnsiTheme="minorHAnsi" w:cstheme="minorHAnsi"/>
          <w:b/>
          <w:sz w:val="22"/>
          <w:szCs w:val="22"/>
          <w:lang w:val="es-ES_tradnl"/>
        </w:rPr>
        <w:t>5ª Etapa: Aprobación del plan de trabajo por el Comité Permanente</w:t>
      </w:r>
    </w:p>
    <w:p w14:paraId="3EC9314C"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El Presidente del GECT presentará el plan de trabajo al Comité Permanente en su primera reunión plenaria después de la COP.</w:t>
      </w:r>
    </w:p>
    <w:p w14:paraId="4775031B" w14:textId="77777777" w:rsidR="00B906A8" w:rsidRPr="00B618D5" w:rsidRDefault="00B906A8" w:rsidP="009C04A9">
      <w:pPr>
        <w:tabs>
          <w:tab w:val="left" w:pos="0"/>
        </w:tabs>
        <w:jc w:val="both"/>
        <w:rPr>
          <w:rFonts w:asciiTheme="minorHAnsi" w:hAnsiTheme="minorHAnsi" w:cstheme="minorHAnsi"/>
          <w:sz w:val="22"/>
          <w:szCs w:val="22"/>
          <w:lang w:val="es-ES_tradnl"/>
        </w:rPr>
      </w:pPr>
      <w:r w:rsidRPr="00B618D5">
        <w:rPr>
          <w:rFonts w:asciiTheme="minorHAnsi" w:hAnsiTheme="minorHAnsi" w:cstheme="minorHAnsi"/>
          <w:sz w:val="22"/>
          <w:szCs w:val="22"/>
          <w:lang w:val="es-ES_tradnl"/>
        </w:rPr>
        <w:t xml:space="preserve">  </w:t>
      </w:r>
    </w:p>
    <w:p w14:paraId="6F04FC1F" w14:textId="77777777" w:rsidR="00B906A8" w:rsidRPr="00B618D5" w:rsidRDefault="00B906A8" w:rsidP="009C04A9">
      <w:pPr>
        <w:ind w:left="-142" w:firstLine="568"/>
        <w:rPr>
          <w:rFonts w:asciiTheme="minorHAnsi" w:hAnsiTheme="minorHAnsi" w:cstheme="minorHAnsi"/>
          <w:b/>
          <w:sz w:val="22"/>
          <w:szCs w:val="22"/>
          <w:lang w:val="es-ES_tradnl"/>
        </w:rPr>
      </w:pPr>
      <w:r w:rsidRPr="00B618D5">
        <w:rPr>
          <w:rFonts w:asciiTheme="minorHAnsi" w:hAnsiTheme="minorHAnsi" w:cstheme="minorHAnsi"/>
          <w:b/>
          <w:sz w:val="22"/>
          <w:szCs w:val="22"/>
          <w:lang w:val="es-ES_tradnl"/>
        </w:rPr>
        <w:t>6ª Etapa: Entrega y divulgación de los productos</w:t>
      </w:r>
    </w:p>
    <w:p w14:paraId="2D491EE2"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Los distintos productos científicos y técnicos se prepararán y comunicarán a sus destinatarios durante el trienio, con la ayuda del equipo de comunicaciones de la Secretaría.</w:t>
      </w:r>
    </w:p>
    <w:p w14:paraId="6932940C" w14:textId="77777777" w:rsidR="00B906A8" w:rsidRPr="00B618D5" w:rsidRDefault="00B906A8" w:rsidP="009C04A9">
      <w:pPr>
        <w:ind w:left="360"/>
        <w:rPr>
          <w:rFonts w:asciiTheme="minorHAnsi" w:hAnsiTheme="minorHAnsi" w:cstheme="minorHAnsi"/>
          <w:lang w:val="es-ES_tradnl"/>
        </w:rPr>
      </w:pPr>
    </w:p>
    <w:p w14:paraId="5466894B" w14:textId="77777777" w:rsidR="00B906A8" w:rsidRPr="00B618D5" w:rsidRDefault="00B906A8" w:rsidP="009C04A9">
      <w:pPr>
        <w:rPr>
          <w:rFonts w:asciiTheme="minorHAnsi" w:hAnsiTheme="minorHAnsi" w:cstheme="minorHAnsi"/>
          <w:b/>
          <w:bCs/>
          <w:sz w:val="22"/>
          <w:szCs w:val="22"/>
          <w:lang w:val="es-ES_tradnl"/>
        </w:rPr>
      </w:pPr>
      <w:r w:rsidRPr="00B618D5">
        <w:rPr>
          <w:rFonts w:asciiTheme="minorHAnsi" w:hAnsiTheme="minorHAnsi" w:cstheme="minorHAnsi"/>
          <w:b/>
          <w:bCs/>
          <w:sz w:val="22"/>
          <w:szCs w:val="22"/>
          <w:lang w:val="es-ES_tradnl"/>
        </w:rPr>
        <w:t>Destinatarios y desarrollo de materiales orientativos</w:t>
      </w:r>
    </w:p>
    <w:p w14:paraId="7CADE287" w14:textId="77777777" w:rsidR="00B906A8" w:rsidRPr="00B618D5" w:rsidRDefault="00B906A8" w:rsidP="009C04A9">
      <w:pPr>
        <w:rPr>
          <w:rFonts w:asciiTheme="minorHAnsi" w:hAnsiTheme="minorHAnsi" w:cstheme="minorHAnsi"/>
          <w:b/>
          <w:bCs/>
          <w:sz w:val="22"/>
          <w:szCs w:val="22"/>
          <w:lang w:val="es-ES_tradnl"/>
        </w:rPr>
      </w:pPr>
    </w:p>
    <w:p w14:paraId="35D83E8B"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Se han identificado dos categorías de destinatarios para los materiales que deberá desarrollar el GECT para el trienio 2016-2018 (sujeto a una revisión en el futuro):</w:t>
      </w:r>
    </w:p>
    <w:p w14:paraId="43E42ABF" w14:textId="77777777" w:rsidR="00B906A8" w:rsidRPr="00B618D5" w:rsidRDefault="00B906A8" w:rsidP="009C04A9">
      <w:pPr>
        <w:ind w:left="360"/>
        <w:rPr>
          <w:rFonts w:asciiTheme="minorHAnsi" w:hAnsiTheme="minorHAnsi" w:cstheme="minorHAnsi"/>
          <w:lang w:val="es-ES_tradnl"/>
        </w:rPr>
      </w:pPr>
    </w:p>
    <w:p w14:paraId="2348A978" w14:textId="77777777" w:rsidR="00B906A8" w:rsidRPr="00B618D5" w:rsidRDefault="00B906A8" w:rsidP="009C04A9">
      <w:pPr>
        <w:pStyle w:val="ListParagraph"/>
        <w:numPr>
          <w:ilvl w:val="0"/>
          <w:numId w:val="16"/>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Responsables de políticas, inclusive aquéllos de los sectores del agua y el medio ambiente y otros sectores afines tales como la energía, la salud y el saneamiento, la agricultura, las infraestructuras; y</w:t>
      </w:r>
    </w:p>
    <w:p w14:paraId="359A3065" w14:textId="77777777" w:rsidR="00B906A8" w:rsidRPr="00B618D5" w:rsidRDefault="00B906A8"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773F5753" w14:textId="747BF45F" w:rsidR="00B906A8" w:rsidRPr="00B618D5" w:rsidRDefault="008116C6" w:rsidP="009C04A9">
      <w:pPr>
        <w:pStyle w:val="ListParagraph"/>
        <w:numPr>
          <w:ilvl w:val="0"/>
          <w:numId w:val="16"/>
        </w:numPr>
        <w:autoSpaceDE w:val="0"/>
        <w:autoSpaceDN w:val="0"/>
        <w:adjustRightInd w:val="0"/>
        <w:spacing w:after="0" w:line="240" w:lineRule="auto"/>
        <w:ind w:left="851" w:hanging="425"/>
        <w:rPr>
          <w:rFonts w:asciiTheme="minorHAnsi" w:hAnsiTheme="minorHAnsi" w:cstheme="minorHAnsi"/>
          <w:lang w:val="es-ES_tradnl"/>
        </w:rPr>
      </w:pPr>
      <w:r>
        <w:rPr>
          <w:rFonts w:asciiTheme="minorHAnsi" w:hAnsiTheme="minorHAnsi" w:cstheme="minorHAnsi"/>
          <w:lang w:val="es-ES_tradnl"/>
        </w:rPr>
        <w:t>Implementadores</w:t>
      </w:r>
      <w:r w:rsidR="00B906A8" w:rsidRPr="00B618D5">
        <w:rPr>
          <w:rFonts w:asciiTheme="minorHAnsi" w:hAnsiTheme="minorHAnsi" w:cstheme="minorHAnsi"/>
          <w:lang w:val="es-ES_tradnl"/>
        </w:rPr>
        <w:t xml:space="preserve"> y particularmente </w:t>
      </w:r>
      <w:r w:rsidR="00F5272C" w:rsidRPr="00B618D5">
        <w:rPr>
          <w:rFonts w:asciiTheme="minorHAnsi" w:hAnsiTheme="minorHAnsi" w:cstheme="minorHAnsi"/>
          <w:lang w:val="es-ES_tradnl"/>
        </w:rPr>
        <w:t xml:space="preserve">administradores de humedales e interesados relacionados con ellos, </w:t>
      </w:r>
      <w:r w:rsidR="00B906A8" w:rsidRPr="00B618D5">
        <w:rPr>
          <w:rFonts w:asciiTheme="minorHAnsi" w:hAnsiTheme="minorHAnsi" w:cstheme="minorHAnsi"/>
          <w:lang w:val="es-ES_tradnl"/>
        </w:rPr>
        <w:t>pero también otros de ámbitos afines, tales como gestores de áreas protegidas y personal de centros de educación sobre los humedales.</w:t>
      </w:r>
    </w:p>
    <w:p w14:paraId="5405F3AD" w14:textId="77777777" w:rsidR="00B906A8" w:rsidRPr="00B618D5" w:rsidRDefault="00B906A8" w:rsidP="009C04A9">
      <w:pPr>
        <w:ind w:right="-46"/>
        <w:rPr>
          <w:rFonts w:asciiTheme="minorHAnsi" w:hAnsiTheme="minorHAnsi" w:cstheme="minorHAnsi"/>
          <w:sz w:val="22"/>
          <w:szCs w:val="22"/>
          <w:lang w:val="es-ES_tradnl"/>
        </w:rPr>
      </w:pPr>
    </w:p>
    <w:p w14:paraId="03621CAD"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El GECT desarrollará los siguientes tipos de orientaciones:</w:t>
      </w:r>
    </w:p>
    <w:p w14:paraId="65F2D0BE"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2F3EF632" w14:textId="5D33625E" w:rsidR="00B906A8" w:rsidRPr="00B618D5" w:rsidRDefault="00B906A8" w:rsidP="009C04A9">
      <w:pPr>
        <w:pStyle w:val="ListParagraph"/>
        <w:numPr>
          <w:ilvl w:val="0"/>
          <w:numId w:val="17"/>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 xml:space="preserve">Orientaciones científicas, que representan la base de las orientaciones técnicas para los </w:t>
      </w:r>
      <w:r w:rsidR="00107B8B" w:rsidRPr="00B618D5">
        <w:rPr>
          <w:rFonts w:asciiTheme="minorHAnsi" w:hAnsiTheme="minorHAnsi" w:cstheme="minorHAnsi"/>
          <w:lang w:val="es-ES_tradnl"/>
        </w:rPr>
        <w:t xml:space="preserve">responsables de políticas </w:t>
      </w:r>
      <w:r w:rsidR="001C2429">
        <w:rPr>
          <w:rFonts w:asciiTheme="minorHAnsi" w:hAnsiTheme="minorHAnsi" w:cstheme="minorHAnsi"/>
          <w:lang w:val="es-ES_tradnl"/>
        </w:rPr>
        <w:t>e implementadores</w:t>
      </w:r>
      <w:r w:rsidR="00107B8B" w:rsidRPr="00B618D5">
        <w:rPr>
          <w:rFonts w:asciiTheme="minorHAnsi" w:hAnsiTheme="minorHAnsi" w:cstheme="minorHAnsi"/>
          <w:lang w:val="es-ES_tradnl"/>
        </w:rPr>
        <w:t>.</w:t>
      </w:r>
    </w:p>
    <w:p w14:paraId="1D77A898" w14:textId="77777777" w:rsidR="00B906A8" w:rsidRPr="00B618D5" w:rsidRDefault="00B906A8"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128B8D30" w14:textId="570C4858" w:rsidR="00B906A8" w:rsidRPr="00B618D5" w:rsidRDefault="00B906A8" w:rsidP="009C04A9">
      <w:pPr>
        <w:pStyle w:val="ListParagraph"/>
        <w:numPr>
          <w:ilvl w:val="0"/>
          <w:numId w:val="17"/>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Orientaciones técnicas</w:t>
      </w:r>
      <w:r w:rsidR="00107B8B" w:rsidRPr="00B618D5">
        <w:rPr>
          <w:rFonts w:asciiTheme="minorHAnsi" w:hAnsiTheme="minorHAnsi" w:cstheme="minorHAnsi"/>
          <w:lang w:val="es-ES_tradnl"/>
        </w:rPr>
        <w:t xml:space="preserve"> </w:t>
      </w:r>
      <w:r w:rsidR="00984232" w:rsidRPr="00B618D5">
        <w:rPr>
          <w:rFonts w:asciiTheme="minorHAnsi" w:hAnsiTheme="minorHAnsi" w:cstheme="minorHAnsi"/>
          <w:lang w:val="es-ES_tradnl"/>
        </w:rPr>
        <w:t>con base científica</w:t>
      </w:r>
      <w:r w:rsidR="00107B8B" w:rsidRPr="00B618D5">
        <w:rPr>
          <w:rFonts w:asciiTheme="minorHAnsi" w:hAnsiTheme="minorHAnsi" w:cstheme="minorHAnsi"/>
          <w:lang w:val="es-ES_tradnl"/>
        </w:rPr>
        <w:t>, que</w:t>
      </w:r>
      <w:r w:rsidRPr="00B618D5">
        <w:rPr>
          <w:rFonts w:asciiTheme="minorHAnsi" w:hAnsiTheme="minorHAnsi" w:cstheme="minorHAnsi"/>
          <w:lang w:val="es-ES_tradnl"/>
        </w:rPr>
        <w:t xml:space="preserve"> responden a necesidades metodológicas concretas de los responsables de políticas </w:t>
      </w:r>
      <w:r w:rsidR="001C2429">
        <w:rPr>
          <w:rFonts w:asciiTheme="minorHAnsi" w:hAnsiTheme="minorHAnsi" w:cstheme="minorHAnsi"/>
          <w:lang w:val="es-ES_tradnl"/>
        </w:rPr>
        <w:t>e implementadores</w:t>
      </w:r>
      <w:r w:rsidRPr="00B618D5">
        <w:rPr>
          <w:rFonts w:asciiTheme="minorHAnsi" w:hAnsiTheme="minorHAnsi" w:cstheme="minorHAnsi"/>
          <w:lang w:val="es-ES_tradnl"/>
        </w:rPr>
        <w:t>, proporcionando distintos tipos de orientaciones técnicas para cada uno.</w:t>
      </w:r>
    </w:p>
    <w:p w14:paraId="0EB4263C" w14:textId="77777777" w:rsidR="00B906A8" w:rsidRPr="00B618D5" w:rsidRDefault="00B906A8" w:rsidP="009C04A9">
      <w:pPr>
        <w:autoSpaceDE w:val="0"/>
        <w:autoSpaceDN w:val="0"/>
        <w:adjustRightInd w:val="0"/>
        <w:rPr>
          <w:rFonts w:asciiTheme="minorHAnsi" w:eastAsiaTheme="minorHAnsi" w:hAnsiTheme="minorHAnsi" w:cstheme="minorHAnsi"/>
          <w:lang w:val="es-ES_tradnl" w:eastAsia="en-US"/>
        </w:rPr>
      </w:pPr>
    </w:p>
    <w:p w14:paraId="302B7D53" w14:textId="73EE966B"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Los destinatarios principales de las orientaciones científicas serán los </w:t>
      </w:r>
      <w:r w:rsidR="00907F2F">
        <w:rPr>
          <w:rFonts w:asciiTheme="minorHAnsi" w:eastAsiaTheme="minorHAnsi" w:hAnsiTheme="minorHAnsi" w:cstheme="minorHAnsi"/>
          <w:bCs/>
          <w:lang w:val="es-ES_tradnl"/>
        </w:rPr>
        <w:t>implement</w:t>
      </w:r>
      <w:r w:rsidR="001C2429">
        <w:rPr>
          <w:rFonts w:asciiTheme="minorHAnsi" w:eastAsiaTheme="minorHAnsi" w:hAnsiTheme="minorHAnsi" w:cstheme="minorHAnsi"/>
          <w:bCs/>
          <w:lang w:val="es-ES_tradnl"/>
        </w:rPr>
        <w:t>a</w:t>
      </w:r>
      <w:r w:rsidR="00907F2F">
        <w:rPr>
          <w:rFonts w:asciiTheme="minorHAnsi" w:eastAsiaTheme="minorHAnsi" w:hAnsiTheme="minorHAnsi" w:cstheme="minorHAnsi"/>
          <w:bCs/>
          <w:lang w:val="es-ES_tradnl"/>
        </w:rPr>
        <w:t>dores</w:t>
      </w:r>
      <w:r w:rsidRPr="00B618D5">
        <w:rPr>
          <w:rFonts w:asciiTheme="minorHAnsi" w:eastAsiaTheme="minorHAnsi" w:hAnsiTheme="minorHAnsi" w:cstheme="minorHAnsi"/>
          <w:bCs/>
          <w:lang w:val="es-ES_tradnl"/>
        </w:rPr>
        <w:t>. Las orientaciones</w:t>
      </w:r>
      <w:r w:rsidR="00085F2A" w:rsidRPr="00B618D5">
        <w:rPr>
          <w:rFonts w:asciiTheme="minorHAnsi" w:eastAsiaTheme="minorHAnsi" w:hAnsiTheme="minorHAnsi" w:cstheme="minorHAnsi"/>
          <w:bCs/>
          <w:lang w:val="es-ES_tradnl"/>
        </w:rPr>
        <w:t xml:space="preserve"> del GECT</w:t>
      </w:r>
      <w:r w:rsidRPr="00B618D5">
        <w:rPr>
          <w:rFonts w:asciiTheme="minorHAnsi" w:eastAsiaTheme="minorHAnsi" w:hAnsiTheme="minorHAnsi" w:cstheme="minorHAnsi"/>
          <w:bCs/>
          <w:lang w:val="es-ES_tradnl"/>
        </w:rPr>
        <w:t xml:space="preserve"> se basarán en investigaciones publicadas revisadas por pares y otras fuentes científicas para contribuir a la aplicación de la Convención.</w:t>
      </w:r>
    </w:p>
    <w:p w14:paraId="0F73B578"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650567AD" w14:textId="6A27E108"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Los productos del GECT serán principalmente orientaciones técnicas. </w:t>
      </w:r>
      <w:r w:rsidR="00085F2A" w:rsidRPr="00B618D5">
        <w:rPr>
          <w:rFonts w:asciiTheme="minorHAnsi" w:eastAsiaTheme="minorHAnsi" w:hAnsiTheme="minorHAnsi" w:cstheme="minorHAnsi"/>
          <w:bCs/>
          <w:lang w:val="es-ES_tradnl"/>
        </w:rPr>
        <w:t>Todas l</w:t>
      </w:r>
      <w:r w:rsidRPr="00B618D5">
        <w:rPr>
          <w:rFonts w:asciiTheme="minorHAnsi" w:eastAsiaTheme="minorHAnsi" w:hAnsiTheme="minorHAnsi" w:cstheme="minorHAnsi"/>
          <w:bCs/>
          <w:lang w:val="es-ES_tradnl"/>
        </w:rPr>
        <w:t xml:space="preserve">as orientaciones </w:t>
      </w:r>
      <w:r w:rsidR="00085F2A" w:rsidRPr="00B618D5">
        <w:rPr>
          <w:rFonts w:asciiTheme="minorHAnsi" w:eastAsiaTheme="minorHAnsi" w:hAnsiTheme="minorHAnsi" w:cstheme="minorHAnsi"/>
          <w:bCs/>
          <w:lang w:val="es-ES_tradnl"/>
        </w:rPr>
        <w:t>del GECT estarán basadas en datos científicos</w:t>
      </w:r>
      <w:r w:rsidRPr="00B618D5">
        <w:rPr>
          <w:rFonts w:asciiTheme="minorHAnsi" w:eastAsiaTheme="minorHAnsi" w:hAnsiTheme="minorHAnsi" w:cstheme="minorHAnsi"/>
          <w:bCs/>
          <w:lang w:val="es-ES_tradnl"/>
        </w:rPr>
        <w:t>.</w:t>
      </w:r>
    </w:p>
    <w:p w14:paraId="1B6742B3" w14:textId="77777777" w:rsidR="00B906A8" w:rsidRPr="00B618D5" w:rsidRDefault="00B906A8" w:rsidP="009C04A9">
      <w:pPr>
        <w:rPr>
          <w:rFonts w:asciiTheme="minorHAnsi" w:eastAsiaTheme="minorHAnsi" w:hAnsiTheme="minorHAnsi" w:cstheme="minorHAnsi"/>
          <w:bCs/>
          <w:lang w:val="es-ES_tradnl"/>
        </w:rPr>
      </w:pPr>
    </w:p>
    <w:p w14:paraId="63768140" w14:textId="54EC622A"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Los principales destinatarios de las orientaciones técnicas serán los responsables de políticas</w:t>
      </w:r>
      <w:r w:rsidR="00107B8B" w:rsidRPr="00B618D5">
        <w:rPr>
          <w:rFonts w:asciiTheme="minorHAnsi" w:eastAsiaTheme="minorHAnsi" w:hAnsiTheme="minorHAnsi" w:cstheme="minorHAnsi"/>
          <w:bCs/>
          <w:lang w:val="es-ES_tradnl"/>
        </w:rPr>
        <w:t xml:space="preserve"> </w:t>
      </w:r>
      <w:r w:rsidR="00907F2F">
        <w:rPr>
          <w:rFonts w:asciiTheme="minorHAnsi" w:eastAsiaTheme="minorHAnsi" w:hAnsiTheme="minorHAnsi" w:cstheme="minorHAnsi"/>
          <w:bCs/>
          <w:lang w:val="es-ES_tradnl"/>
        </w:rPr>
        <w:t>e</w:t>
      </w:r>
      <w:r w:rsidR="00107B8B" w:rsidRPr="00B618D5">
        <w:rPr>
          <w:rFonts w:asciiTheme="minorHAnsi" w:eastAsiaTheme="minorHAnsi" w:hAnsiTheme="minorHAnsi" w:cstheme="minorHAnsi"/>
          <w:bCs/>
          <w:lang w:val="es-ES_tradnl"/>
        </w:rPr>
        <w:t xml:space="preserve"> </w:t>
      </w:r>
      <w:r w:rsidR="00907F2F">
        <w:rPr>
          <w:rFonts w:asciiTheme="minorHAnsi" w:eastAsiaTheme="minorHAnsi" w:hAnsiTheme="minorHAnsi" w:cstheme="minorHAnsi"/>
          <w:bCs/>
          <w:lang w:val="es-ES_tradnl"/>
        </w:rPr>
        <w:t>implementadores</w:t>
      </w:r>
      <w:r w:rsidRPr="00B618D5">
        <w:rPr>
          <w:rFonts w:asciiTheme="minorHAnsi" w:eastAsiaTheme="minorHAnsi" w:hAnsiTheme="minorHAnsi" w:cstheme="minorHAnsi"/>
          <w:bCs/>
          <w:lang w:val="es-ES_tradnl"/>
        </w:rPr>
        <w:t>, aunque los usuarios de los humedales también podrán beneficiarse de las mismas. Dichas orientaciones se facilitarán en distintos formatos, tales como cuadernos, manuales, fichas, seminarios en línea y videos</w:t>
      </w:r>
      <w:r w:rsidR="00085F2A" w:rsidRPr="00B618D5">
        <w:rPr>
          <w:rFonts w:asciiTheme="minorHAnsi" w:eastAsiaTheme="minorHAnsi" w:hAnsiTheme="minorHAnsi" w:cstheme="minorHAnsi"/>
          <w:bCs/>
          <w:lang w:val="es-ES_tradnl"/>
        </w:rPr>
        <w:t xml:space="preserve"> con el apoyo del </w:t>
      </w:r>
      <w:r w:rsidR="00F5272C" w:rsidRPr="00B618D5">
        <w:rPr>
          <w:rFonts w:asciiTheme="minorHAnsi" w:eastAsiaTheme="minorHAnsi" w:hAnsiTheme="minorHAnsi" w:cstheme="minorHAnsi"/>
          <w:bCs/>
          <w:lang w:val="es-ES_tradnl"/>
        </w:rPr>
        <w:t>Programa de CECoP</w:t>
      </w:r>
      <w:r w:rsidR="00085F2A" w:rsidRPr="00B618D5">
        <w:rPr>
          <w:rFonts w:asciiTheme="minorHAnsi" w:eastAsiaTheme="minorHAnsi" w:hAnsiTheme="minorHAnsi" w:cstheme="minorHAnsi"/>
          <w:bCs/>
          <w:lang w:val="es-ES_tradnl"/>
        </w:rPr>
        <w:t xml:space="preserve"> de la Secretaría</w:t>
      </w:r>
      <w:r w:rsidRPr="00B618D5">
        <w:rPr>
          <w:rFonts w:asciiTheme="minorHAnsi" w:eastAsiaTheme="minorHAnsi" w:hAnsiTheme="minorHAnsi" w:cstheme="minorHAnsi"/>
          <w:bCs/>
          <w:lang w:val="es-ES_tradnl"/>
        </w:rPr>
        <w:t>.</w:t>
      </w:r>
    </w:p>
    <w:p w14:paraId="5449653E" w14:textId="77777777" w:rsidR="00B906A8" w:rsidRPr="00B618D5" w:rsidRDefault="00B906A8" w:rsidP="009C04A9">
      <w:pPr>
        <w:rPr>
          <w:rFonts w:asciiTheme="minorHAnsi" w:eastAsiaTheme="minorHAnsi" w:hAnsiTheme="minorHAnsi" w:cstheme="minorHAnsi"/>
          <w:bCs/>
          <w:lang w:val="es-ES_tradnl"/>
        </w:rPr>
      </w:pPr>
    </w:p>
    <w:p w14:paraId="25DDF3C2" w14:textId="7527969D" w:rsidR="005B2AD3" w:rsidRPr="00B618D5" w:rsidRDefault="005B2AD3"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Las Partes Contratantes solicitarán orientaciones científicas y técnicas al GECT a través de la Secretaría</w:t>
      </w:r>
      <w:r w:rsidR="00F5272C" w:rsidRPr="00B618D5">
        <w:rPr>
          <w:rFonts w:asciiTheme="minorHAnsi" w:eastAsiaTheme="minorHAnsi" w:hAnsiTheme="minorHAnsi" w:cstheme="minorHAnsi"/>
          <w:bCs/>
          <w:lang w:val="es-ES_tradnl"/>
        </w:rPr>
        <w:t xml:space="preserve"> y el Presidente del GECT</w:t>
      </w:r>
      <w:r w:rsidRPr="00B618D5">
        <w:rPr>
          <w:rFonts w:asciiTheme="minorHAnsi" w:eastAsiaTheme="minorHAnsi" w:hAnsiTheme="minorHAnsi" w:cstheme="minorHAnsi"/>
          <w:bCs/>
          <w:lang w:val="es-ES_tradnl"/>
        </w:rPr>
        <w:t xml:space="preserve">, que facilitará la </w:t>
      </w:r>
      <w:r w:rsidR="00067818" w:rsidRPr="00B618D5">
        <w:rPr>
          <w:rFonts w:asciiTheme="minorHAnsi" w:eastAsiaTheme="minorHAnsi" w:hAnsiTheme="minorHAnsi" w:cstheme="minorHAnsi"/>
          <w:bCs/>
          <w:lang w:val="es-ES_tradnl"/>
        </w:rPr>
        <w:t>provisión del apoyo solicitado por las Partes</w:t>
      </w:r>
      <w:r w:rsidR="00F5272C" w:rsidRPr="00B618D5">
        <w:rPr>
          <w:rFonts w:asciiTheme="minorHAnsi" w:eastAsiaTheme="minorHAnsi" w:hAnsiTheme="minorHAnsi" w:cstheme="minorHAnsi"/>
          <w:bCs/>
          <w:lang w:val="es-ES_tradnl"/>
        </w:rPr>
        <w:t>, según proceda</w:t>
      </w:r>
      <w:r w:rsidR="00067818" w:rsidRPr="00B618D5">
        <w:rPr>
          <w:rFonts w:asciiTheme="minorHAnsi" w:eastAsiaTheme="minorHAnsi" w:hAnsiTheme="minorHAnsi" w:cstheme="minorHAnsi"/>
          <w:bCs/>
          <w:lang w:val="es-ES_tradnl"/>
        </w:rPr>
        <w:t>.</w:t>
      </w:r>
    </w:p>
    <w:p w14:paraId="4EDD0D54" w14:textId="77777777" w:rsidR="005B2AD3" w:rsidRPr="00B618D5" w:rsidRDefault="005B2AD3" w:rsidP="009C04A9">
      <w:pPr>
        <w:rPr>
          <w:rFonts w:asciiTheme="minorHAnsi" w:eastAsiaTheme="minorHAnsi" w:hAnsiTheme="minorHAnsi" w:cstheme="minorHAnsi"/>
          <w:bCs/>
          <w:lang w:val="es-ES_tradnl"/>
        </w:rPr>
      </w:pPr>
    </w:p>
    <w:p w14:paraId="1EBDD211"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Las orientaciones se desarrollarán reflejando las necesidades nacionales pero intentando tener también un enfoque regional. Los Asesores Regionales Superiores y Coordinadores Nacionales del GECT colaborarán para definir las prioridades y necesidades nacionales y regionales. </w:t>
      </w:r>
    </w:p>
    <w:p w14:paraId="7330A825"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2CAF88B5"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 xml:space="preserve">El equipo de comunicaciones de la Secretaría garantizará que todos los materiales sean claros y accesibles, además de relevantes para sus destinatarios. Realizará un seguimiento y una evaluación del alcance e impacto de los productos y presentará sus conclusiones al GECT. </w:t>
      </w:r>
    </w:p>
    <w:p w14:paraId="651C4591" w14:textId="77777777" w:rsidR="00B906A8" w:rsidRPr="00B618D5" w:rsidRDefault="00B906A8" w:rsidP="009C04A9">
      <w:pPr>
        <w:pStyle w:val="ListParagraph"/>
        <w:spacing w:after="0" w:line="240" w:lineRule="auto"/>
        <w:ind w:left="426"/>
        <w:contextualSpacing w:val="0"/>
        <w:rPr>
          <w:rFonts w:asciiTheme="minorHAnsi" w:eastAsiaTheme="minorHAnsi" w:hAnsiTheme="minorHAnsi" w:cstheme="minorHAnsi"/>
          <w:bCs/>
          <w:lang w:val="es-ES_tradnl"/>
        </w:rPr>
      </w:pPr>
    </w:p>
    <w:p w14:paraId="08A5C643" w14:textId="77777777" w:rsidR="00B906A8" w:rsidRPr="00B618D5" w:rsidRDefault="00B906A8" w:rsidP="009C04A9">
      <w:pPr>
        <w:pStyle w:val="ListParagraph"/>
        <w:numPr>
          <w:ilvl w:val="0"/>
          <w:numId w:val="3"/>
        </w:numPr>
        <w:spacing w:after="0" w:line="240" w:lineRule="auto"/>
        <w:ind w:left="426" w:hanging="426"/>
        <w:contextualSpacing w:val="0"/>
        <w:rPr>
          <w:rFonts w:asciiTheme="minorHAnsi" w:eastAsiaTheme="minorHAnsi" w:hAnsiTheme="minorHAnsi" w:cstheme="minorHAnsi"/>
          <w:bCs/>
          <w:lang w:val="es-ES_tradnl"/>
        </w:rPr>
      </w:pPr>
      <w:r w:rsidRPr="00B618D5">
        <w:rPr>
          <w:rFonts w:asciiTheme="minorHAnsi" w:eastAsiaTheme="minorHAnsi" w:hAnsiTheme="minorHAnsi" w:cstheme="minorHAnsi"/>
          <w:bCs/>
          <w:lang w:val="es-ES_tradnl"/>
        </w:rPr>
        <w:t>Se seguirá el siguiente proceso para desarrollar las orientaciones:</w:t>
      </w:r>
    </w:p>
    <w:p w14:paraId="5AB3B21C" w14:textId="77777777" w:rsidR="00B906A8" w:rsidRPr="00B618D5" w:rsidRDefault="00B906A8" w:rsidP="009C04A9">
      <w:pPr>
        <w:pStyle w:val="ListParagraph"/>
        <w:spacing w:after="0" w:line="240" w:lineRule="auto"/>
        <w:rPr>
          <w:rFonts w:asciiTheme="minorHAnsi" w:eastAsiaTheme="minorHAnsi" w:hAnsiTheme="minorHAnsi" w:cstheme="minorHAnsi"/>
          <w:bCs/>
          <w:lang w:val="es-ES_tradnl"/>
        </w:rPr>
      </w:pPr>
    </w:p>
    <w:p w14:paraId="3AC4B7BC" w14:textId="77777777" w:rsidR="00B906A8" w:rsidRPr="00B618D5" w:rsidRDefault="00B906A8" w:rsidP="009C04A9">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 xml:space="preserve">Las Partes Contratantes identificarán a los destinatarios para cada uno de los productos técnicos propuestos y la Secretaría ayudará a definir las necesidades de cada grupo de destinatarios. </w:t>
      </w:r>
    </w:p>
    <w:p w14:paraId="27C97FCA" w14:textId="77777777" w:rsidR="00B906A8" w:rsidRPr="00B618D5" w:rsidRDefault="00B906A8"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78382FB6" w14:textId="77777777" w:rsidR="00B906A8" w:rsidRPr="00B618D5" w:rsidRDefault="00B906A8" w:rsidP="009C04A9">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 xml:space="preserve">La Secretaría trabajará con los miembros del GECT para determinar el tipo, contenido, formato y diseño de cada producto técnico. </w:t>
      </w:r>
    </w:p>
    <w:p w14:paraId="1E8B5653" w14:textId="77777777" w:rsidR="00B906A8" w:rsidRPr="00B618D5" w:rsidRDefault="00B906A8" w:rsidP="009C04A9">
      <w:pPr>
        <w:autoSpaceDE w:val="0"/>
        <w:autoSpaceDN w:val="0"/>
        <w:adjustRightInd w:val="0"/>
        <w:rPr>
          <w:rFonts w:asciiTheme="minorHAnsi" w:hAnsiTheme="minorHAnsi" w:cstheme="minorHAnsi"/>
          <w:lang w:val="es-ES_tradnl"/>
        </w:rPr>
      </w:pPr>
    </w:p>
    <w:p w14:paraId="627B75B5" w14:textId="77777777" w:rsidR="00B906A8" w:rsidRPr="00B618D5" w:rsidRDefault="00B906A8" w:rsidP="009C04A9">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Los miembros del GECT identificarán fuentes de información y orientaciones existentes y a continuación desarrollarán las orientaciones, con arreglo a las prioridades temáticas y el Plan Estratégico vigente.</w:t>
      </w:r>
    </w:p>
    <w:p w14:paraId="355F8C80" w14:textId="77777777" w:rsidR="00B906A8" w:rsidRPr="00B618D5" w:rsidRDefault="00B906A8" w:rsidP="009C04A9">
      <w:pPr>
        <w:pStyle w:val="ListParagraph"/>
        <w:spacing w:after="0" w:line="240" w:lineRule="auto"/>
        <w:rPr>
          <w:rFonts w:asciiTheme="minorHAnsi" w:hAnsiTheme="minorHAnsi" w:cstheme="minorHAnsi"/>
          <w:lang w:val="es-ES_tradnl"/>
        </w:rPr>
      </w:pPr>
    </w:p>
    <w:p w14:paraId="2D9DEBFC" w14:textId="77777777" w:rsidR="00B906A8" w:rsidRPr="00B618D5" w:rsidRDefault="00B906A8" w:rsidP="009C04A9">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El equipo de comunicaciones de la Secretaría desarrollará resúmenes explicativos adicionales e información interpretativa relacionada con las orientaciones técnicas dirigidas a los responsables de políticas.</w:t>
      </w:r>
    </w:p>
    <w:p w14:paraId="1E72E217" w14:textId="77777777" w:rsidR="00B906A8" w:rsidRPr="00B618D5" w:rsidRDefault="00B906A8" w:rsidP="009C04A9">
      <w:pPr>
        <w:pStyle w:val="ListParagraph"/>
        <w:autoSpaceDE w:val="0"/>
        <w:autoSpaceDN w:val="0"/>
        <w:adjustRightInd w:val="0"/>
        <w:spacing w:after="0" w:line="240" w:lineRule="auto"/>
        <w:ind w:left="851"/>
        <w:rPr>
          <w:rFonts w:asciiTheme="minorHAnsi" w:hAnsiTheme="minorHAnsi" w:cstheme="minorHAnsi"/>
          <w:lang w:val="es-ES_tradnl"/>
        </w:rPr>
      </w:pPr>
    </w:p>
    <w:p w14:paraId="38584108" w14:textId="77777777" w:rsidR="00B906A8" w:rsidRPr="00B618D5" w:rsidRDefault="00B906A8" w:rsidP="009C04A9">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La Secretaría comunicará y distribuirá las orientaciones, con la ayuda de los miembros del GECT, las Organizaciones Internacionales Asociadas, los Coordinadores Nacionales del GECT y otros asociados.</w:t>
      </w:r>
    </w:p>
    <w:p w14:paraId="2CC39DFC" w14:textId="77777777" w:rsidR="00B906A8" w:rsidRPr="00B618D5" w:rsidRDefault="00B906A8" w:rsidP="009C04A9">
      <w:pPr>
        <w:pStyle w:val="ListParagraph"/>
        <w:spacing w:after="0" w:line="240" w:lineRule="auto"/>
        <w:rPr>
          <w:rFonts w:asciiTheme="minorHAnsi" w:hAnsiTheme="minorHAnsi" w:cstheme="minorHAnsi"/>
          <w:lang w:val="es-ES_tradnl"/>
        </w:rPr>
      </w:pPr>
    </w:p>
    <w:p w14:paraId="67908A5C" w14:textId="77777777" w:rsidR="00B906A8" w:rsidRPr="00B618D5" w:rsidRDefault="00B906A8" w:rsidP="009C04A9">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La Secretaría encabezará el seguimiento de la aplicación de las orientaciones e informará sobre ello al GECT y al Comité Permanente.</w:t>
      </w:r>
    </w:p>
    <w:p w14:paraId="2F18E602" w14:textId="77777777" w:rsidR="00B906A8" w:rsidRPr="00B618D5" w:rsidRDefault="00B906A8" w:rsidP="009C04A9">
      <w:pPr>
        <w:pStyle w:val="ListParagraph"/>
        <w:spacing w:after="0" w:line="240" w:lineRule="auto"/>
        <w:rPr>
          <w:rFonts w:asciiTheme="minorHAnsi" w:hAnsiTheme="minorHAnsi" w:cstheme="minorHAnsi"/>
          <w:lang w:val="es-ES_tradnl"/>
        </w:rPr>
      </w:pPr>
    </w:p>
    <w:p w14:paraId="693C947E" w14:textId="77777777" w:rsidR="00B906A8" w:rsidRPr="00B618D5" w:rsidRDefault="00B906A8" w:rsidP="009C04A9">
      <w:pPr>
        <w:pStyle w:val="ListParagraph"/>
        <w:numPr>
          <w:ilvl w:val="0"/>
          <w:numId w:val="18"/>
        </w:numPr>
        <w:autoSpaceDE w:val="0"/>
        <w:autoSpaceDN w:val="0"/>
        <w:adjustRightInd w:val="0"/>
        <w:spacing w:after="0" w:line="240" w:lineRule="auto"/>
        <w:ind w:left="851" w:hanging="425"/>
        <w:rPr>
          <w:rFonts w:asciiTheme="minorHAnsi" w:hAnsiTheme="minorHAnsi" w:cstheme="minorHAnsi"/>
          <w:lang w:val="es-ES_tradnl"/>
        </w:rPr>
      </w:pPr>
      <w:r w:rsidRPr="00B618D5">
        <w:rPr>
          <w:rFonts w:asciiTheme="minorHAnsi" w:hAnsiTheme="minorHAnsi" w:cstheme="minorHAnsi"/>
          <w:lang w:val="es-ES_tradnl"/>
        </w:rPr>
        <w:t>La Secretaría encargará un examen periódico de la utilización de las orientaciones y presentará un informe al respecto al Comité Permanente.</w:t>
      </w:r>
    </w:p>
    <w:p w14:paraId="5419A7B3" w14:textId="77777777" w:rsidR="00B906A8" w:rsidRPr="00B618D5" w:rsidRDefault="00B906A8" w:rsidP="00B906A8">
      <w:pPr>
        <w:spacing w:after="200" w:line="276" w:lineRule="auto"/>
        <w:rPr>
          <w:rFonts w:asciiTheme="minorHAnsi" w:eastAsiaTheme="minorHAnsi" w:hAnsiTheme="minorHAnsi" w:cstheme="minorHAnsi"/>
          <w:b/>
          <w:bCs/>
          <w:lang w:val="es-ES_tradnl" w:eastAsia="en-US"/>
        </w:rPr>
      </w:pPr>
    </w:p>
    <w:p w14:paraId="77435684" w14:textId="77777777" w:rsidR="00B906A8" w:rsidRPr="00B618D5" w:rsidRDefault="00B906A8" w:rsidP="00107B8B">
      <w:pPr>
        <w:spacing w:after="200" w:line="276" w:lineRule="auto"/>
        <w:rPr>
          <w:rFonts w:asciiTheme="minorHAnsi" w:eastAsiaTheme="minorHAnsi" w:hAnsiTheme="minorHAnsi" w:cstheme="minorHAnsi"/>
          <w:b/>
          <w:bCs/>
          <w:lang w:val="es-ES_tradnl" w:eastAsia="en-US"/>
        </w:rPr>
      </w:pPr>
      <w:r w:rsidRPr="00B618D5">
        <w:rPr>
          <w:rFonts w:asciiTheme="minorHAnsi" w:eastAsiaTheme="minorHAnsi" w:hAnsiTheme="minorHAnsi" w:cstheme="minorHAnsi"/>
          <w:b/>
          <w:bCs/>
          <w:lang w:val="es-ES_tradnl" w:eastAsia="en-US"/>
        </w:rPr>
        <w:br w:type="page"/>
      </w:r>
      <w:r w:rsidRPr="00B618D5">
        <w:rPr>
          <w:rFonts w:asciiTheme="minorHAnsi" w:eastAsiaTheme="minorHAnsi" w:hAnsiTheme="minorHAnsi" w:cstheme="minorHAnsi"/>
          <w:b/>
          <w:bCs/>
          <w:lang w:val="es-ES_tradnl" w:eastAsia="en-US"/>
        </w:rPr>
        <w:lastRenderedPageBreak/>
        <w:t>Anexo 2</w:t>
      </w:r>
    </w:p>
    <w:p w14:paraId="6D5AF3A5" w14:textId="77777777" w:rsidR="00B906A8" w:rsidRPr="00B618D5" w:rsidRDefault="00B906A8" w:rsidP="00B906A8">
      <w:pPr>
        <w:rPr>
          <w:rFonts w:asciiTheme="minorHAnsi" w:eastAsiaTheme="minorHAnsi" w:hAnsiTheme="minorHAnsi" w:cstheme="minorHAnsi"/>
          <w:b/>
          <w:bCs/>
          <w:lang w:val="es-ES_tradnl" w:eastAsia="en-US"/>
        </w:rPr>
      </w:pPr>
      <w:r w:rsidRPr="00B618D5">
        <w:rPr>
          <w:rFonts w:asciiTheme="minorHAnsi" w:eastAsiaTheme="minorHAnsi" w:hAnsiTheme="minorHAnsi" w:cstheme="minorHAnsi"/>
          <w:b/>
          <w:bCs/>
          <w:lang w:val="es-ES_tradnl" w:eastAsia="en-US"/>
        </w:rPr>
        <w:t>Órganos y organizaciones invitados a participar en calidad de observadores en las reuniones y los procesos del GECT durante el trienio 2016-2018</w:t>
      </w:r>
    </w:p>
    <w:p w14:paraId="5541FE25" w14:textId="77777777" w:rsidR="00B906A8" w:rsidRPr="00B618D5" w:rsidRDefault="00B906A8" w:rsidP="00B906A8">
      <w:pPr>
        <w:pStyle w:val="ListParagraph"/>
        <w:spacing w:after="0" w:line="240" w:lineRule="auto"/>
        <w:ind w:left="426"/>
        <w:contextualSpacing w:val="0"/>
        <w:rPr>
          <w:rFonts w:asciiTheme="minorHAnsi" w:eastAsiaTheme="minorHAnsi" w:hAnsiTheme="minorHAnsi" w:cstheme="minorHAnsi"/>
          <w:bCs/>
          <w:lang w:val="es-ES_tradnl"/>
        </w:rPr>
      </w:pPr>
    </w:p>
    <w:p w14:paraId="5FBFBF5C" w14:textId="77777777" w:rsidR="00B906A8" w:rsidRPr="00B618D5" w:rsidRDefault="00B906A8" w:rsidP="00B906A8">
      <w:pPr>
        <w:rPr>
          <w:rFonts w:asciiTheme="minorHAnsi" w:eastAsiaTheme="minorHAnsi" w:hAnsiTheme="minorHAnsi" w:cstheme="minorHAnsi"/>
          <w:bCs/>
          <w:sz w:val="22"/>
          <w:szCs w:val="22"/>
          <w:lang w:val="es-ES_tradnl"/>
        </w:rPr>
      </w:pPr>
      <w:r w:rsidRPr="00B618D5">
        <w:rPr>
          <w:rFonts w:asciiTheme="minorHAnsi" w:eastAsiaTheme="minorHAnsi" w:hAnsiTheme="minorHAnsi" w:cstheme="minorHAnsi"/>
          <w:bCs/>
          <w:sz w:val="22"/>
          <w:szCs w:val="22"/>
          <w:lang w:val="es-ES_tradnl"/>
        </w:rPr>
        <w:t>Las organizaciones observadoras se definen como acuerdos mundiales y regionales multilaterales sobre medio ambiente, organizaciones y procesos intergubernamentales mundiales (OIG), organizaciones y procesos intergubernamentales regionales, organizaciones internaciones y otras ONG y organizaciones dedicadas a los humedales.</w:t>
      </w:r>
    </w:p>
    <w:p w14:paraId="5A1D182B" w14:textId="77777777" w:rsidR="00B906A8" w:rsidRPr="00B618D5" w:rsidRDefault="00B906A8" w:rsidP="00B906A8">
      <w:pPr>
        <w:rPr>
          <w:rFonts w:asciiTheme="minorHAnsi" w:eastAsiaTheme="minorHAnsi" w:hAnsiTheme="minorHAnsi" w:cstheme="minorHAnsi"/>
          <w:bCs/>
          <w:sz w:val="22"/>
          <w:szCs w:val="22"/>
          <w:lang w:val="es-ES_tradnl"/>
        </w:rPr>
      </w:pPr>
    </w:p>
    <w:p w14:paraId="29350B1B" w14:textId="77777777" w:rsidR="00B906A8" w:rsidRPr="00B618D5" w:rsidRDefault="00B906A8" w:rsidP="00B906A8">
      <w:pPr>
        <w:rPr>
          <w:rFonts w:asciiTheme="minorHAnsi" w:eastAsiaTheme="minorHAnsi" w:hAnsiTheme="minorHAnsi" w:cs="Garamond"/>
          <w:color w:val="000000"/>
          <w:lang w:val="es-ES_tradnl"/>
        </w:rPr>
      </w:pPr>
      <w:r w:rsidRPr="00B618D5">
        <w:rPr>
          <w:rFonts w:asciiTheme="minorHAnsi" w:eastAsiaTheme="minorHAnsi" w:hAnsiTheme="minorHAnsi" w:cstheme="minorHAnsi"/>
          <w:bCs/>
          <w:sz w:val="22"/>
          <w:szCs w:val="22"/>
          <w:lang w:val="es-ES_tradnl"/>
        </w:rPr>
        <w:t>Entre ellas se incluyen las siguientes:</w:t>
      </w:r>
    </w:p>
    <w:p w14:paraId="72F7CA58"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 xml:space="preserve">Conservation International (CI) </w:t>
      </w:r>
    </w:p>
    <w:p w14:paraId="271A935F"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Consultative Group on Biological Diversity</w:t>
      </w:r>
    </w:p>
    <w:p w14:paraId="419471AA"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Ducks Unlimited (DU)</w:t>
      </w:r>
    </w:p>
    <w:p w14:paraId="76D94B8A"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Environmental Law Institute</w:t>
      </w:r>
    </w:p>
    <w:p w14:paraId="0933E399"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 xml:space="preserve">Flora and Fauna International </w:t>
      </w:r>
      <w:r w:rsidRPr="00B618D5">
        <w:rPr>
          <w:rFonts w:asciiTheme="minorHAnsi" w:eastAsiaTheme="minorHAnsi" w:hAnsiTheme="minorHAnsi" w:cs="Garamond"/>
          <w:lang w:val="es-ES_tradnl"/>
        </w:rPr>
        <w:t>{Reserva formulada por Argentina]</w:t>
      </w:r>
    </w:p>
    <w:p w14:paraId="26AF1ECE"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 xml:space="preserve">Group on Earth Observation – Biodiversity Observation Network (GEO-BON, Grupo de observación de la Tierra – Red de observación de la biodiversidad) </w:t>
      </w:r>
    </w:p>
    <w:p w14:paraId="273D7D7C"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 xml:space="preserve">ICLEI – Gobiernos Locales por la Sustentabilidad </w:t>
      </w:r>
      <w:r w:rsidRPr="00B618D5">
        <w:rPr>
          <w:rFonts w:asciiTheme="minorHAnsi" w:eastAsiaTheme="minorHAnsi" w:hAnsiTheme="minorHAnsi" w:cs="Garamond"/>
          <w:lang w:val="es-ES_tradnl"/>
        </w:rPr>
        <w:t>{Reserva formulada por Argentina]</w:t>
      </w:r>
    </w:p>
    <w:p w14:paraId="7D03BDCF" w14:textId="77777777" w:rsidR="00107B8B" w:rsidRPr="00B618D5" w:rsidRDefault="00984232" w:rsidP="00107B8B">
      <w:pPr>
        <w:pStyle w:val="ListParagraph"/>
        <w:numPr>
          <w:ilvl w:val="0"/>
          <w:numId w:val="20"/>
        </w:numPr>
        <w:spacing w:after="0" w:line="240" w:lineRule="auto"/>
        <w:ind w:left="426" w:hanging="426"/>
        <w:rPr>
          <w:rFonts w:asciiTheme="minorHAnsi" w:eastAsiaTheme="minorHAnsi" w:hAnsiTheme="minorHAnsi" w:cs="Garamond"/>
          <w:lang w:val="es-ES_tradnl"/>
        </w:rPr>
      </w:pPr>
      <w:r w:rsidRPr="00B618D5">
        <w:rPr>
          <w:rFonts w:asciiTheme="minorHAnsi" w:eastAsiaTheme="minorHAnsi" w:hAnsiTheme="minorHAnsi" w:cs="Garamond"/>
          <w:lang w:val="es-ES_tradnl"/>
        </w:rPr>
        <w:t>Instituto Interamericano para la Investigación del Cambio Global (IA</w:t>
      </w:r>
      <w:r w:rsidR="00107B8B" w:rsidRPr="00B618D5">
        <w:rPr>
          <w:rFonts w:asciiTheme="minorHAnsi" w:eastAsiaTheme="minorHAnsi" w:hAnsiTheme="minorHAnsi" w:cs="Garamond"/>
          <w:lang w:val="es-ES_tradnl"/>
        </w:rPr>
        <w:t>I)</w:t>
      </w:r>
    </w:p>
    <w:p w14:paraId="13959E25"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NatureServe</w:t>
      </w:r>
    </w:p>
    <w:p w14:paraId="6DE0B34D" w14:textId="77777777" w:rsidR="003412FD" w:rsidRPr="00B618D5" w:rsidRDefault="003412FD" w:rsidP="003412FD">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Society of Wetland Scientists (SWS, Sociedad de científicos especializados en humedales)</w:t>
      </w:r>
    </w:p>
    <w:p w14:paraId="604B8436"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The Nature Conservancy (TNC)</w:t>
      </w:r>
    </w:p>
    <w:p w14:paraId="4C1BF38B" w14:textId="77777777" w:rsidR="003412FD" w:rsidRPr="009C04A9" w:rsidRDefault="003412FD" w:rsidP="00B906A8">
      <w:pPr>
        <w:pStyle w:val="ListParagraph"/>
        <w:numPr>
          <w:ilvl w:val="0"/>
          <w:numId w:val="20"/>
        </w:numPr>
        <w:spacing w:after="0" w:line="240" w:lineRule="auto"/>
        <w:ind w:left="426" w:hanging="426"/>
        <w:rPr>
          <w:rFonts w:asciiTheme="minorHAnsi" w:eastAsiaTheme="minorHAnsi" w:hAnsiTheme="minorHAnsi" w:cs="Garamond"/>
          <w:color w:val="000000"/>
          <w:lang w:val="en-GB"/>
        </w:rPr>
      </w:pPr>
      <w:r w:rsidRPr="009C04A9">
        <w:rPr>
          <w:rFonts w:asciiTheme="minorHAnsi" w:eastAsiaTheme="minorHAnsi" w:hAnsiTheme="minorHAnsi" w:cs="Garamond"/>
          <w:color w:val="000000"/>
          <w:lang w:val="en-GB"/>
        </w:rPr>
        <w:t>Wildfowl and Wetlands Trust (WWT)</w:t>
      </w:r>
    </w:p>
    <w:p w14:paraId="675AF2DC"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La Agencia Espacial Europea – ESRIN (ESA-ESRIN)</w:t>
      </w:r>
    </w:p>
    <w:p w14:paraId="17A5969A" w14:textId="18C51510" w:rsidR="00BC3C24" w:rsidRPr="00B618D5" w:rsidRDefault="00BC3C24"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hAnsiTheme="minorHAnsi" w:cs="Arial"/>
          <w:lang w:val="es-ES_tradnl"/>
        </w:rPr>
        <w:t>La Agencia Japonesa de Cooperación Internacional (JICA)</w:t>
      </w:r>
    </w:p>
    <w:p w14:paraId="2723DA2F"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 xml:space="preserve">La Agencia Japonesa de Exploración Espacial (JAXA) </w:t>
      </w:r>
    </w:p>
    <w:p w14:paraId="25760502" w14:textId="32F36275"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La Asociación Mundial para el Agua (GWP)</w:t>
      </w:r>
    </w:p>
    <w:p w14:paraId="3BAADF97"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El Banco Mundial</w:t>
      </w:r>
    </w:p>
    <w:p w14:paraId="255070BC"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El Business and Biodiversity Offsets Program (BPOP, Programa sobre negocios y compensaciones de biodiversidad)</w:t>
      </w:r>
    </w:p>
    <w:p w14:paraId="1A019DB6"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lang w:val="es-ES_tradnl"/>
        </w:rPr>
        <w:t>El centro de investigación para la conservación de los humedales mediterráneos de Tour du Valat</w:t>
      </w:r>
    </w:p>
    <w:p w14:paraId="4B0C188C"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lang w:val="es-ES_tradnl"/>
        </w:rPr>
      </w:pPr>
      <w:r w:rsidRPr="00B618D5">
        <w:rPr>
          <w:rFonts w:asciiTheme="minorHAnsi" w:eastAsiaTheme="minorHAnsi" w:hAnsiTheme="minorHAnsi" w:cs="Garamond"/>
          <w:lang w:val="es-ES_tradnl"/>
        </w:rPr>
        <w:t xml:space="preserve">El Centro Mundial de Vigilancia de la Conservación (CMVC) del </w:t>
      </w:r>
      <w:r w:rsidR="00C14212" w:rsidRPr="00B618D5">
        <w:rPr>
          <w:rFonts w:asciiTheme="minorHAnsi" w:eastAsiaTheme="minorHAnsi" w:hAnsiTheme="minorHAnsi" w:cs="Garamond"/>
          <w:lang w:val="es-ES_tradnl"/>
        </w:rPr>
        <w:t xml:space="preserve">Programa de las Naciones Unidas para el Medio Ambiente (PNUMA) </w:t>
      </w:r>
      <w:r w:rsidRPr="00B618D5">
        <w:rPr>
          <w:rFonts w:asciiTheme="minorHAnsi" w:eastAsiaTheme="minorHAnsi" w:hAnsiTheme="minorHAnsi" w:cs="Garamond"/>
          <w:lang w:val="es-ES_tradnl"/>
        </w:rPr>
        <w:t>(PNUMA-CMVC)</w:t>
      </w:r>
    </w:p>
    <w:p w14:paraId="2A168D00"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lang w:val="es-ES_tradnl"/>
        </w:rPr>
      </w:pPr>
      <w:r w:rsidRPr="00B618D5">
        <w:rPr>
          <w:rFonts w:asciiTheme="minorHAnsi" w:eastAsiaTheme="minorHAnsi" w:hAnsiTheme="minorHAnsi" w:cs="Garamond"/>
          <w:lang w:val="es-ES_tradnl"/>
        </w:rPr>
        <w:t xml:space="preserve">Las </w:t>
      </w:r>
      <w:r w:rsidRPr="00B618D5">
        <w:rPr>
          <w:rFonts w:asciiTheme="minorHAnsi" w:eastAsiaTheme="minorHAnsi" w:hAnsiTheme="minorHAnsi" w:cs="Garamond"/>
          <w:color w:val="000000"/>
          <w:lang w:val="es-ES_tradnl"/>
        </w:rPr>
        <w:t>comisiones económicas regionales de las Naciones Unidas</w:t>
      </w:r>
    </w:p>
    <w:p w14:paraId="3E2C002F"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El Comité de Ciencia y Tecnología de la Convención de Lucha contra la Desertificación (CLD)</w:t>
      </w:r>
    </w:p>
    <w:p w14:paraId="390FD3FB"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El Comité de Coordinación para los Lineamientos para la acción mundial sobre las turberas (GGAP-coco)</w:t>
      </w:r>
    </w:p>
    <w:p w14:paraId="2F4413E9"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El Comité Técnico del Acuerdo africano y euroasiático sobre las aves acuáticas migratorias (AEWA)</w:t>
      </w:r>
    </w:p>
    <w:p w14:paraId="61BC8F4F" w14:textId="3E15013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lang w:val="es-ES_tradnl"/>
        </w:rPr>
      </w:pPr>
      <w:r w:rsidRPr="00B618D5">
        <w:rPr>
          <w:rFonts w:asciiTheme="minorHAnsi" w:eastAsiaTheme="minorHAnsi" w:hAnsiTheme="minorHAnsi" w:cs="Garamond"/>
          <w:lang w:val="es-ES_tradnl"/>
        </w:rPr>
        <w:t>El Consejo Científico de la Convención sobre la</w:t>
      </w:r>
      <w:r w:rsidR="00C54BDB" w:rsidRPr="00B618D5">
        <w:rPr>
          <w:rFonts w:asciiTheme="minorHAnsi" w:eastAsiaTheme="minorHAnsi" w:hAnsiTheme="minorHAnsi" w:cs="Garamond"/>
          <w:lang w:val="es-ES_tradnl"/>
        </w:rPr>
        <w:t xml:space="preserve"> conservación de las especies migratorias de animales silvestres </w:t>
      </w:r>
      <w:r w:rsidRPr="00B618D5">
        <w:rPr>
          <w:rFonts w:asciiTheme="minorHAnsi" w:eastAsiaTheme="minorHAnsi" w:hAnsiTheme="minorHAnsi" w:cs="Garamond"/>
          <w:lang w:val="es-ES_tradnl"/>
        </w:rPr>
        <w:t>(</w:t>
      </w:r>
      <w:r w:rsidR="00107B8B" w:rsidRPr="00B618D5">
        <w:rPr>
          <w:rFonts w:asciiTheme="minorHAnsi" w:eastAsiaTheme="minorHAnsi" w:hAnsiTheme="minorHAnsi" w:cs="Garamond"/>
          <w:lang w:val="es-ES_tradnl"/>
        </w:rPr>
        <w:t xml:space="preserve">CS de la </w:t>
      </w:r>
      <w:r w:rsidRPr="00B618D5">
        <w:rPr>
          <w:rFonts w:asciiTheme="minorHAnsi" w:eastAsiaTheme="minorHAnsi" w:hAnsiTheme="minorHAnsi" w:cs="Garamond"/>
          <w:lang w:val="es-ES_tradnl"/>
        </w:rPr>
        <w:t xml:space="preserve">CEM) </w:t>
      </w:r>
    </w:p>
    <w:p w14:paraId="19D2B659"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 xml:space="preserve">El Foro de las Naciones Unidas sobre los Bosques (UNFF) </w:t>
      </w:r>
    </w:p>
    <w:p w14:paraId="43AA3658"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 xml:space="preserve">El Grupo Asesor Científico y Tecnológico (STAP) del Fondo para el Medio Ambiente Mundial </w:t>
      </w:r>
    </w:p>
    <w:p w14:paraId="73F3A8C7"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El Instituto para la Política Ambiental Europea (IPAE)</w:t>
      </w:r>
    </w:p>
    <w:p w14:paraId="659EE030"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 xml:space="preserve">El Instituto para la Educación relativa al Agua </w:t>
      </w:r>
      <w:r w:rsidR="00444430" w:rsidRPr="00B618D5">
        <w:rPr>
          <w:rFonts w:asciiTheme="minorHAnsi" w:eastAsiaTheme="minorHAnsi" w:hAnsiTheme="minorHAnsi" w:cs="Garamond"/>
          <w:color w:val="000000"/>
          <w:lang w:val="es-ES_tradnl"/>
        </w:rPr>
        <w:t>de la Organización de las Naciones Unidas para la Educación, la Ciencia y la Cultura (UNESCO-IHE)</w:t>
      </w:r>
    </w:p>
    <w:p w14:paraId="1B0B820F"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 xml:space="preserve">La International Society for Ecological Economics (ISEE, Sociedad Internacional de Economía Ecológica) </w:t>
      </w:r>
    </w:p>
    <w:p w14:paraId="23892D27"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lastRenderedPageBreak/>
        <w:t xml:space="preserve">La Organización de las Naciones Unidas para la Alimentación y la Agricultura (FAO) </w:t>
      </w:r>
    </w:p>
    <w:p w14:paraId="6095F161"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La Organización Mundial de la Salud (OMS)</w:t>
      </w:r>
    </w:p>
    <w:p w14:paraId="4BCC71CE" w14:textId="26DD4478" w:rsidR="00C54BDB" w:rsidRPr="00B618D5" w:rsidRDefault="00C54BDB"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La Organización del Tratado de Cooperación Amazónica</w:t>
      </w:r>
    </w:p>
    <w:p w14:paraId="735A09A0"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El Órgano Subsidiario de Asesoramiento Científico y Técnico de la Convención Marco de las Naciones Unidas sobre el Cambio Climático (CMNUCC)</w:t>
      </w:r>
    </w:p>
    <w:p w14:paraId="603034D6"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El Órgano Subsidiario de Asesoramiento Científico, Técnico y Tecnológico (SBSTTA) del Convenio sobre la Diversidad Biológica (CDB)</w:t>
      </w:r>
    </w:p>
    <w:p w14:paraId="3467DD5E" w14:textId="77777777" w:rsidR="00444430" w:rsidRPr="00B618D5" w:rsidRDefault="00444430" w:rsidP="00444430">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El Programa de las Naciones Unidas para los Asentamientos Humanos (UN-HABITAT)</w:t>
      </w:r>
    </w:p>
    <w:p w14:paraId="0FA44102"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 xml:space="preserve">El Programa Hidrológico Internacional de la </w:t>
      </w:r>
      <w:r w:rsidR="00444430" w:rsidRPr="00B618D5">
        <w:rPr>
          <w:rFonts w:asciiTheme="minorHAnsi" w:eastAsiaTheme="minorHAnsi" w:hAnsiTheme="minorHAnsi" w:cs="Garamond"/>
          <w:color w:val="000000"/>
          <w:lang w:val="es-ES_tradnl"/>
        </w:rPr>
        <w:t>Organización de las Naciones Unidas para la Educación, la Ciencia y la Cultura (UNESCO-PHI)</w:t>
      </w:r>
    </w:p>
    <w:p w14:paraId="2B5EA5BF"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lang w:val="es-ES_tradnl"/>
        </w:rPr>
      </w:pPr>
      <w:r w:rsidRPr="00B618D5">
        <w:rPr>
          <w:rFonts w:asciiTheme="minorHAnsi" w:eastAsiaTheme="minorHAnsi" w:hAnsiTheme="minorHAnsi" w:cs="Garamond"/>
          <w:lang w:val="es-ES_tradnl"/>
        </w:rPr>
        <w:t>La Red Internacional de Organismos de Cuenca (RIOC)</w:t>
      </w:r>
    </w:p>
    <w:p w14:paraId="690956D1" w14:textId="7DE12F63"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lang w:val="es-ES_tradnl"/>
        </w:rPr>
      </w:pPr>
      <w:r w:rsidRPr="00B618D5">
        <w:rPr>
          <w:rFonts w:asciiTheme="minorHAnsi" w:eastAsiaTheme="minorHAnsi" w:hAnsiTheme="minorHAnsi" w:cs="Garamond"/>
          <w:lang w:val="es-ES_tradnl"/>
        </w:rPr>
        <w:t xml:space="preserve">Las Secretarías del </w:t>
      </w:r>
      <w:r w:rsidR="00107B8B" w:rsidRPr="00B618D5">
        <w:rPr>
          <w:rFonts w:asciiTheme="minorHAnsi" w:eastAsiaTheme="minorHAnsi" w:hAnsiTheme="minorHAnsi" w:cs="Garamond"/>
          <w:lang w:val="es-ES_tradnl"/>
        </w:rPr>
        <w:t xml:space="preserve">Convenio sobre </w:t>
      </w:r>
      <w:r w:rsidR="00984232" w:rsidRPr="00B618D5">
        <w:rPr>
          <w:rFonts w:asciiTheme="minorHAnsi" w:eastAsiaTheme="minorHAnsi" w:hAnsiTheme="minorHAnsi" w:cs="Garamond"/>
          <w:lang w:val="es-ES_tradnl"/>
        </w:rPr>
        <w:t xml:space="preserve">la </w:t>
      </w:r>
      <w:r w:rsidR="00107B8B" w:rsidRPr="00B618D5">
        <w:rPr>
          <w:rFonts w:asciiTheme="minorHAnsi" w:eastAsiaTheme="minorHAnsi" w:hAnsiTheme="minorHAnsi" w:cs="Garamond"/>
          <w:lang w:val="es-ES_tradnl"/>
        </w:rPr>
        <w:t>Diversidad Biológica (</w:t>
      </w:r>
      <w:r w:rsidRPr="00B618D5">
        <w:rPr>
          <w:rFonts w:asciiTheme="minorHAnsi" w:eastAsiaTheme="minorHAnsi" w:hAnsiTheme="minorHAnsi" w:cs="Garamond"/>
          <w:lang w:val="es-ES_tradnl"/>
        </w:rPr>
        <w:t>CDB</w:t>
      </w:r>
      <w:r w:rsidR="00107B8B" w:rsidRPr="00B618D5">
        <w:rPr>
          <w:rFonts w:asciiTheme="minorHAnsi" w:eastAsiaTheme="minorHAnsi" w:hAnsiTheme="minorHAnsi" w:cs="Garamond"/>
          <w:lang w:val="es-ES_tradnl"/>
        </w:rPr>
        <w:t>)</w:t>
      </w:r>
      <w:r w:rsidRPr="00B618D5">
        <w:rPr>
          <w:rFonts w:asciiTheme="minorHAnsi" w:eastAsiaTheme="minorHAnsi" w:hAnsiTheme="minorHAnsi" w:cs="Garamond"/>
          <w:lang w:val="es-ES_tradnl"/>
        </w:rPr>
        <w:t>, la</w:t>
      </w:r>
      <w:r w:rsidR="00107B8B" w:rsidRPr="00B618D5">
        <w:rPr>
          <w:rFonts w:asciiTheme="minorHAnsi" w:eastAsiaTheme="minorHAnsi" w:hAnsiTheme="minorHAnsi" w:cs="Garamond"/>
          <w:lang w:val="es-ES_tradnl"/>
        </w:rPr>
        <w:t xml:space="preserve"> Convención sobre las Especies Migratorias (</w:t>
      </w:r>
      <w:r w:rsidRPr="00B618D5">
        <w:rPr>
          <w:rFonts w:asciiTheme="minorHAnsi" w:eastAsiaTheme="minorHAnsi" w:hAnsiTheme="minorHAnsi" w:cs="Garamond"/>
          <w:lang w:val="es-ES_tradnl"/>
        </w:rPr>
        <w:t>CEM</w:t>
      </w:r>
      <w:r w:rsidR="00107B8B" w:rsidRPr="00B618D5">
        <w:rPr>
          <w:rFonts w:asciiTheme="minorHAnsi" w:eastAsiaTheme="minorHAnsi" w:hAnsiTheme="minorHAnsi" w:cs="Garamond"/>
          <w:lang w:val="es-ES_tradnl"/>
        </w:rPr>
        <w:t>)</w:t>
      </w:r>
      <w:r w:rsidRPr="00B618D5">
        <w:rPr>
          <w:rFonts w:asciiTheme="minorHAnsi" w:eastAsiaTheme="minorHAnsi" w:hAnsiTheme="minorHAnsi" w:cs="Garamond"/>
          <w:lang w:val="es-ES_tradnl"/>
        </w:rPr>
        <w:t>, la</w:t>
      </w:r>
      <w:r w:rsidR="00107B8B" w:rsidRPr="00B618D5">
        <w:rPr>
          <w:rFonts w:asciiTheme="minorHAnsi" w:eastAsiaTheme="minorHAnsi" w:hAnsiTheme="minorHAnsi" w:cs="Garamond"/>
          <w:lang w:val="es-ES_tradnl"/>
        </w:rPr>
        <w:t xml:space="preserve"> Convención sobre el Comercio Internacional de Especies</w:t>
      </w:r>
      <w:r w:rsidR="00107B8B" w:rsidRPr="00B618D5">
        <w:rPr>
          <w:rFonts w:asciiTheme="minorHAnsi" w:eastAsiaTheme="minorHAnsi" w:hAnsiTheme="minorHAnsi" w:cs="Garamond"/>
          <w:color w:val="000000"/>
          <w:lang w:val="es-ES_tradnl"/>
        </w:rPr>
        <w:t xml:space="preserve"> Amenazadas de Fauna y Flora Silvestres (</w:t>
      </w:r>
      <w:r w:rsidRPr="00B618D5">
        <w:rPr>
          <w:rFonts w:asciiTheme="minorHAnsi" w:eastAsiaTheme="minorHAnsi" w:hAnsiTheme="minorHAnsi" w:cs="Garamond"/>
          <w:color w:val="000000"/>
          <w:lang w:val="es-ES_tradnl"/>
        </w:rPr>
        <w:t>CITES</w:t>
      </w:r>
      <w:r w:rsidR="00107B8B" w:rsidRPr="00B618D5">
        <w:rPr>
          <w:rFonts w:asciiTheme="minorHAnsi" w:eastAsiaTheme="minorHAnsi" w:hAnsiTheme="minorHAnsi" w:cs="Garamond"/>
          <w:color w:val="000000"/>
          <w:lang w:val="es-ES_tradnl"/>
        </w:rPr>
        <w:t>)</w:t>
      </w:r>
      <w:r w:rsidRPr="00B618D5">
        <w:rPr>
          <w:rFonts w:asciiTheme="minorHAnsi" w:eastAsiaTheme="minorHAnsi" w:hAnsiTheme="minorHAnsi" w:cs="Garamond"/>
          <w:color w:val="000000"/>
          <w:lang w:val="es-ES_tradnl"/>
        </w:rPr>
        <w:t xml:space="preserve">, la </w:t>
      </w:r>
      <w:r w:rsidR="00107B8B" w:rsidRPr="00B618D5">
        <w:rPr>
          <w:rFonts w:asciiTheme="minorHAnsi" w:eastAsiaTheme="minorHAnsi" w:hAnsiTheme="minorHAnsi" w:cs="Garamond"/>
          <w:color w:val="000000"/>
          <w:lang w:val="es-ES_tradnl"/>
        </w:rPr>
        <w:t xml:space="preserve">Convención de </w:t>
      </w:r>
      <w:r w:rsidR="00984232" w:rsidRPr="00B618D5">
        <w:rPr>
          <w:rFonts w:asciiTheme="minorHAnsi" w:eastAsiaTheme="minorHAnsi" w:hAnsiTheme="minorHAnsi" w:cs="Garamond"/>
          <w:color w:val="000000"/>
          <w:lang w:val="es-ES_tradnl"/>
        </w:rPr>
        <w:t xml:space="preserve">las Naciones Unidas de </w:t>
      </w:r>
      <w:r w:rsidR="00107B8B" w:rsidRPr="00B618D5">
        <w:rPr>
          <w:rFonts w:asciiTheme="minorHAnsi" w:eastAsiaTheme="minorHAnsi" w:hAnsiTheme="minorHAnsi" w:cs="Garamond"/>
          <w:color w:val="000000"/>
          <w:lang w:val="es-ES_tradnl"/>
        </w:rPr>
        <w:t>Lucha contra la Desertificación (</w:t>
      </w:r>
      <w:r w:rsidRPr="00B618D5">
        <w:rPr>
          <w:rFonts w:asciiTheme="minorHAnsi" w:eastAsiaTheme="minorHAnsi" w:hAnsiTheme="minorHAnsi" w:cs="Garamond"/>
          <w:color w:val="000000"/>
          <w:lang w:val="es-ES_tradnl"/>
        </w:rPr>
        <w:t>CLD</w:t>
      </w:r>
      <w:r w:rsidR="00107B8B" w:rsidRPr="00B618D5">
        <w:rPr>
          <w:rFonts w:asciiTheme="minorHAnsi" w:eastAsiaTheme="minorHAnsi" w:hAnsiTheme="minorHAnsi" w:cs="Garamond"/>
          <w:color w:val="000000"/>
          <w:lang w:val="es-ES_tradnl"/>
        </w:rPr>
        <w:t>)</w:t>
      </w:r>
      <w:r w:rsidRPr="00B618D5">
        <w:rPr>
          <w:rFonts w:asciiTheme="minorHAnsi" w:eastAsiaTheme="minorHAnsi" w:hAnsiTheme="minorHAnsi" w:cs="Garamond"/>
          <w:color w:val="000000"/>
          <w:lang w:val="es-ES_tradnl"/>
        </w:rPr>
        <w:t>, la</w:t>
      </w:r>
      <w:r w:rsidR="00107B8B" w:rsidRPr="00B618D5">
        <w:rPr>
          <w:rFonts w:asciiTheme="minorHAnsi" w:eastAsiaTheme="minorHAnsi" w:hAnsiTheme="minorHAnsi" w:cs="Garamond"/>
          <w:color w:val="000000"/>
          <w:lang w:val="es-ES_tradnl"/>
        </w:rPr>
        <w:t xml:space="preserve"> Convención Marco de las Naciones Unidas sobre el Cambio </w:t>
      </w:r>
      <w:r w:rsidR="00107B8B" w:rsidRPr="00B618D5">
        <w:rPr>
          <w:rFonts w:asciiTheme="minorHAnsi" w:eastAsiaTheme="minorHAnsi" w:hAnsiTheme="minorHAnsi" w:cs="Garamond"/>
          <w:lang w:val="es-ES_tradnl"/>
        </w:rPr>
        <w:t>Climático</w:t>
      </w:r>
      <w:r w:rsidRPr="00B618D5">
        <w:rPr>
          <w:rFonts w:asciiTheme="minorHAnsi" w:eastAsiaTheme="minorHAnsi" w:hAnsiTheme="minorHAnsi" w:cs="Garamond"/>
          <w:lang w:val="es-ES_tradnl"/>
        </w:rPr>
        <w:t xml:space="preserve"> </w:t>
      </w:r>
      <w:r w:rsidR="00107B8B" w:rsidRPr="00B618D5">
        <w:rPr>
          <w:rFonts w:asciiTheme="minorHAnsi" w:eastAsiaTheme="minorHAnsi" w:hAnsiTheme="minorHAnsi" w:cs="Garamond"/>
          <w:lang w:val="es-ES_tradnl"/>
        </w:rPr>
        <w:t>(</w:t>
      </w:r>
      <w:r w:rsidRPr="00B618D5">
        <w:rPr>
          <w:rFonts w:asciiTheme="minorHAnsi" w:eastAsiaTheme="minorHAnsi" w:hAnsiTheme="minorHAnsi" w:cs="Garamond"/>
          <w:lang w:val="es-ES_tradnl"/>
        </w:rPr>
        <w:t>CMNUCC</w:t>
      </w:r>
      <w:r w:rsidR="00107B8B" w:rsidRPr="00B618D5">
        <w:rPr>
          <w:rFonts w:asciiTheme="minorHAnsi" w:eastAsiaTheme="minorHAnsi" w:hAnsiTheme="minorHAnsi" w:cs="Garamond"/>
          <w:lang w:val="es-ES_tradnl"/>
        </w:rPr>
        <w:t>)</w:t>
      </w:r>
      <w:r w:rsidR="00444430" w:rsidRPr="00B618D5">
        <w:rPr>
          <w:rFonts w:asciiTheme="minorHAnsi" w:eastAsiaTheme="minorHAnsi" w:hAnsiTheme="minorHAnsi" w:cs="Garamond"/>
          <w:lang w:val="es-ES_tradnl"/>
        </w:rPr>
        <w:t xml:space="preserve"> y </w:t>
      </w:r>
      <w:r w:rsidR="00320665" w:rsidRPr="00B618D5">
        <w:rPr>
          <w:rFonts w:asciiTheme="minorHAnsi" w:eastAsiaTheme="minorHAnsi" w:hAnsiTheme="minorHAnsi" w:cs="Garamond"/>
          <w:lang w:val="es-ES_tradnl"/>
        </w:rPr>
        <w:t>la Convención sobre la Protección del Patrimonio Mundial, Cultural y Natural</w:t>
      </w:r>
      <w:r w:rsidR="00444430" w:rsidRPr="00B618D5">
        <w:rPr>
          <w:rFonts w:asciiTheme="minorHAnsi" w:eastAsiaTheme="minorHAnsi" w:hAnsiTheme="minorHAnsi" w:cs="Garamond"/>
          <w:lang w:val="es-ES_tradnl"/>
        </w:rPr>
        <w:t xml:space="preserve"> (WHC)</w:t>
      </w:r>
      <w:r w:rsidRPr="00B618D5">
        <w:rPr>
          <w:rFonts w:asciiTheme="minorHAnsi" w:eastAsiaTheme="minorHAnsi" w:hAnsiTheme="minorHAnsi" w:cs="Garamond"/>
          <w:lang w:val="es-ES_tradnl"/>
        </w:rPr>
        <w:t>;</w:t>
      </w:r>
      <w:r w:rsidR="00320665" w:rsidRPr="00B618D5">
        <w:rPr>
          <w:rFonts w:asciiTheme="minorHAnsi" w:eastAsiaTheme="minorHAnsi" w:hAnsiTheme="minorHAnsi" w:cs="Garamond"/>
          <w:lang w:val="es-ES_tradnl"/>
        </w:rPr>
        <w:t xml:space="preserve"> el Programa sobre el hombre y la b</w:t>
      </w:r>
      <w:r w:rsidRPr="00B618D5">
        <w:rPr>
          <w:rFonts w:asciiTheme="minorHAnsi" w:eastAsiaTheme="minorHAnsi" w:hAnsiTheme="minorHAnsi" w:cs="Garamond"/>
          <w:lang w:val="es-ES_tradnl"/>
        </w:rPr>
        <w:t>iosfera (MAB) de la</w:t>
      </w:r>
      <w:r w:rsidR="00320665" w:rsidRPr="00B618D5">
        <w:rPr>
          <w:rFonts w:asciiTheme="minorHAnsi" w:eastAsiaTheme="minorHAnsi" w:hAnsiTheme="minorHAnsi" w:cs="Garamond"/>
          <w:lang w:val="es-ES_tradnl"/>
        </w:rPr>
        <w:t xml:space="preserve"> Organización de las Naciones Unidas para la Educación, la Ciencia y la Cultura (</w:t>
      </w:r>
      <w:r w:rsidRPr="00B618D5">
        <w:rPr>
          <w:rFonts w:asciiTheme="minorHAnsi" w:eastAsiaTheme="minorHAnsi" w:hAnsiTheme="minorHAnsi" w:cs="Garamond"/>
          <w:lang w:val="es-ES_tradnl"/>
        </w:rPr>
        <w:t>UNESCO</w:t>
      </w:r>
      <w:r w:rsidR="00320665" w:rsidRPr="00B618D5">
        <w:rPr>
          <w:rFonts w:asciiTheme="minorHAnsi" w:eastAsiaTheme="minorHAnsi" w:hAnsiTheme="minorHAnsi" w:cs="Garamond"/>
          <w:lang w:val="es-ES_tradnl"/>
        </w:rPr>
        <w:t>)</w:t>
      </w:r>
      <w:r w:rsidRPr="00B618D5">
        <w:rPr>
          <w:rFonts w:asciiTheme="minorHAnsi" w:eastAsiaTheme="minorHAnsi" w:hAnsiTheme="minorHAnsi" w:cs="Garamond"/>
          <w:lang w:val="es-ES_tradnl"/>
        </w:rPr>
        <w:t xml:space="preserve">, el </w:t>
      </w:r>
      <w:r w:rsidR="00C54BDB" w:rsidRPr="00B618D5">
        <w:rPr>
          <w:rFonts w:asciiTheme="minorHAnsi" w:eastAsiaTheme="minorHAnsi" w:hAnsiTheme="minorHAnsi" w:cs="Garamond"/>
          <w:lang w:val="es-ES_tradnl"/>
        </w:rPr>
        <w:t xml:space="preserve">Convenio sobre la Protección y Utilización de los Cursos de Agua Transfronterizos y de los Lagos Internacionales </w:t>
      </w:r>
      <w:r w:rsidRPr="00B618D5">
        <w:rPr>
          <w:rFonts w:asciiTheme="minorHAnsi" w:eastAsiaTheme="minorHAnsi" w:hAnsiTheme="minorHAnsi" w:cs="Garamond"/>
          <w:lang w:val="es-ES_tradnl"/>
        </w:rPr>
        <w:t>y el grupo de trabajo sobre la conservación de la fauna y la flora del Ártico del Consejo Ártico</w:t>
      </w:r>
    </w:p>
    <w:p w14:paraId="2654863D"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La Secretaría del Panel Intergubernamental de Expertos sobre Cambio Climático (IPCC)</w:t>
      </w:r>
    </w:p>
    <w:p w14:paraId="13AEA4BC" w14:textId="77777777" w:rsidR="00B906A8" w:rsidRPr="00B618D5" w:rsidRDefault="00B906A8" w:rsidP="00B906A8">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 xml:space="preserve">La Secretaría de la </w:t>
      </w:r>
      <w:r w:rsidRPr="00B618D5">
        <w:rPr>
          <w:rFonts w:asciiTheme="minorHAnsi" w:hAnsiTheme="minorHAnsi" w:cstheme="minorHAnsi"/>
          <w:lang w:val="es-ES_tradnl"/>
        </w:rPr>
        <w:t xml:space="preserve">Plataforma Intergubernamental Científico-normativa sobre Diversidad Biológica y Servicios de los Ecosistemas </w:t>
      </w:r>
      <w:r w:rsidRPr="00B618D5">
        <w:rPr>
          <w:rFonts w:asciiTheme="minorHAnsi" w:eastAsiaTheme="minorHAnsi" w:hAnsiTheme="minorHAnsi" w:cs="Garamond"/>
          <w:color w:val="000000"/>
          <w:lang w:val="es-ES_tradnl"/>
        </w:rPr>
        <w:t xml:space="preserve">(IPBES) </w:t>
      </w:r>
    </w:p>
    <w:p w14:paraId="2DF27A38" w14:textId="77777777" w:rsidR="00B906A8" w:rsidRPr="00B618D5" w:rsidRDefault="00B906A8" w:rsidP="003412FD">
      <w:pPr>
        <w:pStyle w:val="ListParagraph"/>
        <w:numPr>
          <w:ilvl w:val="0"/>
          <w:numId w:val="20"/>
        </w:numPr>
        <w:spacing w:after="0" w:line="240" w:lineRule="auto"/>
        <w:ind w:left="426" w:hanging="426"/>
        <w:rPr>
          <w:rFonts w:asciiTheme="minorHAnsi" w:eastAsiaTheme="minorHAnsi" w:hAnsiTheme="minorHAnsi" w:cs="Garamond"/>
          <w:color w:val="000000"/>
          <w:lang w:val="es-ES_tradnl"/>
        </w:rPr>
      </w:pPr>
      <w:r w:rsidRPr="00B618D5">
        <w:rPr>
          <w:rFonts w:asciiTheme="minorHAnsi" w:eastAsiaTheme="minorHAnsi" w:hAnsiTheme="minorHAnsi" w:cs="Garamond"/>
          <w:color w:val="000000"/>
          <w:lang w:val="es-ES_tradnl"/>
        </w:rPr>
        <w:t xml:space="preserve">La Sociedad </w:t>
      </w:r>
      <w:r w:rsidR="003412FD" w:rsidRPr="00B618D5">
        <w:rPr>
          <w:rFonts w:asciiTheme="minorHAnsi" w:eastAsiaTheme="minorHAnsi" w:hAnsiTheme="minorHAnsi" w:cs="Garamond"/>
          <w:color w:val="000000"/>
          <w:lang w:val="es-ES_tradnl"/>
        </w:rPr>
        <w:t>de Restauración Ecológica (SER)</w:t>
      </w:r>
      <w:r w:rsidRPr="00B618D5">
        <w:rPr>
          <w:rFonts w:asciiTheme="minorHAnsi" w:eastAsiaTheme="minorHAnsi" w:hAnsiTheme="minorHAnsi" w:cs="Garamond"/>
          <w:color w:val="000000"/>
          <w:lang w:val="es-ES_tradnl"/>
        </w:rPr>
        <w:t xml:space="preserve"> </w:t>
      </w:r>
    </w:p>
    <w:p w14:paraId="4A47797B" w14:textId="77777777" w:rsidR="00B906A8" w:rsidRPr="00B618D5" w:rsidRDefault="00B906A8" w:rsidP="00B906A8">
      <w:pPr>
        <w:rPr>
          <w:rFonts w:asciiTheme="minorHAnsi" w:eastAsiaTheme="minorHAnsi" w:hAnsiTheme="minorHAnsi" w:cs="Garamond"/>
          <w:color w:val="000000"/>
          <w:lang w:val="es-ES_tradnl"/>
        </w:rPr>
      </w:pPr>
    </w:p>
    <w:p w14:paraId="330C33EF" w14:textId="77777777" w:rsidR="00B906A8" w:rsidRPr="00B618D5" w:rsidRDefault="00B906A8" w:rsidP="00B906A8">
      <w:pPr>
        <w:rPr>
          <w:rFonts w:asciiTheme="minorHAnsi" w:eastAsiaTheme="minorHAnsi" w:hAnsiTheme="minorHAnsi" w:cs="Garamond"/>
          <w:color w:val="000000"/>
          <w:lang w:val="es-ES_tradnl"/>
        </w:rPr>
      </w:pPr>
    </w:p>
    <w:p w14:paraId="76311FE7" w14:textId="77777777" w:rsidR="00B906A8" w:rsidRPr="00B618D5" w:rsidRDefault="00B906A8" w:rsidP="00B906A8">
      <w:pPr>
        <w:autoSpaceDE w:val="0"/>
        <w:autoSpaceDN w:val="0"/>
        <w:adjustRightInd w:val="0"/>
        <w:ind w:left="720"/>
        <w:rPr>
          <w:rFonts w:asciiTheme="minorHAnsi" w:eastAsiaTheme="minorHAnsi" w:hAnsiTheme="minorHAnsi" w:cs="Garamond"/>
          <w:color w:val="000000"/>
          <w:sz w:val="22"/>
          <w:szCs w:val="22"/>
          <w:lang w:val="es-ES_tradnl"/>
        </w:rPr>
      </w:pPr>
    </w:p>
    <w:p w14:paraId="55A1D714" w14:textId="77777777" w:rsidR="00B906A8" w:rsidRPr="00B618D5" w:rsidRDefault="00B906A8" w:rsidP="00B906A8">
      <w:pPr>
        <w:rPr>
          <w:rFonts w:asciiTheme="minorHAnsi" w:eastAsiaTheme="minorHAnsi" w:hAnsiTheme="minorHAnsi" w:cstheme="minorHAnsi"/>
          <w:b/>
          <w:bCs/>
          <w:lang w:val="es-ES_tradnl" w:eastAsia="en-US"/>
        </w:rPr>
      </w:pPr>
      <w:r w:rsidRPr="00B618D5">
        <w:rPr>
          <w:rFonts w:asciiTheme="minorHAnsi" w:eastAsiaTheme="minorHAnsi" w:hAnsiTheme="minorHAnsi" w:cstheme="minorHAnsi"/>
          <w:sz w:val="22"/>
          <w:szCs w:val="22"/>
          <w:lang w:val="es-ES_tradnl" w:eastAsia="en-US"/>
        </w:rPr>
        <w:br w:type="page"/>
      </w:r>
      <w:r w:rsidRPr="00B618D5">
        <w:rPr>
          <w:rFonts w:asciiTheme="minorHAnsi" w:eastAsiaTheme="minorHAnsi" w:hAnsiTheme="minorHAnsi" w:cstheme="minorHAnsi"/>
          <w:b/>
          <w:bCs/>
          <w:lang w:val="es-ES_tradnl" w:eastAsia="en-US"/>
        </w:rPr>
        <w:lastRenderedPageBreak/>
        <w:t>Anexo 3</w:t>
      </w:r>
    </w:p>
    <w:p w14:paraId="3CC50557" w14:textId="77777777" w:rsidR="00B906A8" w:rsidRPr="00B618D5" w:rsidRDefault="00B906A8" w:rsidP="00B906A8">
      <w:pPr>
        <w:rPr>
          <w:rFonts w:asciiTheme="minorHAnsi" w:eastAsiaTheme="minorHAnsi" w:hAnsiTheme="minorHAnsi" w:cstheme="minorHAnsi"/>
          <w:b/>
          <w:bCs/>
          <w:lang w:val="es-ES_tradnl" w:eastAsia="en-US"/>
        </w:rPr>
      </w:pPr>
    </w:p>
    <w:p w14:paraId="6D6AA3BC" w14:textId="650E2258" w:rsidR="00B906A8" w:rsidRPr="00B618D5" w:rsidRDefault="00F5272C" w:rsidP="000A569F">
      <w:pPr>
        <w:rPr>
          <w:rFonts w:asciiTheme="minorHAnsi" w:hAnsiTheme="minorHAnsi" w:cstheme="minorHAnsi"/>
          <w:b/>
          <w:bCs/>
          <w:lang w:val="es-ES_tradnl"/>
        </w:rPr>
      </w:pPr>
      <w:r w:rsidRPr="00B618D5">
        <w:rPr>
          <w:rFonts w:asciiTheme="minorHAnsi" w:hAnsiTheme="minorHAnsi" w:cstheme="minorHAnsi"/>
          <w:b/>
          <w:bCs/>
          <w:lang w:val="es-ES_tradnl"/>
        </w:rPr>
        <w:t>Á</w:t>
      </w:r>
      <w:r w:rsidR="00B906A8" w:rsidRPr="00B618D5">
        <w:rPr>
          <w:rFonts w:asciiTheme="minorHAnsi" w:hAnsiTheme="minorHAnsi" w:cstheme="minorHAnsi"/>
          <w:b/>
          <w:bCs/>
          <w:lang w:val="es-ES_tradnl"/>
        </w:rPr>
        <w:t>reas</w:t>
      </w:r>
      <w:r w:rsidR="00C14212" w:rsidRPr="00B618D5">
        <w:rPr>
          <w:rFonts w:asciiTheme="minorHAnsi" w:hAnsiTheme="minorHAnsi" w:cstheme="minorHAnsi"/>
          <w:b/>
          <w:bCs/>
          <w:lang w:val="es-ES_tradnl"/>
        </w:rPr>
        <w:t xml:space="preserve"> </w:t>
      </w:r>
      <w:r w:rsidR="00EA6816" w:rsidRPr="00B618D5">
        <w:rPr>
          <w:rFonts w:asciiTheme="minorHAnsi" w:hAnsiTheme="minorHAnsi" w:cstheme="minorHAnsi"/>
          <w:b/>
          <w:bCs/>
          <w:lang w:val="es-ES_tradnl"/>
        </w:rPr>
        <w:t xml:space="preserve">temáticas </w:t>
      </w:r>
      <w:r w:rsidR="00C14212" w:rsidRPr="00B618D5">
        <w:rPr>
          <w:rFonts w:asciiTheme="minorHAnsi" w:hAnsiTheme="minorHAnsi" w:cstheme="minorHAnsi"/>
          <w:b/>
          <w:bCs/>
          <w:lang w:val="es-ES_tradnl"/>
        </w:rPr>
        <w:t>de trabajo</w:t>
      </w:r>
      <w:r w:rsidR="00444430" w:rsidRPr="00B618D5">
        <w:rPr>
          <w:rFonts w:asciiTheme="minorHAnsi" w:hAnsiTheme="minorHAnsi" w:cstheme="minorHAnsi"/>
          <w:b/>
          <w:bCs/>
          <w:lang w:val="es-ES_tradnl"/>
        </w:rPr>
        <w:t xml:space="preserve"> del GECT para </w:t>
      </w:r>
      <w:r w:rsidR="00B906A8" w:rsidRPr="00B618D5">
        <w:rPr>
          <w:rFonts w:asciiTheme="minorHAnsi" w:hAnsiTheme="minorHAnsi" w:cstheme="minorHAnsi"/>
          <w:b/>
          <w:bCs/>
          <w:lang w:val="es-ES_tradnl"/>
        </w:rPr>
        <w:t>2016-2018</w:t>
      </w:r>
    </w:p>
    <w:p w14:paraId="2F1847ED" w14:textId="77777777" w:rsidR="00B906A8" w:rsidRPr="00B618D5" w:rsidRDefault="00B906A8" w:rsidP="00B906A8">
      <w:pPr>
        <w:jc w:val="center"/>
        <w:rPr>
          <w:rFonts w:asciiTheme="minorHAnsi" w:hAnsiTheme="minorHAnsi" w:cstheme="minorHAnsi"/>
          <w:b/>
          <w:bCs/>
          <w:lang w:val="es-ES_tradnl"/>
        </w:rPr>
      </w:pPr>
    </w:p>
    <w:p w14:paraId="518C26D7" w14:textId="77777777" w:rsidR="00B906A8" w:rsidRPr="00B618D5" w:rsidRDefault="00B906A8" w:rsidP="00B906A8">
      <w:pPr>
        <w:rPr>
          <w:rFonts w:asciiTheme="minorHAnsi" w:hAnsiTheme="minorHAnsi" w:cstheme="minorHAnsi"/>
          <w:b/>
          <w:bCs/>
          <w:sz w:val="22"/>
          <w:szCs w:val="22"/>
          <w:lang w:val="es-ES_tradnl"/>
        </w:rPr>
      </w:pPr>
      <w:r w:rsidRPr="00B618D5">
        <w:rPr>
          <w:rFonts w:asciiTheme="minorHAnsi" w:hAnsiTheme="minorHAnsi"/>
          <w:sz w:val="22"/>
          <w:szCs w:val="22"/>
          <w:lang w:val="es-ES_tradnl"/>
        </w:rPr>
        <w:t xml:space="preserve">Se han seleccionado las prioridades del GECT a partir de los siguientes criterios: (a) las que mostraron un mayor solapamiento en la priorización realizada por las regiones que realizaron comentarios (África, las Américas y Asia) junto con (b) las que mostraron una mayor correspondencia con los objetivos y las metas del Plan Estratégico.  </w:t>
      </w:r>
    </w:p>
    <w:p w14:paraId="08BAD47C" w14:textId="6463C7E6" w:rsidR="00942C41" w:rsidRPr="00B618D5" w:rsidRDefault="00491F01" w:rsidP="00491F01">
      <w:pPr>
        <w:tabs>
          <w:tab w:val="left" w:pos="6309"/>
        </w:tabs>
        <w:rPr>
          <w:rFonts w:asciiTheme="minorHAnsi" w:hAnsiTheme="minorHAnsi"/>
          <w:sz w:val="22"/>
          <w:szCs w:val="22"/>
          <w:lang w:val="es-ES_tradnl"/>
        </w:rPr>
      </w:pPr>
      <w:r w:rsidRPr="00B618D5">
        <w:rPr>
          <w:rFonts w:asciiTheme="minorHAnsi" w:hAnsiTheme="minorHAnsi"/>
          <w:sz w:val="22"/>
          <w:szCs w:val="22"/>
          <w:lang w:val="es-ES_tradnl"/>
        </w:rPr>
        <w:tab/>
      </w:r>
    </w:p>
    <w:tbl>
      <w:tblPr>
        <w:tblStyle w:val="TableGrid"/>
        <w:tblW w:w="4966" w:type="pct"/>
        <w:tblLook w:val="04A0" w:firstRow="1" w:lastRow="0" w:firstColumn="1" w:lastColumn="0" w:noHBand="0" w:noVBand="1"/>
      </w:tblPr>
      <w:tblGrid>
        <w:gridCol w:w="3369"/>
        <w:gridCol w:w="5810"/>
      </w:tblGrid>
      <w:tr w:rsidR="00942C41" w:rsidRPr="008146FA" w14:paraId="74A2BC4E" w14:textId="77777777" w:rsidTr="009C04A9">
        <w:tc>
          <w:tcPr>
            <w:tcW w:w="1835" w:type="pct"/>
          </w:tcPr>
          <w:p w14:paraId="02764C60" w14:textId="428E0F2E" w:rsidR="00942C41" w:rsidRPr="00B618D5" w:rsidRDefault="00942C41" w:rsidP="00942C41">
            <w:pPr>
              <w:jc w:val="both"/>
              <w:rPr>
                <w:rFonts w:asciiTheme="minorHAnsi" w:hAnsiTheme="minorHAnsi"/>
                <w:b/>
                <w:lang w:val="es-ES_tradnl"/>
              </w:rPr>
            </w:pPr>
            <w:r w:rsidRPr="00B618D5">
              <w:rPr>
                <w:rFonts w:asciiTheme="minorHAnsi" w:hAnsiTheme="minorHAnsi"/>
                <w:b/>
                <w:lang w:val="es-ES_tradnl"/>
              </w:rPr>
              <w:t>Correspondencia entre las áreas de trabajo temáticas del GECT y las metas del Plan Estratégico de Ramsar para 2016 – 202</w:t>
            </w:r>
            <w:r w:rsidR="005C460D" w:rsidRPr="00B618D5">
              <w:rPr>
                <w:rFonts w:asciiTheme="minorHAnsi" w:hAnsiTheme="minorHAnsi"/>
                <w:b/>
                <w:lang w:val="es-ES_tradnl"/>
              </w:rPr>
              <w:t>4</w:t>
            </w:r>
          </w:p>
        </w:tc>
        <w:tc>
          <w:tcPr>
            <w:tcW w:w="3165" w:type="pct"/>
          </w:tcPr>
          <w:p w14:paraId="0F5CC29D" w14:textId="306E5847" w:rsidR="00942C41" w:rsidRPr="00B618D5" w:rsidRDefault="00942C41" w:rsidP="005C460D">
            <w:pPr>
              <w:jc w:val="both"/>
              <w:rPr>
                <w:rFonts w:asciiTheme="minorHAnsi" w:hAnsiTheme="minorHAnsi"/>
                <w:b/>
                <w:lang w:val="es-ES_tradnl"/>
              </w:rPr>
            </w:pPr>
            <w:r w:rsidRPr="00B618D5">
              <w:rPr>
                <w:rFonts w:asciiTheme="minorHAnsi" w:hAnsiTheme="minorHAnsi"/>
                <w:b/>
                <w:lang w:val="es-ES_tradnl"/>
              </w:rPr>
              <w:t>Metas del Plan Estrat</w:t>
            </w:r>
            <w:r w:rsidR="005C460D" w:rsidRPr="00B618D5">
              <w:rPr>
                <w:rFonts w:asciiTheme="minorHAnsi" w:hAnsiTheme="minorHAnsi"/>
                <w:b/>
                <w:lang w:val="es-ES_tradnl"/>
              </w:rPr>
              <w:t>égico de Ramsar para 2016 – 2024</w:t>
            </w:r>
            <w:r w:rsidR="001F0BB7" w:rsidRPr="00B618D5">
              <w:rPr>
                <w:rFonts w:asciiTheme="minorHAnsi" w:hAnsiTheme="minorHAnsi"/>
                <w:b/>
                <w:lang w:val="es-ES_tradnl"/>
              </w:rPr>
              <w:t xml:space="preserve"> [Los Objetivos Estratégicos incluidos en </w:t>
            </w:r>
            <w:r w:rsidR="005C460D" w:rsidRPr="00B618D5">
              <w:rPr>
                <w:rFonts w:asciiTheme="minorHAnsi" w:hAnsiTheme="minorHAnsi"/>
                <w:b/>
                <w:lang w:val="es-ES_tradnl"/>
              </w:rPr>
              <w:t>la R</w:t>
            </w:r>
            <w:r w:rsidR="001F0BB7" w:rsidRPr="00B618D5">
              <w:rPr>
                <w:rFonts w:asciiTheme="minorHAnsi" w:hAnsiTheme="minorHAnsi"/>
                <w:b/>
                <w:lang w:val="es-ES_tradnl"/>
              </w:rPr>
              <w:t>esolución</w:t>
            </w:r>
            <w:r w:rsidR="005C460D" w:rsidRPr="00B618D5">
              <w:rPr>
                <w:rFonts w:asciiTheme="minorHAnsi" w:hAnsiTheme="minorHAnsi"/>
                <w:b/>
                <w:lang w:val="es-ES_tradnl"/>
              </w:rPr>
              <w:t xml:space="preserve"> XII.</w:t>
            </w:r>
            <w:r w:rsidR="001F0BB7" w:rsidRPr="00B618D5">
              <w:rPr>
                <w:rFonts w:asciiTheme="minorHAnsi" w:hAnsiTheme="minorHAnsi"/>
                <w:b/>
                <w:lang w:val="es-ES_tradnl"/>
              </w:rPr>
              <w:t xml:space="preserve">5 se </w:t>
            </w:r>
            <w:r w:rsidR="005C460D" w:rsidRPr="00B618D5">
              <w:rPr>
                <w:rFonts w:asciiTheme="minorHAnsi" w:hAnsiTheme="minorHAnsi"/>
                <w:b/>
                <w:lang w:val="es-ES_tradnl"/>
              </w:rPr>
              <w:t>han actualizado</w:t>
            </w:r>
            <w:r w:rsidR="001F0BB7" w:rsidRPr="00B618D5">
              <w:rPr>
                <w:rFonts w:asciiTheme="minorHAnsi" w:hAnsiTheme="minorHAnsi"/>
                <w:b/>
                <w:lang w:val="es-ES_tradnl"/>
              </w:rPr>
              <w:t xml:space="preserve"> en consonancia con los resultados de la discusión sobre </w:t>
            </w:r>
            <w:r w:rsidR="005C460D" w:rsidRPr="00B618D5">
              <w:rPr>
                <w:rFonts w:asciiTheme="minorHAnsi" w:hAnsiTheme="minorHAnsi"/>
                <w:b/>
                <w:lang w:val="es-ES_tradnl"/>
              </w:rPr>
              <w:t>la R</w:t>
            </w:r>
            <w:r w:rsidR="001F0BB7" w:rsidRPr="00B618D5">
              <w:rPr>
                <w:rFonts w:asciiTheme="minorHAnsi" w:hAnsiTheme="minorHAnsi"/>
                <w:b/>
                <w:lang w:val="es-ES_tradnl"/>
              </w:rPr>
              <w:t>esolución</w:t>
            </w:r>
            <w:r w:rsidR="005C460D" w:rsidRPr="00B618D5">
              <w:rPr>
                <w:rFonts w:asciiTheme="minorHAnsi" w:hAnsiTheme="minorHAnsi"/>
                <w:b/>
                <w:lang w:val="es-ES_tradnl"/>
              </w:rPr>
              <w:t xml:space="preserve"> XII.</w:t>
            </w:r>
            <w:r w:rsidR="001F0BB7" w:rsidRPr="00B618D5">
              <w:rPr>
                <w:rFonts w:asciiTheme="minorHAnsi" w:hAnsiTheme="minorHAnsi"/>
                <w:b/>
                <w:lang w:val="es-ES_tradnl"/>
              </w:rPr>
              <w:t>2]</w:t>
            </w:r>
          </w:p>
        </w:tc>
      </w:tr>
      <w:tr w:rsidR="005C460D" w:rsidRPr="008146FA" w14:paraId="491B7B76" w14:textId="77777777" w:rsidTr="009C04A9">
        <w:trPr>
          <w:trHeight w:val="3760"/>
        </w:trPr>
        <w:tc>
          <w:tcPr>
            <w:tcW w:w="1835" w:type="pct"/>
          </w:tcPr>
          <w:p w14:paraId="221EE0D1" w14:textId="325F4AD5" w:rsidR="005C460D" w:rsidRPr="00B618D5" w:rsidRDefault="005C460D" w:rsidP="00C7312E">
            <w:pPr>
              <w:rPr>
                <w:rFonts w:asciiTheme="minorHAnsi" w:hAnsiTheme="minorHAnsi"/>
                <w:bCs/>
                <w:sz w:val="22"/>
                <w:szCs w:val="22"/>
                <w:lang w:val="es-ES_tradnl"/>
              </w:rPr>
            </w:pPr>
            <w:r w:rsidRPr="00B618D5">
              <w:rPr>
                <w:rFonts w:asciiTheme="minorHAnsi" w:hAnsiTheme="minorHAnsi"/>
                <w:sz w:val="22"/>
                <w:szCs w:val="22"/>
                <w:lang w:val="es-ES_tradnl"/>
              </w:rPr>
              <w:t xml:space="preserve">Buenas prácticas en metodologías o herramientas para realizar </w:t>
            </w:r>
            <w:r w:rsidR="001C2429">
              <w:rPr>
                <w:rFonts w:asciiTheme="minorHAnsi" w:hAnsiTheme="minorHAnsi"/>
                <w:sz w:val="22"/>
                <w:szCs w:val="22"/>
                <w:lang w:val="es-ES_tradnl"/>
              </w:rPr>
              <w:t>el monitoreo</w:t>
            </w:r>
            <w:r w:rsidRPr="00B618D5">
              <w:rPr>
                <w:rFonts w:asciiTheme="minorHAnsi" w:hAnsiTheme="minorHAnsi"/>
                <w:sz w:val="22"/>
                <w:szCs w:val="22"/>
                <w:lang w:val="es-ES_tradnl"/>
              </w:rPr>
              <w:t xml:space="preserve"> de los sitios Ramsar, incluyendo </w:t>
            </w:r>
            <w:r w:rsidR="001C2429">
              <w:rPr>
                <w:rFonts w:asciiTheme="minorHAnsi" w:hAnsiTheme="minorHAnsi"/>
                <w:sz w:val="22"/>
                <w:szCs w:val="22"/>
                <w:lang w:val="es-ES_tradnl"/>
              </w:rPr>
              <w:t>estudios,</w:t>
            </w:r>
            <w:r w:rsidRPr="00B618D5">
              <w:rPr>
                <w:rFonts w:asciiTheme="minorHAnsi" w:hAnsiTheme="minorHAnsi"/>
                <w:sz w:val="22"/>
                <w:szCs w:val="22"/>
                <w:lang w:val="es-ES_tradnl"/>
              </w:rPr>
              <w:t xml:space="preserve"> cartografía </w:t>
            </w:r>
            <w:r w:rsidR="001C2429">
              <w:rPr>
                <w:rFonts w:asciiTheme="minorHAnsi" w:hAnsiTheme="minorHAnsi"/>
                <w:sz w:val="22"/>
                <w:szCs w:val="22"/>
                <w:lang w:val="es-ES_tradnl"/>
              </w:rPr>
              <w:t>e</w:t>
            </w:r>
            <w:r w:rsidRPr="00B618D5">
              <w:rPr>
                <w:rFonts w:asciiTheme="minorHAnsi" w:hAnsiTheme="minorHAnsi"/>
                <w:sz w:val="22"/>
                <w:szCs w:val="22"/>
                <w:lang w:val="es-ES_tradnl"/>
              </w:rPr>
              <w:t xml:space="preserve">  inventarios reconociendo las prácticas tradiciona</w:t>
            </w:r>
            <w:r w:rsidR="00903DC5" w:rsidRPr="00B618D5">
              <w:rPr>
                <w:rFonts w:asciiTheme="minorHAnsi" w:hAnsiTheme="minorHAnsi"/>
                <w:sz w:val="22"/>
                <w:szCs w:val="22"/>
                <w:lang w:val="es-ES_tradnl"/>
              </w:rPr>
              <w:t>les de los pueblos indígenas y</w:t>
            </w:r>
            <w:r w:rsidRPr="00B618D5">
              <w:rPr>
                <w:rFonts w:asciiTheme="minorHAnsi" w:hAnsiTheme="minorHAnsi"/>
                <w:sz w:val="22"/>
                <w:szCs w:val="22"/>
                <w:lang w:val="es-ES_tradnl"/>
              </w:rPr>
              <w:t xml:space="preserve"> las comunidades locales</w:t>
            </w:r>
            <w:r w:rsidRPr="00B618D5">
              <w:rPr>
                <w:rFonts w:asciiTheme="minorHAnsi" w:hAnsiTheme="minorHAnsi"/>
                <w:bCs/>
                <w:sz w:val="22"/>
                <w:szCs w:val="22"/>
                <w:lang w:val="es-ES_tradnl"/>
              </w:rPr>
              <w:t>.</w:t>
            </w:r>
          </w:p>
          <w:p w14:paraId="15A37BBC" w14:textId="77777777" w:rsidR="005C460D" w:rsidRPr="00B618D5" w:rsidRDefault="005C460D" w:rsidP="00C7312E">
            <w:pPr>
              <w:rPr>
                <w:rFonts w:asciiTheme="minorHAnsi" w:hAnsiTheme="minorHAnsi"/>
                <w:bCs/>
                <w:sz w:val="22"/>
                <w:szCs w:val="22"/>
                <w:lang w:val="es-ES_tradnl"/>
              </w:rPr>
            </w:pPr>
          </w:p>
          <w:p w14:paraId="3BCE8B8D" w14:textId="77777777" w:rsidR="005C460D" w:rsidRPr="00B618D5" w:rsidRDefault="005C460D" w:rsidP="00C7312E">
            <w:pPr>
              <w:rPr>
                <w:rFonts w:asciiTheme="minorHAnsi" w:hAnsiTheme="minorHAnsi"/>
                <w:bCs/>
                <w:sz w:val="22"/>
                <w:szCs w:val="22"/>
                <w:lang w:val="es-ES_tradnl"/>
              </w:rPr>
            </w:pPr>
          </w:p>
          <w:p w14:paraId="7DCC7929" w14:textId="77777777" w:rsidR="005C460D" w:rsidRPr="00B618D5" w:rsidRDefault="005C460D" w:rsidP="00C7312E">
            <w:pPr>
              <w:rPr>
                <w:rFonts w:asciiTheme="minorHAnsi" w:hAnsiTheme="minorHAnsi"/>
                <w:bCs/>
                <w:sz w:val="22"/>
                <w:szCs w:val="22"/>
                <w:lang w:val="es-ES_tradnl"/>
              </w:rPr>
            </w:pPr>
          </w:p>
          <w:p w14:paraId="28510B0A" w14:textId="77777777" w:rsidR="005C460D" w:rsidRPr="00B618D5" w:rsidRDefault="005C460D" w:rsidP="00C7312E">
            <w:pPr>
              <w:rPr>
                <w:rFonts w:asciiTheme="minorHAnsi" w:hAnsiTheme="minorHAnsi"/>
                <w:b/>
                <w:sz w:val="22"/>
                <w:szCs w:val="22"/>
                <w:lang w:val="es-ES_tradnl"/>
              </w:rPr>
            </w:pPr>
          </w:p>
          <w:p w14:paraId="48213CE6" w14:textId="77777777" w:rsidR="005C460D" w:rsidRPr="00B618D5" w:rsidRDefault="005C460D" w:rsidP="00C7312E">
            <w:pPr>
              <w:rPr>
                <w:rFonts w:asciiTheme="minorHAnsi" w:hAnsiTheme="minorHAnsi"/>
                <w:b/>
                <w:sz w:val="22"/>
                <w:szCs w:val="22"/>
                <w:lang w:val="es-ES_tradnl"/>
              </w:rPr>
            </w:pPr>
          </w:p>
          <w:p w14:paraId="3E2A1B39" w14:textId="77777777" w:rsidR="005C460D" w:rsidRPr="00B618D5" w:rsidRDefault="005C460D" w:rsidP="00C7312E">
            <w:pPr>
              <w:rPr>
                <w:rFonts w:asciiTheme="minorHAnsi" w:hAnsiTheme="minorHAnsi"/>
                <w:bCs/>
                <w:sz w:val="22"/>
                <w:szCs w:val="22"/>
                <w:lang w:val="es-ES_tradnl"/>
              </w:rPr>
            </w:pPr>
          </w:p>
          <w:p w14:paraId="7063211C" w14:textId="77777777" w:rsidR="005C460D" w:rsidRPr="00B618D5" w:rsidRDefault="005C460D" w:rsidP="00C7312E">
            <w:pPr>
              <w:rPr>
                <w:rFonts w:asciiTheme="minorHAnsi" w:hAnsiTheme="minorHAnsi"/>
                <w:sz w:val="22"/>
                <w:szCs w:val="22"/>
                <w:lang w:val="es-ES_tradnl"/>
              </w:rPr>
            </w:pPr>
          </w:p>
        </w:tc>
        <w:tc>
          <w:tcPr>
            <w:tcW w:w="3165" w:type="pct"/>
          </w:tcPr>
          <w:p w14:paraId="1CF07BBC" w14:textId="344F44F8" w:rsidR="005C460D" w:rsidRPr="00B618D5" w:rsidRDefault="00205FC0" w:rsidP="005C460D">
            <w:pPr>
              <w:rPr>
                <w:rFonts w:asciiTheme="minorHAnsi" w:hAnsiTheme="minorHAnsi"/>
                <w:b/>
                <w:sz w:val="22"/>
                <w:szCs w:val="22"/>
                <w:lang w:val="es-ES_tradnl"/>
              </w:rPr>
            </w:pPr>
            <w:r w:rsidRPr="00B618D5">
              <w:rPr>
                <w:rFonts w:asciiTheme="minorHAnsi" w:hAnsiTheme="minorHAnsi"/>
                <w:b/>
                <w:sz w:val="22"/>
                <w:szCs w:val="22"/>
                <w:lang w:val="es-ES_tradnl"/>
              </w:rPr>
              <w:t xml:space="preserve">Objetivo 2: Llevar a cabo una conservación y un </w:t>
            </w:r>
            <w:r w:rsidR="003F3DEF">
              <w:rPr>
                <w:rFonts w:asciiTheme="minorHAnsi" w:hAnsiTheme="minorHAnsi"/>
                <w:b/>
                <w:sz w:val="22"/>
                <w:szCs w:val="22"/>
                <w:lang w:val="es-ES_tradnl"/>
              </w:rPr>
              <w:t>manejo eficaces</w:t>
            </w:r>
            <w:r w:rsidRPr="00B618D5">
              <w:rPr>
                <w:rFonts w:asciiTheme="minorHAnsi" w:hAnsiTheme="minorHAnsi"/>
                <w:b/>
                <w:sz w:val="22"/>
                <w:szCs w:val="22"/>
                <w:lang w:val="es-ES_tradnl"/>
              </w:rPr>
              <w:t xml:space="preserve"> de la red de sitios Ramsar</w:t>
            </w:r>
          </w:p>
          <w:p w14:paraId="07BBD4E8" w14:textId="77777777" w:rsidR="00205FC0" w:rsidRPr="00B618D5" w:rsidRDefault="00205FC0" w:rsidP="005C460D">
            <w:pPr>
              <w:rPr>
                <w:rFonts w:asciiTheme="minorHAnsi" w:hAnsiTheme="minorHAnsi"/>
                <w:sz w:val="22"/>
                <w:szCs w:val="22"/>
                <w:lang w:val="es-ES_tradnl"/>
              </w:rPr>
            </w:pPr>
          </w:p>
          <w:p w14:paraId="50C78C86" w14:textId="2DC9E23D" w:rsidR="005C460D" w:rsidRPr="00B618D5" w:rsidRDefault="00242926" w:rsidP="005C460D">
            <w:pPr>
              <w:rPr>
                <w:rFonts w:asciiTheme="minorHAnsi" w:hAnsiTheme="minorHAnsi"/>
                <w:b/>
                <w:sz w:val="22"/>
                <w:szCs w:val="22"/>
                <w:lang w:val="es-ES_tradnl"/>
              </w:rPr>
            </w:pPr>
            <w:r w:rsidRPr="00B618D5">
              <w:rPr>
                <w:rFonts w:asciiTheme="minorHAnsi" w:hAnsiTheme="minorHAnsi"/>
                <w:b/>
                <w:sz w:val="22"/>
                <w:szCs w:val="22"/>
                <w:lang w:val="es-ES_tradnl"/>
              </w:rPr>
              <w:t>Meta</w:t>
            </w:r>
            <w:r w:rsidR="005C460D" w:rsidRPr="00B618D5">
              <w:rPr>
                <w:rFonts w:asciiTheme="minorHAnsi" w:hAnsiTheme="minorHAnsi"/>
                <w:b/>
                <w:sz w:val="22"/>
                <w:szCs w:val="22"/>
                <w:lang w:val="es-ES_tradnl"/>
              </w:rPr>
              <w:t xml:space="preserve"> 5</w:t>
            </w:r>
          </w:p>
          <w:p w14:paraId="1266D77C" w14:textId="7A0D12EC" w:rsidR="005C460D" w:rsidRPr="00B618D5" w:rsidRDefault="00205FC0" w:rsidP="005C460D">
            <w:pPr>
              <w:rPr>
                <w:rFonts w:asciiTheme="minorHAnsi" w:hAnsiTheme="minorHAnsi"/>
                <w:b/>
                <w:sz w:val="22"/>
                <w:szCs w:val="22"/>
                <w:lang w:val="es-ES_tradnl"/>
              </w:rPr>
            </w:pPr>
            <w:r w:rsidRPr="00B618D5">
              <w:rPr>
                <w:rFonts w:ascii="Calibri" w:eastAsia="MS Gothic" w:hAnsi="Calibri" w:cs="Arial"/>
                <w:sz w:val="22"/>
                <w:szCs w:val="22"/>
                <w:lang w:val="es-ES_tradnl"/>
              </w:rPr>
              <w:t>Se mantienen o restauran las características ecológicas de los sitios Ramsar a través de una planificación eficaz y un manejo integrado</w:t>
            </w:r>
            <w:r w:rsidR="003F3DEF">
              <w:rPr>
                <w:rFonts w:ascii="Calibri" w:eastAsia="MS Gothic" w:hAnsi="Calibri" w:cs="Arial"/>
                <w:sz w:val="22"/>
                <w:szCs w:val="22"/>
                <w:lang w:val="es-ES_tradnl"/>
              </w:rPr>
              <w:t>.</w:t>
            </w:r>
          </w:p>
          <w:p w14:paraId="0E656B9E" w14:textId="77777777" w:rsidR="005C460D" w:rsidRPr="00B618D5" w:rsidRDefault="005C460D" w:rsidP="005C460D">
            <w:pPr>
              <w:rPr>
                <w:rFonts w:asciiTheme="minorHAnsi" w:hAnsiTheme="minorHAnsi"/>
                <w:sz w:val="22"/>
                <w:szCs w:val="22"/>
                <w:lang w:val="es-ES_tradnl"/>
              </w:rPr>
            </w:pPr>
            <w:r w:rsidRPr="00B618D5">
              <w:rPr>
                <w:rFonts w:asciiTheme="minorHAnsi" w:hAnsiTheme="minorHAnsi"/>
                <w:sz w:val="22"/>
                <w:szCs w:val="22"/>
                <w:lang w:val="es-ES_tradnl"/>
              </w:rPr>
              <w:t xml:space="preserve"> </w:t>
            </w:r>
          </w:p>
          <w:p w14:paraId="63DE4F62" w14:textId="5320496A" w:rsidR="005C460D" w:rsidRPr="00B618D5" w:rsidRDefault="00242926" w:rsidP="005C460D">
            <w:pPr>
              <w:rPr>
                <w:rFonts w:asciiTheme="minorHAnsi" w:hAnsiTheme="minorHAnsi"/>
                <w:b/>
                <w:sz w:val="22"/>
                <w:szCs w:val="22"/>
                <w:lang w:val="es-ES_tradnl"/>
              </w:rPr>
            </w:pPr>
            <w:r w:rsidRPr="00B618D5">
              <w:rPr>
                <w:rFonts w:asciiTheme="minorHAnsi" w:hAnsiTheme="minorHAnsi"/>
                <w:b/>
                <w:sz w:val="22"/>
                <w:szCs w:val="22"/>
                <w:lang w:val="es-ES_tradnl"/>
              </w:rPr>
              <w:t>Meta</w:t>
            </w:r>
            <w:r w:rsidR="005C460D" w:rsidRPr="00B618D5">
              <w:rPr>
                <w:rFonts w:asciiTheme="minorHAnsi" w:hAnsiTheme="minorHAnsi"/>
                <w:b/>
                <w:sz w:val="22"/>
                <w:szCs w:val="22"/>
                <w:lang w:val="es-ES_tradnl"/>
              </w:rPr>
              <w:t xml:space="preserve"> 7</w:t>
            </w:r>
          </w:p>
          <w:p w14:paraId="078CB31F" w14:textId="629BE324" w:rsidR="005C460D" w:rsidRPr="00B618D5" w:rsidRDefault="00FE2E32" w:rsidP="005C460D">
            <w:pPr>
              <w:rPr>
                <w:rFonts w:asciiTheme="minorHAnsi" w:hAnsiTheme="minorHAnsi"/>
                <w:b/>
                <w:sz w:val="22"/>
                <w:szCs w:val="22"/>
                <w:lang w:val="es-ES_tradnl"/>
              </w:rPr>
            </w:pPr>
            <w:r w:rsidRPr="00B618D5">
              <w:rPr>
                <w:rFonts w:asciiTheme="minorHAnsi" w:hAnsiTheme="minorHAnsi"/>
                <w:sz w:val="22"/>
                <w:szCs w:val="22"/>
                <w:lang w:val="es-ES_tradnl"/>
              </w:rPr>
              <w:t>Se hace frente a las amenazas de los sitios con riesgo de pérdida de características ecológicas</w:t>
            </w:r>
            <w:r w:rsidR="003F3DEF">
              <w:rPr>
                <w:rFonts w:asciiTheme="minorHAnsi" w:hAnsiTheme="minorHAnsi"/>
                <w:sz w:val="22"/>
                <w:szCs w:val="22"/>
                <w:lang w:val="es-ES_tradnl"/>
              </w:rPr>
              <w:t>.</w:t>
            </w:r>
          </w:p>
          <w:p w14:paraId="4EEFB275" w14:textId="77777777" w:rsidR="00FE2E32" w:rsidRPr="00B618D5" w:rsidRDefault="00FE2E32" w:rsidP="005C460D">
            <w:pPr>
              <w:rPr>
                <w:rFonts w:asciiTheme="minorHAnsi" w:hAnsiTheme="minorHAnsi"/>
                <w:b/>
                <w:sz w:val="22"/>
                <w:szCs w:val="22"/>
                <w:lang w:val="es-ES_tradnl"/>
              </w:rPr>
            </w:pPr>
          </w:p>
          <w:p w14:paraId="3BC054F3" w14:textId="78900F40" w:rsidR="005C460D" w:rsidRPr="00B618D5" w:rsidRDefault="003F3DEF" w:rsidP="005C460D">
            <w:pPr>
              <w:rPr>
                <w:rFonts w:asciiTheme="minorHAnsi" w:hAnsiTheme="minorHAnsi"/>
                <w:b/>
                <w:sz w:val="22"/>
                <w:szCs w:val="22"/>
                <w:lang w:val="es-ES_tradnl"/>
              </w:rPr>
            </w:pPr>
            <w:r>
              <w:rPr>
                <w:rFonts w:ascii="Calibri" w:hAnsi="Calibri"/>
                <w:b/>
                <w:sz w:val="22"/>
                <w:szCs w:val="22"/>
                <w:lang w:val="es-ES_tradnl"/>
              </w:rPr>
              <w:t>Objetivo</w:t>
            </w:r>
            <w:r w:rsidR="005C460D" w:rsidRPr="00B618D5">
              <w:rPr>
                <w:rFonts w:ascii="Calibri" w:hAnsi="Calibri"/>
                <w:b/>
                <w:sz w:val="22"/>
                <w:szCs w:val="22"/>
                <w:lang w:val="es-ES_tradnl"/>
              </w:rPr>
              <w:t xml:space="preserve"> 3: </w:t>
            </w:r>
            <w:r w:rsidR="00FE2E32" w:rsidRPr="00B618D5">
              <w:rPr>
                <w:rFonts w:asciiTheme="minorHAnsi" w:hAnsiTheme="minorHAnsi"/>
                <w:b/>
                <w:sz w:val="22"/>
                <w:szCs w:val="22"/>
                <w:lang w:val="es-ES_tradnl"/>
              </w:rPr>
              <w:t>Realizar un uso racional de todos los humedales</w:t>
            </w:r>
          </w:p>
          <w:p w14:paraId="5C87B9F4" w14:textId="77777777" w:rsidR="005C460D" w:rsidRPr="00B618D5" w:rsidRDefault="005C460D" w:rsidP="005C460D">
            <w:pPr>
              <w:rPr>
                <w:rFonts w:asciiTheme="minorHAnsi" w:hAnsiTheme="minorHAnsi"/>
                <w:b/>
                <w:sz w:val="22"/>
                <w:szCs w:val="22"/>
                <w:lang w:val="es-ES_tradnl"/>
              </w:rPr>
            </w:pPr>
          </w:p>
          <w:p w14:paraId="5DF5B103" w14:textId="48635401" w:rsidR="005C460D" w:rsidRPr="00B618D5" w:rsidRDefault="00242926" w:rsidP="005C460D">
            <w:pPr>
              <w:rPr>
                <w:rFonts w:asciiTheme="minorHAnsi" w:hAnsiTheme="minorHAnsi"/>
                <w:b/>
                <w:sz w:val="22"/>
                <w:szCs w:val="22"/>
                <w:lang w:val="es-ES_tradnl"/>
              </w:rPr>
            </w:pPr>
            <w:r w:rsidRPr="00B618D5">
              <w:rPr>
                <w:rFonts w:asciiTheme="minorHAnsi" w:hAnsiTheme="minorHAnsi"/>
                <w:b/>
                <w:sz w:val="22"/>
                <w:szCs w:val="22"/>
                <w:lang w:val="es-ES_tradnl"/>
              </w:rPr>
              <w:t>Meta</w:t>
            </w:r>
            <w:r w:rsidR="005C460D" w:rsidRPr="00B618D5">
              <w:rPr>
                <w:rFonts w:asciiTheme="minorHAnsi" w:hAnsiTheme="minorHAnsi"/>
                <w:b/>
                <w:sz w:val="22"/>
                <w:szCs w:val="22"/>
                <w:lang w:val="es-ES_tradnl"/>
              </w:rPr>
              <w:t xml:space="preserve"> 10</w:t>
            </w:r>
          </w:p>
          <w:p w14:paraId="3594A518" w14:textId="2730959A" w:rsidR="005C460D" w:rsidRPr="00B618D5" w:rsidRDefault="00F60B68" w:rsidP="005C460D">
            <w:pPr>
              <w:rPr>
                <w:rFonts w:ascii="Calibri" w:hAnsi="Calibri"/>
                <w:sz w:val="22"/>
                <w:szCs w:val="22"/>
                <w:lang w:val="es-ES_tradnl"/>
              </w:rPr>
            </w:pPr>
            <w:r w:rsidRPr="00B618D5">
              <w:rPr>
                <w:rFonts w:ascii="Calibri" w:hAnsi="Calibri"/>
                <w:sz w:val="22"/>
                <w:szCs w:val="22"/>
                <w:lang w:val="es-ES_tradnl"/>
              </w:rPr>
              <w:t xml:space="preserve">Se documentan y respetan los conocimientos, las innovaciones y las prácticas tradicionales de los pueblos indígenas y las comunidades locales </w:t>
            </w:r>
            <w:r w:rsidR="00CF1BB6" w:rsidRPr="00B618D5">
              <w:rPr>
                <w:rFonts w:ascii="Calibri" w:hAnsi="Calibri"/>
                <w:sz w:val="22"/>
                <w:szCs w:val="22"/>
                <w:lang w:val="es-ES_tradnl"/>
              </w:rPr>
              <w:t>relevantes</w:t>
            </w:r>
            <w:r w:rsidRPr="00B618D5">
              <w:rPr>
                <w:rFonts w:ascii="Calibri" w:hAnsi="Calibri"/>
                <w:sz w:val="22"/>
                <w:szCs w:val="22"/>
                <w:lang w:val="es-ES_tradnl"/>
              </w:rPr>
              <w:t xml:space="preserve"> para el uso racional de los humedales y su uso consuetudinario de los recursos de los humedales, sujeto a la legislación nacional y a las obligaciones internacionales pertinentes, y se integran plenamente y reflejan en la aplicación de la Convención con la participación plena y efectiva de las comunidades indígenas y locales en todos los niveles pertinentes</w:t>
            </w:r>
            <w:r w:rsidR="005C460D" w:rsidRPr="00B618D5">
              <w:rPr>
                <w:rFonts w:ascii="Calibri" w:hAnsi="Calibri"/>
                <w:sz w:val="22"/>
                <w:szCs w:val="22"/>
                <w:lang w:val="es-ES_tradnl"/>
              </w:rPr>
              <w:t>.</w:t>
            </w:r>
          </w:p>
          <w:p w14:paraId="228E5DDE" w14:textId="77777777" w:rsidR="005C460D" w:rsidRPr="00B618D5" w:rsidRDefault="005C460D" w:rsidP="005C460D">
            <w:pPr>
              <w:rPr>
                <w:rFonts w:asciiTheme="minorHAnsi" w:hAnsiTheme="minorHAnsi"/>
                <w:b/>
                <w:sz w:val="22"/>
                <w:szCs w:val="22"/>
                <w:lang w:val="es-ES_tradnl"/>
              </w:rPr>
            </w:pPr>
          </w:p>
          <w:p w14:paraId="4AB3C073" w14:textId="02FFC97A" w:rsidR="005C460D" w:rsidRPr="00B618D5" w:rsidRDefault="003F3DEF" w:rsidP="005C460D">
            <w:pPr>
              <w:rPr>
                <w:rFonts w:asciiTheme="minorHAnsi" w:hAnsiTheme="minorHAnsi" w:cs="Helvetica"/>
                <w:b/>
                <w:color w:val="262626"/>
                <w:sz w:val="22"/>
                <w:szCs w:val="22"/>
                <w:lang w:val="es-ES_tradnl"/>
              </w:rPr>
            </w:pPr>
            <w:r>
              <w:rPr>
                <w:rFonts w:asciiTheme="minorHAnsi" w:hAnsiTheme="minorHAnsi"/>
                <w:b/>
                <w:sz w:val="22"/>
                <w:szCs w:val="22"/>
                <w:lang w:val="es-ES_tradnl"/>
              </w:rPr>
              <w:t>Objetivo</w:t>
            </w:r>
            <w:r w:rsidR="005C460D" w:rsidRPr="00B618D5">
              <w:rPr>
                <w:rFonts w:asciiTheme="minorHAnsi" w:hAnsiTheme="minorHAnsi"/>
                <w:b/>
                <w:sz w:val="22"/>
                <w:szCs w:val="22"/>
                <w:lang w:val="es-ES_tradnl"/>
              </w:rPr>
              <w:t xml:space="preserve"> 4: </w:t>
            </w:r>
            <w:r w:rsidR="00FE2E32" w:rsidRPr="00B618D5">
              <w:rPr>
                <w:rFonts w:asciiTheme="minorHAnsi" w:hAnsiTheme="minorHAnsi" w:cs="Helvetica"/>
                <w:b/>
                <w:color w:val="262626"/>
                <w:sz w:val="22"/>
                <w:szCs w:val="22"/>
                <w:lang w:val="es-ES_tradnl"/>
              </w:rPr>
              <w:t>Mejorar la aplicación</w:t>
            </w:r>
          </w:p>
          <w:p w14:paraId="6CEADB75" w14:textId="77777777" w:rsidR="005C460D" w:rsidRPr="00B618D5" w:rsidRDefault="005C460D" w:rsidP="005C460D">
            <w:pPr>
              <w:rPr>
                <w:rFonts w:asciiTheme="minorHAnsi" w:hAnsiTheme="minorHAnsi"/>
                <w:b/>
                <w:color w:val="262626"/>
                <w:sz w:val="22"/>
                <w:szCs w:val="22"/>
                <w:lang w:val="es-ES_tradnl"/>
              </w:rPr>
            </w:pPr>
          </w:p>
          <w:p w14:paraId="08F215FD" w14:textId="3663B2D2" w:rsidR="005C460D" w:rsidRPr="00B618D5" w:rsidRDefault="00242926" w:rsidP="005C460D">
            <w:pPr>
              <w:rPr>
                <w:rFonts w:asciiTheme="minorHAnsi" w:hAnsiTheme="minorHAnsi"/>
                <w:b/>
                <w:sz w:val="22"/>
                <w:szCs w:val="22"/>
                <w:lang w:val="es-ES_tradnl"/>
              </w:rPr>
            </w:pPr>
            <w:r w:rsidRPr="00B618D5">
              <w:rPr>
                <w:rFonts w:asciiTheme="minorHAnsi" w:hAnsiTheme="minorHAnsi"/>
                <w:b/>
                <w:sz w:val="22"/>
                <w:szCs w:val="22"/>
                <w:lang w:val="es-ES_tradnl"/>
              </w:rPr>
              <w:t>Meta</w:t>
            </w:r>
            <w:r w:rsidR="005C460D" w:rsidRPr="00B618D5">
              <w:rPr>
                <w:rFonts w:asciiTheme="minorHAnsi" w:hAnsiTheme="minorHAnsi"/>
                <w:b/>
                <w:sz w:val="22"/>
                <w:szCs w:val="22"/>
                <w:lang w:val="es-ES_tradnl"/>
              </w:rPr>
              <w:t xml:space="preserve"> 14</w:t>
            </w:r>
          </w:p>
          <w:p w14:paraId="4A422F66" w14:textId="0702A9A1" w:rsidR="005C460D" w:rsidRPr="00B618D5" w:rsidRDefault="00A45027" w:rsidP="005C460D">
            <w:pPr>
              <w:rPr>
                <w:rFonts w:asciiTheme="minorHAnsi" w:hAnsiTheme="minorHAnsi"/>
                <w:b/>
                <w:sz w:val="22"/>
                <w:szCs w:val="22"/>
                <w:lang w:val="es-ES_tradnl"/>
              </w:rPr>
            </w:pPr>
            <w:r w:rsidRPr="00B618D5">
              <w:rPr>
                <w:rFonts w:asciiTheme="minorHAnsi" w:hAnsiTheme="minorHAnsi"/>
                <w:sz w:val="22"/>
                <w:szCs w:val="22"/>
                <w:lang w:val="es-ES_tradnl"/>
              </w:rPr>
              <w:t xml:space="preserve">Se desarrollan orientaciones científicas y </w:t>
            </w:r>
            <w:r w:rsidR="00CF1BB6" w:rsidRPr="00B618D5">
              <w:rPr>
                <w:rFonts w:asciiTheme="minorHAnsi" w:hAnsiTheme="minorHAnsi"/>
                <w:sz w:val="22"/>
                <w:szCs w:val="22"/>
                <w:lang w:val="es-ES_tradnl"/>
              </w:rPr>
              <w:t xml:space="preserve">metodologías </w:t>
            </w:r>
            <w:r w:rsidRPr="00B618D5">
              <w:rPr>
                <w:rFonts w:asciiTheme="minorHAnsi" w:hAnsiTheme="minorHAnsi"/>
                <w:sz w:val="22"/>
                <w:szCs w:val="22"/>
                <w:lang w:val="es-ES_tradnl"/>
              </w:rPr>
              <w:t>técnicas a escala mundial y regional sobre temas relevantes que están disponibles para los responsables de políticas y los profesionales en un formato y un lenguaje apropiados</w:t>
            </w:r>
            <w:r w:rsidR="005C460D" w:rsidRPr="00B618D5">
              <w:rPr>
                <w:rFonts w:ascii="Calibri" w:hAnsi="Calibri"/>
                <w:sz w:val="22"/>
                <w:szCs w:val="22"/>
                <w:lang w:val="es-ES_tradnl"/>
              </w:rPr>
              <w:t>.</w:t>
            </w:r>
          </w:p>
          <w:p w14:paraId="497C8588" w14:textId="77777777" w:rsidR="005C460D" w:rsidRPr="00B618D5" w:rsidRDefault="005C460D" w:rsidP="006013DE">
            <w:pPr>
              <w:rPr>
                <w:rFonts w:asciiTheme="minorHAnsi" w:hAnsiTheme="minorHAnsi"/>
                <w:sz w:val="22"/>
                <w:szCs w:val="22"/>
                <w:lang w:val="es-ES_tradnl"/>
              </w:rPr>
            </w:pPr>
          </w:p>
        </w:tc>
      </w:tr>
      <w:tr w:rsidR="003B4B8C" w:rsidRPr="008146FA" w14:paraId="071350B9" w14:textId="77777777" w:rsidTr="009C04A9">
        <w:tc>
          <w:tcPr>
            <w:tcW w:w="1835" w:type="pct"/>
          </w:tcPr>
          <w:p w14:paraId="3E5C3B87" w14:textId="5CB226FA" w:rsidR="003B4B8C" w:rsidRPr="00B618D5" w:rsidRDefault="003B4B8C" w:rsidP="00556010">
            <w:pPr>
              <w:rPr>
                <w:rFonts w:asciiTheme="minorHAnsi" w:hAnsiTheme="minorHAnsi"/>
                <w:sz w:val="22"/>
                <w:szCs w:val="22"/>
                <w:lang w:val="es-ES_tradnl"/>
              </w:rPr>
            </w:pPr>
            <w:r w:rsidRPr="00B618D5">
              <w:rPr>
                <w:rFonts w:asciiTheme="minorHAnsi" w:hAnsiTheme="minorHAnsi"/>
                <w:bCs/>
                <w:sz w:val="22"/>
                <w:szCs w:val="22"/>
                <w:lang w:val="es-ES_tradnl"/>
              </w:rPr>
              <w:t xml:space="preserve">Buenas prácticas para el desarrollo y la </w:t>
            </w:r>
            <w:r w:rsidR="00556010" w:rsidRPr="00B618D5">
              <w:rPr>
                <w:rFonts w:asciiTheme="minorHAnsi" w:hAnsiTheme="minorHAnsi"/>
                <w:bCs/>
                <w:sz w:val="22"/>
                <w:szCs w:val="22"/>
                <w:lang w:val="es-ES_tradnl"/>
              </w:rPr>
              <w:t>ejecución</w:t>
            </w:r>
            <w:r w:rsidRPr="00B618D5">
              <w:rPr>
                <w:rFonts w:asciiTheme="minorHAnsi" w:hAnsiTheme="minorHAnsi"/>
                <w:bCs/>
                <w:sz w:val="22"/>
                <w:szCs w:val="22"/>
                <w:lang w:val="es-ES_tradnl"/>
              </w:rPr>
              <w:t xml:space="preserve"> de planes de manejo, planes de acción y otros instrumentos para los sitios </w:t>
            </w:r>
            <w:r w:rsidRPr="00B618D5">
              <w:rPr>
                <w:rFonts w:asciiTheme="minorHAnsi" w:hAnsiTheme="minorHAnsi"/>
                <w:bCs/>
                <w:sz w:val="22"/>
                <w:szCs w:val="22"/>
                <w:lang w:val="es-ES_tradnl"/>
              </w:rPr>
              <w:lastRenderedPageBreak/>
              <w:t>Ramsar y otros humedales.</w:t>
            </w:r>
          </w:p>
        </w:tc>
        <w:tc>
          <w:tcPr>
            <w:tcW w:w="3165" w:type="pct"/>
          </w:tcPr>
          <w:p w14:paraId="54351BE3" w14:textId="37168D3A" w:rsidR="003B4B8C" w:rsidRPr="00B618D5" w:rsidRDefault="003F3DEF" w:rsidP="003B4B8C">
            <w:pPr>
              <w:rPr>
                <w:rFonts w:asciiTheme="minorHAnsi" w:hAnsiTheme="minorHAnsi"/>
                <w:b/>
                <w:sz w:val="22"/>
                <w:szCs w:val="22"/>
                <w:lang w:val="es-ES_tradnl"/>
              </w:rPr>
            </w:pPr>
            <w:r>
              <w:rPr>
                <w:rFonts w:asciiTheme="minorHAnsi" w:hAnsiTheme="minorHAnsi"/>
                <w:b/>
                <w:sz w:val="22"/>
                <w:szCs w:val="22"/>
                <w:lang w:val="es-ES_tradnl"/>
              </w:rPr>
              <w:lastRenderedPageBreak/>
              <w:t>Objetivo</w:t>
            </w:r>
            <w:r w:rsidR="003B4B8C" w:rsidRPr="00B618D5">
              <w:rPr>
                <w:rFonts w:asciiTheme="minorHAnsi" w:hAnsiTheme="minorHAnsi"/>
                <w:b/>
                <w:sz w:val="22"/>
                <w:szCs w:val="22"/>
                <w:lang w:val="es-ES_tradnl"/>
              </w:rPr>
              <w:t xml:space="preserve"> 3: Realizar un uso racional de todos los humedales</w:t>
            </w:r>
          </w:p>
          <w:p w14:paraId="147BC270" w14:textId="77777777" w:rsidR="003B4B8C" w:rsidRPr="00B618D5" w:rsidRDefault="003B4B8C" w:rsidP="003B4B8C">
            <w:pPr>
              <w:ind w:firstLine="720"/>
              <w:rPr>
                <w:rFonts w:asciiTheme="minorHAnsi" w:hAnsiTheme="minorHAnsi"/>
                <w:b/>
                <w:sz w:val="22"/>
                <w:szCs w:val="22"/>
                <w:lang w:val="es-ES_tradnl"/>
              </w:rPr>
            </w:pPr>
          </w:p>
          <w:p w14:paraId="6ADEF689" w14:textId="26E67F41" w:rsidR="003B4B8C" w:rsidRPr="00B618D5" w:rsidRDefault="00242926" w:rsidP="003B4B8C">
            <w:pPr>
              <w:rPr>
                <w:rFonts w:asciiTheme="minorHAnsi" w:hAnsiTheme="minorHAnsi"/>
                <w:b/>
                <w:sz w:val="22"/>
                <w:szCs w:val="22"/>
                <w:lang w:val="es-ES_tradnl"/>
              </w:rPr>
            </w:pPr>
            <w:r w:rsidRPr="00B618D5">
              <w:rPr>
                <w:rFonts w:asciiTheme="minorHAnsi" w:hAnsiTheme="minorHAnsi"/>
                <w:b/>
                <w:sz w:val="22"/>
                <w:szCs w:val="22"/>
                <w:lang w:val="es-ES_tradnl"/>
              </w:rPr>
              <w:t>Meta</w:t>
            </w:r>
            <w:r w:rsidR="003B4B8C" w:rsidRPr="00B618D5">
              <w:rPr>
                <w:rFonts w:asciiTheme="minorHAnsi" w:hAnsiTheme="minorHAnsi"/>
                <w:b/>
                <w:sz w:val="22"/>
                <w:szCs w:val="22"/>
                <w:lang w:val="es-ES_tradnl"/>
              </w:rPr>
              <w:t xml:space="preserve"> 8</w:t>
            </w:r>
          </w:p>
          <w:p w14:paraId="06A4DA49" w14:textId="055EB022" w:rsidR="003B4B8C" w:rsidRPr="00B618D5" w:rsidRDefault="003B4B8C" w:rsidP="003B4B8C">
            <w:pPr>
              <w:rPr>
                <w:rFonts w:ascii="Calibri" w:hAnsi="Calibri"/>
                <w:sz w:val="22"/>
                <w:szCs w:val="22"/>
                <w:lang w:val="es-ES_tradnl"/>
              </w:rPr>
            </w:pPr>
            <w:r w:rsidRPr="00B618D5">
              <w:rPr>
                <w:rFonts w:ascii="Calibri" w:hAnsi="Calibri"/>
                <w:sz w:val="22"/>
                <w:szCs w:val="22"/>
                <w:lang w:val="es-ES_tradnl"/>
              </w:rPr>
              <w:t xml:space="preserve">Se han iniciado, completado o actualizado y divulgado y </w:t>
            </w:r>
            <w:r w:rsidRPr="00B618D5">
              <w:rPr>
                <w:rFonts w:ascii="Calibri" w:hAnsi="Calibri"/>
                <w:sz w:val="22"/>
                <w:szCs w:val="22"/>
                <w:lang w:val="es-ES_tradnl"/>
              </w:rPr>
              <w:lastRenderedPageBreak/>
              <w:t xml:space="preserve">utilizado inventarios nacionales de humedales para promover la conservación y el </w:t>
            </w:r>
            <w:r w:rsidR="003F3DEF">
              <w:rPr>
                <w:rFonts w:ascii="Calibri" w:hAnsi="Calibri"/>
                <w:sz w:val="22"/>
                <w:szCs w:val="22"/>
                <w:lang w:val="es-ES_tradnl"/>
              </w:rPr>
              <w:t>manejo eficaz</w:t>
            </w:r>
            <w:r w:rsidRPr="00B618D5">
              <w:rPr>
                <w:rFonts w:ascii="Calibri" w:hAnsi="Calibri"/>
                <w:sz w:val="22"/>
                <w:szCs w:val="22"/>
                <w:lang w:val="es-ES_tradnl"/>
              </w:rPr>
              <w:t xml:space="preserve"> de todos los humedales.</w:t>
            </w:r>
          </w:p>
          <w:p w14:paraId="7D56E760" w14:textId="77777777" w:rsidR="003B4B8C" w:rsidRPr="00B618D5" w:rsidRDefault="003B4B8C" w:rsidP="003B4B8C">
            <w:pPr>
              <w:rPr>
                <w:rFonts w:ascii="Calibri" w:hAnsi="Calibri"/>
                <w:sz w:val="22"/>
                <w:szCs w:val="22"/>
                <w:lang w:val="es-ES_tradnl"/>
              </w:rPr>
            </w:pPr>
          </w:p>
          <w:p w14:paraId="09F74B4F" w14:textId="41B6A5A0" w:rsidR="003B4B8C" w:rsidRPr="00B618D5" w:rsidRDefault="00242926" w:rsidP="003B4B8C">
            <w:pPr>
              <w:rPr>
                <w:rFonts w:ascii="Calibri" w:hAnsi="Calibri"/>
                <w:b/>
                <w:sz w:val="22"/>
                <w:szCs w:val="22"/>
                <w:lang w:val="es-ES_tradnl"/>
              </w:rPr>
            </w:pPr>
            <w:r w:rsidRPr="00B618D5">
              <w:rPr>
                <w:rFonts w:ascii="Calibri" w:hAnsi="Calibri"/>
                <w:b/>
                <w:sz w:val="22"/>
                <w:szCs w:val="22"/>
                <w:lang w:val="es-ES_tradnl"/>
              </w:rPr>
              <w:t>Meta</w:t>
            </w:r>
            <w:r w:rsidR="003B4B8C" w:rsidRPr="00B618D5">
              <w:rPr>
                <w:rFonts w:ascii="Calibri" w:hAnsi="Calibri"/>
                <w:b/>
                <w:sz w:val="22"/>
                <w:szCs w:val="22"/>
                <w:lang w:val="es-ES_tradnl"/>
              </w:rPr>
              <w:t xml:space="preserve"> 9</w:t>
            </w:r>
          </w:p>
          <w:p w14:paraId="6F10CBDF" w14:textId="3208363D" w:rsidR="003B4B8C" w:rsidRPr="00B618D5" w:rsidRDefault="003B4B8C" w:rsidP="003B4B8C">
            <w:pPr>
              <w:rPr>
                <w:rFonts w:ascii="Calibri" w:hAnsi="Calibri"/>
                <w:sz w:val="22"/>
                <w:szCs w:val="22"/>
                <w:lang w:val="es-ES_tradnl"/>
              </w:rPr>
            </w:pPr>
            <w:r w:rsidRPr="00B618D5">
              <w:rPr>
                <w:rFonts w:ascii="Calibri" w:hAnsi="Calibri"/>
                <w:sz w:val="22"/>
                <w:szCs w:val="22"/>
                <w:lang w:val="es-ES_tradnl"/>
              </w:rPr>
              <w:t>El uso racional de los humedales se refuerza a través del manejo integrado de los</w:t>
            </w:r>
            <w:r w:rsidR="00C25761" w:rsidRPr="00B618D5">
              <w:rPr>
                <w:rFonts w:ascii="Calibri" w:hAnsi="Calibri"/>
                <w:sz w:val="22"/>
                <w:szCs w:val="22"/>
                <w:lang w:val="es-ES_tradnl"/>
              </w:rPr>
              <w:t xml:space="preserve"> recursos a la escala adecuada</w:t>
            </w:r>
            <w:r w:rsidR="00491F01" w:rsidRPr="00B618D5">
              <w:rPr>
                <w:rFonts w:ascii="Calibri" w:hAnsi="Calibri"/>
                <w:sz w:val="22"/>
                <w:szCs w:val="22"/>
                <w:lang w:val="es-ES_tradnl"/>
              </w:rPr>
              <w:t xml:space="preserve">, por ejemplo, a escala de la cuenca o </w:t>
            </w:r>
            <w:r w:rsidR="00C25761" w:rsidRPr="00B618D5">
              <w:rPr>
                <w:rFonts w:ascii="Calibri" w:hAnsi="Calibri"/>
                <w:sz w:val="22"/>
                <w:szCs w:val="22"/>
                <w:lang w:val="es-ES_tradnl"/>
              </w:rPr>
              <w:t>en toda una zona costera</w:t>
            </w:r>
            <w:r w:rsidRPr="00B618D5">
              <w:rPr>
                <w:rFonts w:ascii="Calibri" w:hAnsi="Calibri"/>
                <w:sz w:val="22"/>
                <w:szCs w:val="22"/>
                <w:lang w:val="es-ES_tradnl"/>
              </w:rPr>
              <w:t>.</w:t>
            </w:r>
          </w:p>
          <w:p w14:paraId="726A105C" w14:textId="77777777" w:rsidR="003B4B8C" w:rsidRPr="00B618D5" w:rsidRDefault="003B4B8C" w:rsidP="003B4B8C">
            <w:pPr>
              <w:rPr>
                <w:rFonts w:ascii="Calibri" w:hAnsi="Calibri"/>
                <w:sz w:val="22"/>
                <w:szCs w:val="22"/>
                <w:lang w:val="es-ES_tradnl"/>
              </w:rPr>
            </w:pPr>
          </w:p>
          <w:p w14:paraId="6A029E6B" w14:textId="7C7E6DFB" w:rsidR="003B4B8C" w:rsidRPr="00B618D5" w:rsidRDefault="00242926" w:rsidP="003B4B8C">
            <w:pPr>
              <w:rPr>
                <w:rFonts w:ascii="Calibri" w:hAnsi="Calibri"/>
                <w:b/>
                <w:sz w:val="22"/>
                <w:szCs w:val="22"/>
                <w:lang w:val="es-ES_tradnl"/>
              </w:rPr>
            </w:pPr>
            <w:r w:rsidRPr="00B618D5">
              <w:rPr>
                <w:rFonts w:ascii="Calibri" w:hAnsi="Calibri"/>
                <w:b/>
                <w:sz w:val="22"/>
                <w:szCs w:val="22"/>
                <w:lang w:val="es-ES_tradnl"/>
              </w:rPr>
              <w:t>Meta</w:t>
            </w:r>
            <w:r w:rsidR="003B4B8C" w:rsidRPr="00B618D5">
              <w:rPr>
                <w:rFonts w:ascii="Calibri" w:hAnsi="Calibri"/>
                <w:b/>
                <w:sz w:val="22"/>
                <w:szCs w:val="22"/>
                <w:lang w:val="es-ES_tradnl"/>
              </w:rPr>
              <w:t xml:space="preserve"> 11</w:t>
            </w:r>
          </w:p>
          <w:p w14:paraId="01845899" w14:textId="2DA1E5DF" w:rsidR="003B4B8C" w:rsidRPr="00B618D5" w:rsidRDefault="00C25761" w:rsidP="003B4B8C">
            <w:pPr>
              <w:rPr>
                <w:rFonts w:ascii="Calibri" w:hAnsi="Calibri"/>
                <w:sz w:val="22"/>
                <w:szCs w:val="22"/>
                <w:highlight w:val="yellow"/>
                <w:lang w:val="es-ES_tradnl"/>
              </w:rPr>
            </w:pPr>
            <w:r w:rsidRPr="00B618D5">
              <w:rPr>
                <w:rFonts w:ascii="Calibri" w:hAnsi="Calibri"/>
                <w:sz w:val="22"/>
                <w:szCs w:val="22"/>
                <w:lang w:val="es-ES_tradnl"/>
              </w:rPr>
              <w:t>Se demuestran, documentan y divulgan ampliamente las funciones, los servicios y los beneficios de los humedales</w:t>
            </w:r>
            <w:r w:rsidR="003B4B8C" w:rsidRPr="00B618D5">
              <w:rPr>
                <w:rFonts w:ascii="Calibri" w:hAnsi="Calibri"/>
                <w:sz w:val="22"/>
                <w:szCs w:val="22"/>
                <w:lang w:val="es-ES_tradnl"/>
              </w:rPr>
              <w:t>.</w:t>
            </w:r>
            <w:r w:rsidR="003B4B8C" w:rsidRPr="00B618D5">
              <w:rPr>
                <w:rFonts w:ascii="Calibri" w:hAnsi="Calibri"/>
                <w:sz w:val="22"/>
                <w:szCs w:val="22"/>
                <w:lang w:val="es-ES_tradnl"/>
              </w:rPr>
              <w:tab/>
            </w:r>
          </w:p>
          <w:p w14:paraId="4D47A45F" w14:textId="77777777" w:rsidR="003B4B8C" w:rsidRPr="00B618D5" w:rsidRDefault="003B4B8C" w:rsidP="003B4B8C">
            <w:pPr>
              <w:rPr>
                <w:rFonts w:asciiTheme="minorHAnsi" w:hAnsiTheme="minorHAnsi"/>
                <w:b/>
                <w:sz w:val="22"/>
                <w:szCs w:val="22"/>
                <w:lang w:val="es-ES_tradnl"/>
              </w:rPr>
            </w:pPr>
          </w:p>
          <w:p w14:paraId="5079B298" w14:textId="69C5777C" w:rsidR="003B4B8C" w:rsidRPr="00B618D5" w:rsidRDefault="00242926" w:rsidP="003B4B8C">
            <w:pPr>
              <w:rPr>
                <w:rFonts w:asciiTheme="minorHAnsi" w:hAnsiTheme="minorHAnsi"/>
                <w:b/>
                <w:sz w:val="22"/>
                <w:szCs w:val="22"/>
                <w:lang w:val="es-ES_tradnl"/>
              </w:rPr>
            </w:pPr>
            <w:r w:rsidRPr="00B618D5">
              <w:rPr>
                <w:rFonts w:asciiTheme="minorHAnsi" w:hAnsiTheme="minorHAnsi"/>
                <w:b/>
                <w:sz w:val="22"/>
                <w:szCs w:val="22"/>
                <w:lang w:val="es-ES_tradnl"/>
              </w:rPr>
              <w:t>Meta</w:t>
            </w:r>
            <w:r w:rsidR="003B4B8C" w:rsidRPr="00B618D5">
              <w:rPr>
                <w:rFonts w:asciiTheme="minorHAnsi" w:hAnsiTheme="minorHAnsi"/>
                <w:b/>
                <w:sz w:val="22"/>
                <w:szCs w:val="22"/>
                <w:lang w:val="es-ES_tradnl"/>
              </w:rPr>
              <w:t xml:space="preserve"> 12</w:t>
            </w:r>
          </w:p>
          <w:p w14:paraId="67C54D9A" w14:textId="322484E9" w:rsidR="003B4B8C" w:rsidRPr="00B618D5" w:rsidRDefault="00FF17BD" w:rsidP="003B4B8C">
            <w:pPr>
              <w:rPr>
                <w:rFonts w:ascii="Calibri" w:hAnsi="Calibri"/>
                <w:sz w:val="22"/>
                <w:szCs w:val="22"/>
                <w:lang w:val="es-ES_tradnl"/>
              </w:rPr>
            </w:pPr>
            <w:r w:rsidRPr="00B618D5">
              <w:rPr>
                <w:rFonts w:ascii="Calibri" w:hAnsi="Calibri"/>
                <w:sz w:val="22"/>
                <w:szCs w:val="22"/>
                <w:lang w:val="es-ES_tradnl"/>
              </w:rPr>
              <w:t xml:space="preserve">Los humedales degradados están en proceso de restauración, </w:t>
            </w:r>
            <w:r w:rsidRPr="00B618D5">
              <w:rPr>
                <w:rFonts w:asciiTheme="minorHAnsi" w:hAnsiTheme="minorHAnsi"/>
                <w:sz w:val="22"/>
                <w:szCs w:val="22"/>
                <w:lang w:val="es-ES_tradnl"/>
              </w:rPr>
              <w:t>otorgando prioridad a los humedales importantes para la conservación de la biodiversidad, la reducción del riesgo de desastres, los medios de vida y/o la mitigación del cambio climático y la adaptación a este</w:t>
            </w:r>
            <w:r w:rsidR="003B4B8C" w:rsidRPr="00B618D5">
              <w:rPr>
                <w:rFonts w:ascii="Calibri" w:hAnsi="Calibri"/>
                <w:sz w:val="22"/>
                <w:szCs w:val="22"/>
                <w:lang w:val="es-ES_tradnl"/>
              </w:rPr>
              <w:t>.</w:t>
            </w:r>
          </w:p>
          <w:p w14:paraId="173F0BBA" w14:textId="77777777" w:rsidR="003B4B8C" w:rsidRPr="00B618D5" w:rsidRDefault="003B4B8C" w:rsidP="003B4B8C">
            <w:pPr>
              <w:rPr>
                <w:rFonts w:ascii="Calibri" w:hAnsi="Calibri"/>
                <w:sz w:val="22"/>
                <w:szCs w:val="22"/>
                <w:lang w:val="es-ES_tradnl"/>
              </w:rPr>
            </w:pPr>
          </w:p>
          <w:p w14:paraId="68B19EEE" w14:textId="3B053915" w:rsidR="003B4B8C" w:rsidRPr="00B618D5" w:rsidRDefault="003F3DEF" w:rsidP="003B4B8C">
            <w:pPr>
              <w:rPr>
                <w:rFonts w:asciiTheme="minorHAnsi" w:hAnsiTheme="minorHAnsi" w:cs="Helvetica"/>
                <w:b/>
                <w:color w:val="262626"/>
                <w:sz w:val="22"/>
                <w:szCs w:val="22"/>
                <w:lang w:val="es-ES_tradnl"/>
              </w:rPr>
            </w:pPr>
            <w:r>
              <w:rPr>
                <w:rFonts w:asciiTheme="minorHAnsi" w:hAnsiTheme="minorHAnsi"/>
                <w:b/>
                <w:sz w:val="22"/>
                <w:szCs w:val="22"/>
                <w:lang w:val="es-ES_tradnl"/>
              </w:rPr>
              <w:t>Objetivo</w:t>
            </w:r>
            <w:r w:rsidR="003B4B8C" w:rsidRPr="00B618D5">
              <w:rPr>
                <w:rFonts w:asciiTheme="minorHAnsi" w:hAnsiTheme="minorHAnsi"/>
                <w:b/>
                <w:sz w:val="22"/>
                <w:szCs w:val="22"/>
                <w:lang w:val="es-ES_tradnl"/>
              </w:rPr>
              <w:t xml:space="preserve"> 4: </w:t>
            </w:r>
            <w:r w:rsidR="009A41DF" w:rsidRPr="00B618D5">
              <w:rPr>
                <w:rFonts w:asciiTheme="minorHAnsi" w:hAnsiTheme="minorHAnsi" w:cs="Helvetica"/>
                <w:b/>
                <w:color w:val="262626"/>
                <w:sz w:val="22"/>
                <w:szCs w:val="22"/>
                <w:lang w:val="es-ES_tradnl"/>
              </w:rPr>
              <w:t>Mejorar la aplicación</w:t>
            </w:r>
          </w:p>
          <w:p w14:paraId="012B11CB" w14:textId="77777777" w:rsidR="003B4B8C" w:rsidRPr="00B618D5" w:rsidRDefault="003B4B8C" w:rsidP="003B4B8C">
            <w:pPr>
              <w:rPr>
                <w:rFonts w:asciiTheme="minorHAnsi" w:hAnsiTheme="minorHAnsi" w:cs="Helvetica"/>
                <w:b/>
                <w:color w:val="262626"/>
                <w:sz w:val="22"/>
                <w:szCs w:val="22"/>
                <w:lang w:val="es-ES_tradnl"/>
              </w:rPr>
            </w:pPr>
          </w:p>
          <w:p w14:paraId="6C56397D" w14:textId="3FDB83BB" w:rsidR="003B4B8C" w:rsidRPr="00B618D5" w:rsidRDefault="00242926" w:rsidP="003B4B8C">
            <w:pPr>
              <w:rPr>
                <w:rFonts w:asciiTheme="minorHAnsi" w:hAnsiTheme="minorHAnsi"/>
                <w:b/>
                <w:sz w:val="22"/>
                <w:szCs w:val="22"/>
                <w:lang w:val="es-ES_tradnl"/>
              </w:rPr>
            </w:pPr>
            <w:r w:rsidRPr="00B618D5">
              <w:rPr>
                <w:rFonts w:asciiTheme="minorHAnsi" w:hAnsiTheme="minorHAnsi"/>
                <w:b/>
                <w:sz w:val="22"/>
                <w:szCs w:val="22"/>
                <w:lang w:val="es-ES_tradnl"/>
              </w:rPr>
              <w:t>Meta</w:t>
            </w:r>
            <w:r w:rsidR="003B4B8C" w:rsidRPr="00B618D5">
              <w:rPr>
                <w:rFonts w:asciiTheme="minorHAnsi" w:hAnsiTheme="minorHAnsi"/>
                <w:b/>
                <w:sz w:val="22"/>
                <w:szCs w:val="22"/>
                <w:lang w:val="es-ES_tradnl"/>
              </w:rPr>
              <w:t xml:space="preserve"> 14</w:t>
            </w:r>
          </w:p>
          <w:p w14:paraId="42E858B6" w14:textId="4E0301AA" w:rsidR="003B4B8C" w:rsidRPr="00B618D5" w:rsidRDefault="00491F01" w:rsidP="003B4B8C">
            <w:pPr>
              <w:rPr>
                <w:rFonts w:ascii="Calibri" w:hAnsi="Calibri"/>
                <w:sz w:val="22"/>
                <w:szCs w:val="22"/>
                <w:lang w:val="es-ES_tradnl"/>
              </w:rPr>
            </w:pPr>
            <w:r w:rsidRPr="00B618D5">
              <w:rPr>
                <w:rFonts w:asciiTheme="minorHAnsi" w:hAnsiTheme="minorHAnsi"/>
                <w:sz w:val="22"/>
                <w:szCs w:val="22"/>
                <w:lang w:val="es-ES_tradnl"/>
              </w:rPr>
              <w:t>Se desarrollan orientaciones científicas y metodologías técnicas a escala mundial y regional sobre temas relevantes que están disponibles para los responsables de políticas y los profesionales en un formato y un lenguaje apropiados</w:t>
            </w:r>
            <w:r w:rsidR="003B4B8C" w:rsidRPr="00B618D5">
              <w:rPr>
                <w:rFonts w:ascii="Calibri" w:hAnsi="Calibri"/>
                <w:sz w:val="22"/>
                <w:szCs w:val="22"/>
                <w:lang w:val="es-ES_tradnl"/>
              </w:rPr>
              <w:t>.</w:t>
            </w:r>
          </w:p>
          <w:p w14:paraId="1C872140" w14:textId="77777777" w:rsidR="003B4B8C" w:rsidRPr="00B618D5" w:rsidRDefault="003B4B8C" w:rsidP="004E5D19">
            <w:pPr>
              <w:rPr>
                <w:rFonts w:asciiTheme="minorHAnsi" w:hAnsiTheme="minorHAnsi" w:cs="Helvetica"/>
                <w:color w:val="262626"/>
                <w:sz w:val="22"/>
                <w:szCs w:val="22"/>
                <w:lang w:val="es-ES_tradnl"/>
              </w:rPr>
            </w:pPr>
          </w:p>
        </w:tc>
      </w:tr>
      <w:tr w:rsidR="009A41DF" w:rsidRPr="008146FA" w14:paraId="49770381" w14:textId="77777777" w:rsidTr="009C04A9">
        <w:tc>
          <w:tcPr>
            <w:tcW w:w="1835" w:type="pct"/>
          </w:tcPr>
          <w:p w14:paraId="78A67ECB" w14:textId="1D0721E3" w:rsidR="009A41DF" w:rsidRPr="00B618D5" w:rsidRDefault="009A41DF" w:rsidP="00C7312E">
            <w:pPr>
              <w:rPr>
                <w:rFonts w:asciiTheme="minorHAnsi" w:hAnsiTheme="minorHAnsi"/>
                <w:sz w:val="22"/>
                <w:szCs w:val="22"/>
                <w:lang w:val="es-ES_tradnl"/>
              </w:rPr>
            </w:pPr>
            <w:r w:rsidRPr="00B618D5">
              <w:rPr>
                <w:rFonts w:asciiTheme="minorHAnsi" w:hAnsiTheme="minorHAnsi" w:cs="Helvetica"/>
                <w:sz w:val="22"/>
                <w:szCs w:val="22"/>
                <w:lang w:val="es-ES_tradnl"/>
              </w:rPr>
              <w:lastRenderedPageBreak/>
              <w:t>Metodologías para la valoración económica y no económica de los</w:t>
            </w:r>
            <w:r w:rsidR="00556010" w:rsidRPr="00B618D5">
              <w:rPr>
                <w:rFonts w:asciiTheme="minorHAnsi" w:hAnsiTheme="minorHAnsi" w:cs="Helvetica"/>
                <w:sz w:val="22"/>
                <w:szCs w:val="22"/>
                <w:lang w:val="es-ES_tradnl"/>
              </w:rPr>
              <w:t xml:space="preserve"> </w:t>
            </w:r>
            <w:r w:rsidRPr="00B618D5">
              <w:rPr>
                <w:rFonts w:asciiTheme="minorHAnsi" w:hAnsiTheme="minorHAnsi" w:cs="Helvetica"/>
                <w:sz w:val="22"/>
                <w:szCs w:val="22"/>
                <w:lang w:val="es-ES_tradnl"/>
              </w:rPr>
              <w:t>bienes y servicios de los humedales.</w:t>
            </w:r>
          </w:p>
          <w:p w14:paraId="76B3D2CA" w14:textId="77777777" w:rsidR="009A41DF" w:rsidRPr="00B618D5" w:rsidRDefault="009A41DF" w:rsidP="00C7312E">
            <w:pPr>
              <w:rPr>
                <w:rFonts w:asciiTheme="minorHAnsi" w:hAnsiTheme="minorHAnsi"/>
                <w:sz w:val="22"/>
                <w:szCs w:val="22"/>
                <w:lang w:val="es-ES_tradnl"/>
              </w:rPr>
            </w:pPr>
          </w:p>
        </w:tc>
        <w:tc>
          <w:tcPr>
            <w:tcW w:w="3165" w:type="pct"/>
          </w:tcPr>
          <w:p w14:paraId="6CC5DBB5" w14:textId="05485BB0" w:rsidR="009A41DF" w:rsidRPr="00B618D5" w:rsidRDefault="003F3DEF" w:rsidP="00A0386A">
            <w:pPr>
              <w:rPr>
                <w:rFonts w:ascii="Calibri" w:hAnsi="Calibri"/>
                <w:b/>
                <w:sz w:val="22"/>
                <w:szCs w:val="22"/>
                <w:lang w:val="es-ES_tradnl"/>
              </w:rPr>
            </w:pPr>
            <w:r>
              <w:rPr>
                <w:rFonts w:ascii="Calibri" w:hAnsi="Calibri"/>
                <w:b/>
                <w:sz w:val="22"/>
                <w:szCs w:val="22"/>
                <w:lang w:val="es-ES_tradnl"/>
              </w:rPr>
              <w:t>Objetivo</w:t>
            </w:r>
            <w:r w:rsidR="009A41DF" w:rsidRPr="00B618D5">
              <w:rPr>
                <w:rFonts w:ascii="Calibri" w:hAnsi="Calibri"/>
                <w:b/>
                <w:sz w:val="22"/>
                <w:szCs w:val="22"/>
                <w:lang w:val="es-ES_tradnl"/>
              </w:rPr>
              <w:t xml:space="preserve"> 1: </w:t>
            </w:r>
            <w:r w:rsidR="00A0386A" w:rsidRPr="00B618D5">
              <w:rPr>
                <w:rFonts w:asciiTheme="minorHAnsi" w:hAnsiTheme="minorHAnsi"/>
                <w:b/>
                <w:sz w:val="22"/>
                <w:szCs w:val="22"/>
                <w:lang w:val="es-ES_tradnl"/>
              </w:rPr>
              <w:t>Hacer frente a los factores que impulsan la pérdida y degradación de los humedales</w:t>
            </w:r>
          </w:p>
          <w:p w14:paraId="7D8A9986" w14:textId="77777777" w:rsidR="009A41DF" w:rsidRPr="00B618D5" w:rsidRDefault="009A41DF" w:rsidP="00A0386A">
            <w:pPr>
              <w:rPr>
                <w:rFonts w:ascii="Calibri" w:hAnsi="Calibri"/>
                <w:b/>
                <w:sz w:val="22"/>
                <w:szCs w:val="22"/>
                <w:lang w:val="es-ES_tradnl"/>
              </w:rPr>
            </w:pPr>
          </w:p>
          <w:p w14:paraId="4930A3BD" w14:textId="779099BB" w:rsidR="009A41DF" w:rsidRPr="00B618D5" w:rsidRDefault="00242926" w:rsidP="00A0386A">
            <w:pPr>
              <w:rPr>
                <w:rFonts w:ascii="Calibri" w:hAnsi="Calibri"/>
                <w:b/>
                <w:sz w:val="22"/>
                <w:szCs w:val="22"/>
                <w:lang w:val="es-ES_tradnl"/>
              </w:rPr>
            </w:pPr>
            <w:r w:rsidRPr="00B618D5">
              <w:rPr>
                <w:rFonts w:ascii="Calibri" w:hAnsi="Calibri"/>
                <w:b/>
                <w:sz w:val="22"/>
                <w:szCs w:val="22"/>
                <w:lang w:val="es-ES_tradnl"/>
              </w:rPr>
              <w:t>Meta</w:t>
            </w:r>
            <w:r w:rsidR="009A41DF" w:rsidRPr="00B618D5">
              <w:rPr>
                <w:rFonts w:ascii="Calibri" w:hAnsi="Calibri"/>
                <w:b/>
                <w:sz w:val="22"/>
                <w:szCs w:val="22"/>
                <w:lang w:val="es-ES_tradnl"/>
              </w:rPr>
              <w:t xml:space="preserve"> 1</w:t>
            </w:r>
          </w:p>
          <w:p w14:paraId="6A065F73" w14:textId="38A8353B" w:rsidR="009A41DF" w:rsidRPr="00B618D5" w:rsidRDefault="00A0386A" w:rsidP="00A0386A">
            <w:pPr>
              <w:rPr>
                <w:rFonts w:asciiTheme="minorHAnsi" w:hAnsiTheme="minorHAnsi"/>
                <w:sz w:val="22"/>
                <w:szCs w:val="22"/>
                <w:lang w:val="es-ES_tradnl"/>
              </w:rPr>
            </w:pPr>
            <w:r w:rsidRPr="00B618D5">
              <w:rPr>
                <w:rFonts w:asciiTheme="minorHAnsi" w:hAnsiTheme="minorHAnsi"/>
                <w:sz w:val="22"/>
                <w:szCs w:val="22"/>
                <w:lang w:val="es-ES_tradnl"/>
              </w:rPr>
              <w:t>Los beneficios y servicios de los ecosistemas de humedales están integrados en las políticas o estrategias y planes nacionales o locales relativos a sectores clave como el agua, la energía, la minería, las industri</w:t>
            </w:r>
            <w:r w:rsidR="00242926" w:rsidRPr="00B618D5">
              <w:rPr>
                <w:rFonts w:asciiTheme="minorHAnsi" w:hAnsiTheme="minorHAnsi"/>
                <w:sz w:val="22"/>
                <w:szCs w:val="22"/>
                <w:lang w:val="es-ES_tradnl"/>
              </w:rPr>
              <w:t>as extractivas, la agricultura</w:t>
            </w:r>
            <w:r w:rsidRPr="00B618D5">
              <w:rPr>
                <w:rFonts w:asciiTheme="minorHAnsi" w:hAnsiTheme="minorHAnsi"/>
                <w:sz w:val="22"/>
                <w:szCs w:val="22"/>
                <w:lang w:val="es-ES_tradnl"/>
              </w:rPr>
              <w:t xml:space="preserve">, el turismo, el desarrollo </w:t>
            </w:r>
            <w:r w:rsidR="000E3DAD" w:rsidRPr="00B618D5">
              <w:rPr>
                <w:rFonts w:asciiTheme="minorHAnsi" w:hAnsiTheme="minorHAnsi"/>
                <w:sz w:val="22"/>
                <w:szCs w:val="22"/>
                <w:lang w:val="es-ES_tradnl"/>
              </w:rPr>
              <w:t>urbano</w:t>
            </w:r>
            <w:r w:rsidRPr="00B618D5">
              <w:rPr>
                <w:rFonts w:asciiTheme="minorHAnsi" w:hAnsiTheme="minorHAnsi"/>
                <w:sz w:val="22"/>
                <w:szCs w:val="22"/>
                <w:lang w:val="es-ES_tradnl"/>
              </w:rPr>
              <w:t>, las infraestructuras, la silvicultura, la acuicultura y la pesca a escala nacional y local</w:t>
            </w:r>
            <w:r w:rsidR="009A41DF" w:rsidRPr="00B618D5">
              <w:rPr>
                <w:rFonts w:ascii="Calibri" w:hAnsi="Calibri"/>
                <w:sz w:val="22"/>
                <w:szCs w:val="22"/>
                <w:lang w:val="es-ES_tradnl"/>
              </w:rPr>
              <w:t>.</w:t>
            </w:r>
          </w:p>
          <w:p w14:paraId="1188BE29" w14:textId="77777777" w:rsidR="009A41DF" w:rsidRPr="00B618D5" w:rsidRDefault="009A41DF" w:rsidP="00A0386A">
            <w:pPr>
              <w:rPr>
                <w:rFonts w:ascii="Calibri" w:hAnsi="Calibri"/>
                <w:sz w:val="22"/>
                <w:szCs w:val="22"/>
                <w:lang w:val="es-ES_tradnl"/>
              </w:rPr>
            </w:pPr>
          </w:p>
          <w:p w14:paraId="45F3D647" w14:textId="58743E39" w:rsidR="009A41DF" w:rsidRPr="00B618D5" w:rsidRDefault="00242926" w:rsidP="00A0386A">
            <w:pPr>
              <w:rPr>
                <w:rFonts w:ascii="Calibri" w:hAnsi="Calibri"/>
                <w:b/>
                <w:sz w:val="22"/>
                <w:szCs w:val="22"/>
                <w:lang w:val="es-ES_tradnl"/>
              </w:rPr>
            </w:pPr>
            <w:r w:rsidRPr="00B618D5">
              <w:rPr>
                <w:rFonts w:ascii="Calibri" w:hAnsi="Calibri"/>
                <w:b/>
                <w:sz w:val="22"/>
                <w:szCs w:val="22"/>
                <w:lang w:val="es-ES_tradnl"/>
              </w:rPr>
              <w:t>Meta</w:t>
            </w:r>
            <w:r w:rsidR="009A41DF" w:rsidRPr="00B618D5">
              <w:rPr>
                <w:rFonts w:ascii="Calibri" w:hAnsi="Calibri"/>
                <w:b/>
                <w:sz w:val="22"/>
                <w:szCs w:val="22"/>
                <w:lang w:val="es-ES_tradnl"/>
              </w:rPr>
              <w:t xml:space="preserve"> 3</w:t>
            </w:r>
          </w:p>
          <w:p w14:paraId="36704227" w14:textId="30E9BA4C" w:rsidR="009A41DF" w:rsidRPr="00B618D5" w:rsidRDefault="00A0386A" w:rsidP="00A0386A">
            <w:pPr>
              <w:rPr>
                <w:rFonts w:ascii="Calibri" w:hAnsi="Calibri"/>
                <w:b/>
                <w:sz w:val="22"/>
                <w:szCs w:val="22"/>
                <w:lang w:val="es-ES_tradnl"/>
              </w:rPr>
            </w:pPr>
            <w:r w:rsidRPr="00B618D5">
              <w:rPr>
                <w:rFonts w:asciiTheme="minorHAnsi" w:hAnsiTheme="minorHAnsi"/>
                <w:sz w:val="22"/>
                <w:szCs w:val="22"/>
                <w:lang w:val="es-ES_tradnl"/>
              </w:rPr>
              <w:t xml:space="preserve">Los sectores público y privado han </w:t>
            </w:r>
            <w:r w:rsidR="000E3DAD" w:rsidRPr="00B618D5">
              <w:rPr>
                <w:rFonts w:asciiTheme="minorHAnsi" w:hAnsiTheme="minorHAnsi"/>
                <w:sz w:val="22"/>
                <w:szCs w:val="22"/>
                <w:lang w:val="es-ES_tradnl"/>
              </w:rPr>
              <w:t xml:space="preserve">aumentado sus esfuerzos </w:t>
            </w:r>
            <w:r w:rsidRPr="00B618D5">
              <w:rPr>
                <w:rFonts w:asciiTheme="minorHAnsi" w:hAnsiTheme="minorHAnsi"/>
                <w:sz w:val="22"/>
                <w:szCs w:val="22"/>
                <w:lang w:val="es-ES_tradnl"/>
              </w:rPr>
              <w:t>para aplicar lineamientos y buenas prácticas para el uso racional del agua y de los humedales</w:t>
            </w:r>
            <w:r w:rsidR="009A41DF" w:rsidRPr="00B618D5">
              <w:rPr>
                <w:rFonts w:ascii="Calibri" w:hAnsi="Calibri"/>
                <w:sz w:val="22"/>
                <w:szCs w:val="22"/>
                <w:lang w:val="es-ES_tradnl"/>
              </w:rPr>
              <w:t>.</w:t>
            </w:r>
          </w:p>
          <w:p w14:paraId="0BA69C47" w14:textId="77777777" w:rsidR="009A41DF" w:rsidRPr="00B618D5" w:rsidRDefault="009A41DF" w:rsidP="00A0386A">
            <w:pPr>
              <w:rPr>
                <w:rFonts w:ascii="Calibri" w:hAnsi="Calibri"/>
                <w:b/>
                <w:sz w:val="22"/>
                <w:szCs w:val="22"/>
                <w:lang w:val="es-ES_tradnl"/>
              </w:rPr>
            </w:pPr>
          </w:p>
          <w:p w14:paraId="11C5F58F" w14:textId="3C66BF70" w:rsidR="009A41DF" w:rsidRPr="00B618D5" w:rsidRDefault="003F3DEF" w:rsidP="00A0386A">
            <w:pPr>
              <w:rPr>
                <w:rFonts w:ascii="Calibri" w:hAnsi="Calibri"/>
                <w:b/>
                <w:sz w:val="22"/>
                <w:szCs w:val="22"/>
                <w:lang w:val="es-ES_tradnl"/>
              </w:rPr>
            </w:pPr>
            <w:r>
              <w:rPr>
                <w:rFonts w:ascii="Calibri" w:hAnsi="Calibri"/>
                <w:b/>
                <w:sz w:val="22"/>
                <w:szCs w:val="22"/>
                <w:lang w:val="es-ES_tradnl"/>
              </w:rPr>
              <w:t>Objetivo</w:t>
            </w:r>
            <w:r w:rsidR="009A41DF" w:rsidRPr="00B618D5">
              <w:rPr>
                <w:rFonts w:ascii="Calibri" w:hAnsi="Calibri"/>
                <w:b/>
                <w:sz w:val="22"/>
                <w:szCs w:val="22"/>
                <w:lang w:val="es-ES_tradnl"/>
              </w:rPr>
              <w:t xml:space="preserve"> 3: </w:t>
            </w:r>
            <w:r w:rsidR="00A0386A" w:rsidRPr="00B618D5">
              <w:rPr>
                <w:rFonts w:asciiTheme="minorHAnsi" w:hAnsiTheme="minorHAnsi"/>
                <w:b/>
                <w:sz w:val="22"/>
                <w:szCs w:val="22"/>
                <w:lang w:val="es-ES_tradnl"/>
              </w:rPr>
              <w:t>Realizar un uso racional de todos los humedales</w:t>
            </w:r>
          </w:p>
          <w:p w14:paraId="726A3767" w14:textId="77777777" w:rsidR="009A41DF" w:rsidRPr="00B618D5" w:rsidRDefault="009A41DF" w:rsidP="00A0386A">
            <w:pPr>
              <w:rPr>
                <w:rFonts w:ascii="Calibri" w:hAnsi="Calibri"/>
                <w:b/>
                <w:sz w:val="22"/>
                <w:szCs w:val="22"/>
                <w:lang w:val="es-ES_tradnl"/>
              </w:rPr>
            </w:pPr>
          </w:p>
          <w:p w14:paraId="6FDC5D0E" w14:textId="25E97893" w:rsidR="009A41DF" w:rsidRPr="00B618D5" w:rsidRDefault="00242926" w:rsidP="00A0386A">
            <w:pPr>
              <w:rPr>
                <w:rFonts w:asciiTheme="minorHAnsi" w:hAnsiTheme="minorHAnsi"/>
                <w:b/>
                <w:sz w:val="22"/>
                <w:szCs w:val="22"/>
                <w:lang w:val="es-ES_tradnl"/>
              </w:rPr>
            </w:pPr>
            <w:r w:rsidRPr="00B618D5">
              <w:rPr>
                <w:rFonts w:asciiTheme="minorHAnsi" w:hAnsiTheme="minorHAnsi"/>
                <w:b/>
                <w:sz w:val="22"/>
                <w:szCs w:val="22"/>
                <w:lang w:val="es-ES_tradnl"/>
              </w:rPr>
              <w:t>Meta</w:t>
            </w:r>
            <w:r w:rsidR="009A41DF" w:rsidRPr="00B618D5">
              <w:rPr>
                <w:rFonts w:asciiTheme="minorHAnsi" w:hAnsiTheme="minorHAnsi"/>
                <w:b/>
                <w:sz w:val="22"/>
                <w:szCs w:val="22"/>
                <w:lang w:val="es-ES_tradnl"/>
              </w:rPr>
              <w:t xml:space="preserve"> 8</w:t>
            </w:r>
          </w:p>
          <w:p w14:paraId="73EADEFD" w14:textId="760A0920" w:rsidR="009A41DF" w:rsidRPr="00B618D5" w:rsidRDefault="00E16BCF" w:rsidP="00A0386A">
            <w:pPr>
              <w:rPr>
                <w:rFonts w:ascii="Calibri" w:hAnsi="Calibri"/>
                <w:sz w:val="22"/>
                <w:szCs w:val="22"/>
                <w:lang w:val="es-ES_tradnl"/>
              </w:rPr>
            </w:pPr>
            <w:r w:rsidRPr="00B618D5">
              <w:rPr>
                <w:rFonts w:ascii="Calibri" w:hAnsi="Calibri"/>
                <w:sz w:val="22"/>
                <w:szCs w:val="22"/>
                <w:lang w:val="es-ES_tradnl"/>
              </w:rPr>
              <w:t xml:space="preserve">Se han iniciado, completado o actualizado y divulgado y utilizado inventarios nacionales de humedales para promover la conservación y el </w:t>
            </w:r>
            <w:r w:rsidR="003F3DEF">
              <w:rPr>
                <w:rFonts w:ascii="Calibri" w:hAnsi="Calibri"/>
                <w:sz w:val="22"/>
                <w:szCs w:val="22"/>
                <w:lang w:val="es-ES_tradnl"/>
              </w:rPr>
              <w:t>manejo eficaz</w:t>
            </w:r>
            <w:r w:rsidRPr="00B618D5">
              <w:rPr>
                <w:rFonts w:ascii="Calibri" w:hAnsi="Calibri"/>
                <w:sz w:val="22"/>
                <w:szCs w:val="22"/>
                <w:lang w:val="es-ES_tradnl"/>
              </w:rPr>
              <w:t xml:space="preserve"> de todos los humedales</w:t>
            </w:r>
            <w:r w:rsidR="009A41DF" w:rsidRPr="00B618D5">
              <w:rPr>
                <w:rFonts w:ascii="Calibri" w:hAnsi="Calibri"/>
                <w:sz w:val="22"/>
                <w:szCs w:val="22"/>
                <w:lang w:val="es-ES_tradnl"/>
              </w:rPr>
              <w:t>.</w:t>
            </w:r>
          </w:p>
          <w:p w14:paraId="14798853" w14:textId="77777777" w:rsidR="009A41DF" w:rsidRPr="00B618D5" w:rsidRDefault="009A41DF" w:rsidP="00A0386A">
            <w:pPr>
              <w:rPr>
                <w:rFonts w:ascii="Calibri" w:hAnsi="Calibri"/>
                <w:b/>
                <w:sz w:val="22"/>
                <w:szCs w:val="22"/>
                <w:highlight w:val="green"/>
                <w:lang w:val="es-ES_tradnl"/>
              </w:rPr>
            </w:pPr>
          </w:p>
          <w:p w14:paraId="156F87BC" w14:textId="4BC4AB94" w:rsidR="009A41DF" w:rsidRPr="00B618D5" w:rsidRDefault="00242926" w:rsidP="00A0386A">
            <w:pPr>
              <w:rPr>
                <w:rFonts w:ascii="Calibri" w:hAnsi="Calibri"/>
                <w:b/>
                <w:sz w:val="22"/>
                <w:szCs w:val="22"/>
                <w:lang w:val="es-ES_tradnl"/>
              </w:rPr>
            </w:pPr>
            <w:r w:rsidRPr="00B618D5">
              <w:rPr>
                <w:rFonts w:ascii="Calibri" w:hAnsi="Calibri"/>
                <w:b/>
                <w:sz w:val="22"/>
                <w:szCs w:val="22"/>
                <w:lang w:val="es-ES_tradnl"/>
              </w:rPr>
              <w:lastRenderedPageBreak/>
              <w:t>Meta</w:t>
            </w:r>
            <w:r w:rsidR="009A41DF" w:rsidRPr="00B618D5">
              <w:rPr>
                <w:rFonts w:ascii="Calibri" w:hAnsi="Calibri"/>
                <w:b/>
                <w:sz w:val="22"/>
                <w:szCs w:val="22"/>
                <w:lang w:val="es-ES_tradnl"/>
              </w:rPr>
              <w:t xml:space="preserve"> 9</w:t>
            </w:r>
          </w:p>
          <w:p w14:paraId="72B6F7E2" w14:textId="53438240" w:rsidR="009A41DF" w:rsidRPr="00B618D5" w:rsidRDefault="00E16BCF" w:rsidP="00A0386A">
            <w:pPr>
              <w:rPr>
                <w:rFonts w:ascii="Calibri" w:hAnsi="Calibri"/>
                <w:sz w:val="22"/>
                <w:szCs w:val="22"/>
                <w:lang w:val="es-ES_tradnl"/>
              </w:rPr>
            </w:pPr>
            <w:r w:rsidRPr="00B618D5">
              <w:rPr>
                <w:rFonts w:ascii="Calibri" w:hAnsi="Calibri"/>
                <w:sz w:val="22"/>
                <w:szCs w:val="22"/>
                <w:lang w:val="es-ES_tradnl"/>
              </w:rPr>
              <w:t>El uso racional de los humedales se refuerza a través del manejo integrado de los recursos a la escala adecuada, por ejemplo, a escala de la cuenca o en toda una zona costera</w:t>
            </w:r>
            <w:r w:rsidR="009A41DF" w:rsidRPr="00B618D5">
              <w:rPr>
                <w:rFonts w:ascii="Calibri" w:hAnsi="Calibri"/>
                <w:sz w:val="22"/>
                <w:szCs w:val="22"/>
                <w:lang w:val="es-ES_tradnl"/>
              </w:rPr>
              <w:t>.</w:t>
            </w:r>
          </w:p>
          <w:p w14:paraId="705088F8" w14:textId="77777777" w:rsidR="009A41DF" w:rsidRPr="00B618D5" w:rsidRDefault="009A41DF" w:rsidP="00A0386A">
            <w:pPr>
              <w:rPr>
                <w:rFonts w:asciiTheme="minorHAnsi" w:hAnsiTheme="minorHAnsi"/>
                <w:sz w:val="22"/>
                <w:szCs w:val="22"/>
                <w:highlight w:val="green"/>
                <w:lang w:val="es-ES_tradnl"/>
              </w:rPr>
            </w:pPr>
          </w:p>
          <w:p w14:paraId="5CA37346" w14:textId="6E012072" w:rsidR="009A41DF" w:rsidRPr="00B618D5" w:rsidRDefault="00242926" w:rsidP="00A0386A">
            <w:pPr>
              <w:rPr>
                <w:rFonts w:ascii="Calibri" w:hAnsi="Calibri"/>
                <w:b/>
                <w:sz w:val="22"/>
                <w:szCs w:val="22"/>
                <w:lang w:val="es-ES_tradnl"/>
              </w:rPr>
            </w:pPr>
            <w:r w:rsidRPr="00B618D5">
              <w:rPr>
                <w:rFonts w:ascii="Calibri" w:hAnsi="Calibri"/>
                <w:b/>
                <w:sz w:val="22"/>
                <w:szCs w:val="22"/>
                <w:lang w:val="es-ES_tradnl"/>
              </w:rPr>
              <w:t>Meta</w:t>
            </w:r>
            <w:r w:rsidR="009A41DF" w:rsidRPr="00B618D5">
              <w:rPr>
                <w:rFonts w:ascii="Calibri" w:hAnsi="Calibri"/>
                <w:b/>
                <w:sz w:val="22"/>
                <w:szCs w:val="22"/>
                <w:lang w:val="es-ES_tradnl"/>
              </w:rPr>
              <w:t xml:space="preserve"> 11</w:t>
            </w:r>
          </w:p>
          <w:p w14:paraId="058A34E7" w14:textId="32BBCC03" w:rsidR="009A41DF" w:rsidRPr="00B618D5" w:rsidRDefault="00E16BCF" w:rsidP="00A0386A">
            <w:pPr>
              <w:rPr>
                <w:rFonts w:ascii="Calibri" w:hAnsi="Calibri"/>
                <w:sz w:val="22"/>
                <w:szCs w:val="22"/>
                <w:lang w:val="es-ES_tradnl"/>
              </w:rPr>
            </w:pPr>
            <w:r w:rsidRPr="00B618D5">
              <w:rPr>
                <w:rFonts w:ascii="Calibri" w:hAnsi="Calibri"/>
                <w:sz w:val="22"/>
                <w:szCs w:val="22"/>
                <w:lang w:val="es-ES_tradnl"/>
              </w:rPr>
              <w:t>Se demuestran, documentan y divulgan ampliamente las funciones, los servicios y los beneficios de los humedales</w:t>
            </w:r>
            <w:r w:rsidR="009A41DF" w:rsidRPr="00B618D5">
              <w:rPr>
                <w:rFonts w:ascii="Calibri" w:hAnsi="Calibri"/>
                <w:sz w:val="22"/>
                <w:szCs w:val="22"/>
                <w:lang w:val="es-ES_tradnl"/>
              </w:rPr>
              <w:t>.</w:t>
            </w:r>
            <w:r w:rsidR="009A41DF" w:rsidRPr="00B618D5">
              <w:rPr>
                <w:rFonts w:ascii="Calibri" w:hAnsi="Calibri"/>
                <w:sz w:val="22"/>
                <w:szCs w:val="22"/>
                <w:lang w:val="es-ES_tradnl"/>
              </w:rPr>
              <w:tab/>
            </w:r>
          </w:p>
          <w:p w14:paraId="221C27AF" w14:textId="77777777" w:rsidR="009A41DF" w:rsidRPr="00B618D5" w:rsidRDefault="009A41DF" w:rsidP="00A0386A">
            <w:pPr>
              <w:rPr>
                <w:rFonts w:asciiTheme="minorHAnsi" w:hAnsiTheme="minorHAnsi"/>
                <w:sz w:val="22"/>
                <w:szCs w:val="22"/>
                <w:highlight w:val="green"/>
                <w:lang w:val="es-ES_tradnl"/>
              </w:rPr>
            </w:pPr>
          </w:p>
          <w:p w14:paraId="2D2B2D08" w14:textId="7C036A90" w:rsidR="009A41DF" w:rsidRPr="00B618D5" w:rsidRDefault="00242926" w:rsidP="00A0386A">
            <w:pPr>
              <w:rPr>
                <w:rFonts w:asciiTheme="minorHAnsi" w:hAnsiTheme="minorHAnsi"/>
                <w:b/>
                <w:sz w:val="22"/>
                <w:szCs w:val="22"/>
                <w:lang w:val="es-ES_tradnl"/>
              </w:rPr>
            </w:pPr>
            <w:r w:rsidRPr="00B618D5">
              <w:rPr>
                <w:rFonts w:asciiTheme="minorHAnsi" w:hAnsiTheme="minorHAnsi"/>
                <w:b/>
                <w:sz w:val="22"/>
                <w:szCs w:val="22"/>
                <w:lang w:val="es-ES_tradnl"/>
              </w:rPr>
              <w:t>Meta</w:t>
            </w:r>
            <w:r w:rsidR="009A41DF" w:rsidRPr="00B618D5">
              <w:rPr>
                <w:rFonts w:asciiTheme="minorHAnsi" w:hAnsiTheme="minorHAnsi"/>
                <w:b/>
                <w:sz w:val="22"/>
                <w:szCs w:val="22"/>
                <w:lang w:val="es-ES_tradnl"/>
              </w:rPr>
              <w:t xml:space="preserve"> 12</w:t>
            </w:r>
          </w:p>
          <w:p w14:paraId="6C6B582E" w14:textId="198B4E0F" w:rsidR="009A41DF" w:rsidRPr="00B618D5" w:rsidRDefault="00E16BCF" w:rsidP="00A0386A">
            <w:pPr>
              <w:rPr>
                <w:rFonts w:ascii="Calibri" w:hAnsi="Calibri"/>
                <w:sz w:val="22"/>
                <w:szCs w:val="22"/>
                <w:lang w:val="es-ES_tradnl"/>
              </w:rPr>
            </w:pPr>
            <w:r w:rsidRPr="00B618D5">
              <w:rPr>
                <w:rFonts w:ascii="Calibri" w:hAnsi="Calibri"/>
                <w:sz w:val="22"/>
                <w:szCs w:val="22"/>
                <w:lang w:val="es-ES_tradnl"/>
              </w:rPr>
              <w:t xml:space="preserve">Los humedales degradados están en proceso de restauración, </w:t>
            </w:r>
            <w:r w:rsidRPr="00B618D5">
              <w:rPr>
                <w:rFonts w:asciiTheme="minorHAnsi" w:hAnsiTheme="minorHAnsi"/>
                <w:sz w:val="22"/>
                <w:szCs w:val="22"/>
                <w:lang w:val="es-ES_tradnl"/>
              </w:rPr>
              <w:t>otorgando prioridad a los humedales importantes para la conservación de la biodiversidad, la reducción del riesgo de desastres, los medios de vida y/o la mitigación del cambio climático y la adaptación a este</w:t>
            </w:r>
            <w:r w:rsidR="009A41DF" w:rsidRPr="00B618D5">
              <w:rPr>
                <w:rFonts w:ascii="Calibri" w:hAnsi="Calibri"/>
                <w:sz w:val="22"/>
                <w:szCs w:val="22"/>
                <w:lang w:val="es-ES_tradnl"/>
              </w:rPr>
              <w:t>.</w:t>
            </w:r>
          </w:p>
          <w:p w14:paraId="6D22D977" w14:textId="77777777" w:rsidR="009A41DF" w:rsidRPr="00B618D5" w:rsidRDefault="009A41DF" w:rsidP="00A0386A">
            <w:pPr>
              <w:rPr>
                <w:rFonts w:ascii="Calibri" w:hAnsi="Calibri"/>
                <w:sz w:val="22"/>
                <w:szCs w:val="22"/>
                <w:highlight w:val="green"/>
                <w:lang w:val="es-ES_tradnl"/>
              </w:rPr>
            </w:pPr>
          </w:p>
          <w:p w14:paraId="6CFD94B3" w14:textId="22246ECA" w:rsidR="009A41DF" w:rsidRPr="00B618D5" w:rsidRDefault="003F3DEF" w:rsidP="00A0386A">
            <w:pPr>
              <w:rPr>
                <w:rFonts w:asciiTheme="minorHAnsi" w:hAnsiTheme="minorHAnsi" w:cs="Helvetica"/>
                <w:b/>
                <w:color w:val="262626"/>
                <w:sz w:val="22"/>
                <w:szCs w:val="22"/>
                <w:lang w:val="es-ES_tradnl"/>
              </w:rPr>
            </w:pPr>
            <w:r>
              <w:rPr>
                <w:rFonts w:asciiTheme="minorHAnsi" w:hAnsiTheme="minorHAnsi"/>
                <w:b/>
                <w:sz w:val="22"/>
                <w:szCs w:val="22"/>
                <w:lang w:val="es-ES_tradnl"/>
              </w:rPr>
              <w:t>Objetivo</w:t>
            </w:r>
            <w:r w:rsidR="009A41DF" w:rsidRPr="00B618D5">
              <w:rPr>
                <w:rFonts w:asciiTheme="minorHAnsi" w:hAnsiTheme="minorHAnsi"/>
                <w:b/>
                <w:sz w:val="22"/>
                <w:szCs w:val="22"/>
                <w:lang w:val="es-ES_tradnl"/>
              </w:rPr>
              <w:t xml:space="preserve"> 4: </w:t>
            </w:r>
            <w:r w:rsidR="00E16BCF" w:rsidRPr="00B618D5">
              <w:rPr>
                <w:rFonts w:asciiTheme="minorHAnsi" w:hAnsiTheme="minorHAnsi" w:cs="Helvetica"/>
                <w:b/>
                <w:color w:val="262626"/>
                <w:sz w:val="22"/>
                <w:szCs w:val="22"/>
                <w:lang w:val="es-ES_tradnl"/>
              </w:rPr>
              <w:t>Mejorar la aplicación</w:t>
            </w:r>
          </w:p>
          <w:p w14:paraId="573E9B93" w14:textId="77777777" w:rsidR="009A41DF" w:rsidRPr="00B618D5" w:rsidRDefault="009A41DF" w:rsidP="00A0386A">
            <w:pPr>
              <w:rPr>
                <w:rFonts w:asciiTheme="minorHAnsi" w:hAnsiTheme="minorHAnsi" w:cs="Helvetica"/>
                <w:b/>
                <w:color w:val="262626"/>
                <w:sz w:val="22"/>
                <w:szCs w:val="22"/>
                <w:highlight w:val="green"/>
                <w:lang w:val="es-ES_tradnl"/>
              </w:rPr>
            </w:pPr>
          </w:p>
          <w:p w14:paraId="17E33CAF" w14:textId="0F2BDF39" w:rsidR="009A41DF" w:rsidRPr="00B618D5" w:rsidRDefault="00242926" w:rsidP="00A0386A">
            <w:pPr>
              <w:rPr>
                <w:rFonts w:asciiTheme="minorHAnsi" w:hAnsiTheme="minorHAnsi"/>
                <w:b/>
                <w:sz w:val="22"/>
                <w:szCs w:val="22"/>
                <w:lang w:val="es-ES_tradnl"/>
              </w:rPr>
            </w:pPr>
            <w:r w:rsidRPr="00B618D5">
              <w:rPr>
                <w:rFonts w:asciiTheme="minorHAnsi" w:hAnsiTheme="minorHAnsi"/>
                <w:b/>
                <w:sz w:val="22"/>
                <w:szCs w:val="22"/>
                <w:lang w:val="es-ES_tradnl"/>
              </w:rPr>
              <w:t>Meta</w:t>
            </w:r>
            <w:r w:rsidR="009A41DF" w:rsidRPr="00B618D5">
              <w:rPr>
                <w:rFonts w:asciiTheme="minorHAnsi" w:hAnsiTheme="minorHAnsi"/>
                <w:b/>
                <w:sz w:val="22"/>
                <w:szCs w:val="22"/>
                <w:lang w:val="es-ES_tradnl"/>
              </w:rPr>
              <w:t xml:space="preserve"> 14</w:t>
            </w:r>
          </w:p>
          <w:p w14:paraId="039BB6BB" w14:textId="3880219B" w:rsidR="009A41DF" w:rsidRPr="00B618D5" w:rsidRDefault="00E16BCF" w:rsidP="00A0386A">
            <w:pPr>
              <w:rPr>
                <w:rFonts w:asciiTheme="minorHAnsi" w:hAnsiTheme="minorHAnsi" w:cstheme="minorHAnsi"/>
                <w:bCs/>
                <w:sz w:val="22"/>
                <w:szCs w:val="22"/>
                <w:lang w:val="es-ES_tradnl"/>
              </w:rPr>
            </w:pPr>
            <w:r w:rsidRPr="00B618D5">
              <w:rPr>
                <w:rFonts w:asciiTheme="minorHAnsi" w:hAnsiTheme="minorHAnsi"/>
                <w:sz w:val="22"/>
                <w:szCs w:val="22"/>
                <w:lang w:val="es-ES_tradnl"/>
              </w:rPr>
              <w:t>Se desarrollan orientaciones científicas y metodologías técnicas a escala mundial y regional sobre temas relevantes que están disponibles para los responsables de políticas y los profesionales en un formato y un lenguaje apropiados</w:t>
            </w:r>
            <w:r w:rsidR="009A41DF" w:rsidRPr="00B618D5">
              <w:rPr>
                <w:rFonts w:ascii="Calibri" w:hAnsi="Calibri"/>
                <w:sz w:val="22"/>
                <w:szCs w:val="22"/>
                <w:lang w:val="es-ES_tradnl"/>
              </w:rPr>
              <w:t>.</w:t>
            </w:r>
          </w:p>
          <w:p w14:paraId="3A5E29D1" w14:textId="77777777" w:rsidR="009A41DF" w:rsidRPr="00B618D5" w:rsidRDefault="009A41DF" w:rsidP="00C7312E">
            <w:pPr>
              <w:rPr>
                <w:rFonts w:asciiTheme="minorHAnsi" w:hAnsiTheme="minorHAnsi"/>
                <w:sz w:val="22"/>
                <w:szCs w:val="22"/>
                <w:lang w:val="es-ES_tradnl"/>
              </w:rPr>
            </w:pPr>
          </w:p>
        </w:tc>
      </w:tr>
      <w:tr w:rsidR="00C24694" w:rsidRPr="008146FA" w14:paraId="01CED82B" w14:textId="77777777" w:rsidTr="009C04A9">
        <w:tc>
          <w:tcPr>
            <w:tcW w:w="1835" w:type="pct"/>
          </w:tcPr>
          <w:p w14:paraId="75CE37C3" w14:textId="1B7EE654" w:rsidR="00C24694" w:rsidRPr="00B618D5" w:rsidRDefault="001C2429" w:rsidP="00C7312E">
            <w:pPr>
              <w:rPr>
                <w:rFonts w:asciiTheme="minorHAnsi" w:hAnsiTheme="minorHAnsi"/>
                <w:bCs/>
                <w:sz w:val="22"/>
                <w:szCs w:val="22"/>
                <w:lang w:val="es-ES_tradnl"/>
              </w:rPr>
            </w:pPr>
            <w:r>
              <w:rPr>
                <w:rFonts w:asciiTheme="minorHAnsi" w:hAnsiTheme="minorHAnsi"/>
                <w:sz w:val="22"/>
                <w:szCs w:val="22"/>
                <w:lang w:val="es-ES_tradnl"/>
              </w:rPr>
              <w:lastRenderedPageBreak/>
              <w:t xml:space="preserve">Balance </w:t>
            </w:r>
            <w:r w:rsidR="00C24694" w:rsidRPr="00B618D5">
              <w:rPr>
                <w:rFonts w:asciiTheme="minorHAnsi" w:hAnsiTheme="minorHAnsi"/>
                <w:sz w:val="22"/>
                <w:szCs w:val="22"/>
                <w:lang w:val="es-ES_tradnl"/>
              </w:rPr>
              <w:t xml:space="preserve">entre la conservación de los humedales y el desarrollo, por ejemplo, infraestructuras, urbanización, silvicultura, </w:t>
            </w:r>
            <w:r w:rsidR="00556010" w:rsidRPr="00B618D5">
              <w:rPr>
                <w:rFonts w:asciiTheme="minorHAnsi" w:hAnsiTheme="minorHAnsi"/>
                <w:sz w:val="22"/>
                <w:szCs w:val="22"/>
                <w:lang w:val="es-ES_tradnl"/>
              </w:rPr>
              <w:t>industrias extractivas</w:t>
            </w:r>
            <w:r w:rsidR="00C24694" w:rsidRPr="00B618D5">
              <w:rPr>
                <w:rFonts w:asciiTheme="minorHAnsi" w:hAnsiTheme="minorHAnsi"/>
                <w:sz w:val="22"/>
                <w:szCs w:val="22"/>
                <w:lang w:val="es-ES_tradnl"/>
              </w:rPr>
              <w:t xml:space="preserve"> y agricultura</w:t>
            </w:r>
            <w:r w:rsidR="00C24694" w:rsidRPr="00B618D5">
              <w:rPr>
                <w:rFonts w:asciiTheme="minorHAnsi" w:hAnsiTheme="minorHAnsi"/>
                <w:bCs/>
                <w:sz w:val="22"/>
                <w:szCs w:val="22"/>
                <w:lang w:val="es-ES_tradnl"/>
              </w:rPr>
              <w:t>.</w:t>
            </w:r>
          </w:p>
          <w:p w14:paraId="42E3E5C2" w14:textId="77777777" w:rsidR="00C24694" w:rsidRPr="00B618D5" w:rsidRDefault="00C24694" w:rsidP="00C7312E">
            <w:pPr>
              <w:rPr>
                <w:rFonts w:asciiTheme="minorHAnsi" w:hAnsiTheme="minorHAnsi"/>
                <w:sz w:val="22"/>
                <w:szCs w:val="22"/>
                <w:lang w:val="es-ES_tradnl"/>
              </w:rPr>
            </w:pPr>
          </w:p>
          <w:p w14:paraId="6631F376" w14:textId="77777777" w:rsidR="00C24694" w:rsidRPr="00B618D5" w:rsidRDefault="00C24694" w:rsidP="00C7312E">
            <w:pPr>
              <w:rPr>
                <w:rFonts w:asciiTheme="minorHAnsi" w:hAnsiTheme="minorHAnsi"/>
                <w:sz w:val="22"/>
                <w:szCs w:val="22"/>
                <w:lang w:val="es-ES_tradnl"/>
              </w:rPr>
            </w:pPr>
          </w:p>
          <w:p w14:paraId="033E341F" w14:textId="0DB06957" w:rsidR="00C24694" w:rsidRPr="00B618D5" w:rsidRDefault="00C24694" w:rsidP="00C7312E">
            <w:pPr>
              <w:rPr>
                <w:rFonts w:asciiTheme="minorHAnsi" w:hAnsiTheme="minorHAnsi"/>
                <w:sz w:val="22"/>
                <w:szCs w:val="22"/>
                <w:lang w:val="es-ES_tradnl"/>
              </w:rPr>
            </w:pPr>
          </w:p>
        </w:tc>
        <w:tc>
          <w:tcPr>
            <w:tcW w:w="3165" w:type="pct"/>
          </w:tcPr>
          <w:p w14:paraId="2E32D167" w14:textId="21617479" w:rsidR="00C24694" w:rsidRPr="00B618D5" w:rsidRDefault="003F3DEF" w:rsidP="00C24694">
            <w:pPr>
              <w:rPr>
                <w:rFonts w:ascii="Calibri" w:hAnsi="Calibri"/>
                <w:b/>
                <w:sz w:val="22"/>
                <w:szCs w:val="22"/>
                <w:lang w:val="es-ES_tradnl"/>
              </w:rPr>
            </w:pPr>
            <w:r>
              <w:rPr>
                <w:rFonts w:ascii="Calibri" w:hAnsi="Calibri"/>
                <w:b/>
                <w:sz w:val="22"/>
                <w:szCs w:val="22"/>
                <w:lang w:val="es-ES_tradnl"/>
              </w:rPr>
              <w:t>Objetivo</w:t>
            </w:r>
            <w:r w:rsidR="00C24694" w:rsidRPr="00B618D5">
              <w:rPr>
                <w:rFonts w:ascii="Calibri" w:hAnsi="Calibri"/>
                <w:b/>
                <w:sz w:val="22"/>
                <w:szCs w:val="22"/>
                <w:lang w:val="es-ES_tradnl"/>
              </w:rPr>
              <w:t xml:space="preserve"> 1: </w:t>
            </w:r>
            <w:r w:rsidR="00E16BCF" w:rsidRPr="00B618D5">
              <w:rPr>
                <w:rFonts w:asciiTheme="minorHAnsi" w:hAnsiTheme="minorHAnsi"/>
                <w:b/>
                <w:sz w:val="22"/>
                <w:szCs w:val="22"/>
                <w:lang w:val="es-ES_tradnl"/>
              </w:rPr>
              <w:t>Hacer frente a los factores que impulsan la pérdida y degradación de los humedales</w:t>
            </w:r>
          </w:p>
          <w:p w14:paraId="6E9836DB" w14:textId="77777777" w:rsidR="00C24694" w:rsidRPr="00B618D5" w:rsidRDefault="00C24694" w:rsidP="00C24694">
            <w:pPr>
              <w:rPr>
                <w:rFonts w:asciiTheme="minorHAnsi" w:hAnsiTheme="minorHAnsi" w:cstheme="minorHAnsi"/>
                <w:b/>
                <w:bCs/>
                <w:sz w:val="22"/>
                <w:szCs w:val="22"/>
                <w:lang w:val="es-ES_tradnl"/>
              </w:rPr>
            </w:pPr>
          </w:p>
          <w:p w14:paraId="607D529D" w14:textId="47BE121E" w:rsidR="00C24694" w:rsidRPr="00B618D5" w:rsidRDefault="00242926" w:rsidP="00C24694">
            <w:pPr>
              <w:rPr>
                <w:rFonts w:ascii="Calibri" w:hAnsi="Calibri"/>
                <w:b/>
                <w:sz w:val="22"/>
                <w:szCs w:val="22"/>
                <w:lang w:val="es-ES_tradnl"/>
              </w:rPr>
            </w:pPr>
            <w:r w:rsidRPr="00B618D5">
              <w:rPr>
                <w:rFonts w:ascii="Calibri" w:hAnsi="Calibri"/>
                <w:b/>
                <w:sz w:val="22"/>
                <w:szCs w:val="22"/>
                <w:lang w:val="es-ES_tradnl"/>
              </w:rPr>
              <w:t>Meta</w:t>
            </w:r>
            <w:r w:rsidR="00C24694" w:rsidRPr="00B618D5">
              <w:rPr>
                <w:rFonts w:ascii="Calibri" w:hAnsi="Calibri"/>
                <w:b/>
                <w:sz w:val="22"/>
                <w:szCs w:val="22"/>
                <w:lang w:val="es-ES_tradnl"/>
              </w:rPr>
              <w:t xml:space="preserve"> 1</w:t>
            </w:r>
          </w:p>
          <w:p w14:paraId="42D72FF8" w14:textId="3A6F11CA" w:rsidR="00C24694" w:rsidRPr="00B618D5" w:rsidRDefault="00E16BCF" w:rsidP="00C24694">
            <w:pPr>
              <w:rPr>
                <w:rFonts w:ascii="Calibri" w:hAnsi="Calibri"/>
                <w:sz w:val="22"/>
                <w:szCs w:val="22"/>
                <w:lang w:val="es-ES_tradnl"/>
              </w:rPr>
            </w:pPr>
            <w:r w:rsidRPr="00B618D5">
              <w:rPr>
                <w:rFonts w:asciiTheme="minorHAnsi" w:hAnsiTheme="minorHAnsi"/>
                <w:sz w:val="22"/>
                <w:szCs w:val="22"/>
                <w:lang w:val="es-ES_tradnl"/>
              </w:rPr>
              <w:t>Los beneficios y servicios de los ecosistemas de humedales están integrados en las políticas o estrategias y planes nacionales o locales relativos a sectores clave como el agua, la energía, la minería, las industri</w:t>
            </w:r>
            <w:r w:rsidR="00242926" w:rsidRPr="00B618D5">
              <w:rPr>
                <w:rFonts w:asciiTheme="minorHAnsi" w:hAnsiTheme="minorHAnsi"/>
                <w:sz w:val="22"/>
                <w:szCs w:val="22"/>
                <w:lang w:val="es-ES_tradnl"/>
              </w:rPr>
              <w:t>as extractivas, la agricultura</w:t>
            </w:r>
            <w:r w:rsidRPr="00B618D5">
              <w:rPr>
                <w:rFonts w:asciiTheme="minorHAnsi" w:hAnsiTheme="minorHAnsi"/>
                <w:sz w:val="22"/>
                <w:szCs w:val="22"/>
                <w:lang w:val="es-ES_tradnl"/>
              </w:rPr>
              <w:t>, el turismo, el desarrollo urbano, las infraestructuras, la silvicultura, la acuicultura y la pesca a escala nacional y local.</w:t>
            </w:r>
          </w:p>
          <w:p w14:paraId="54581C40" w14:textId="77777777" w:rsidR="00C24694" w:rsidRPr="00B618D5" w:rsidRDefault="00C24694" w:rsidP="00C24694">
            <w:pPr>
              <w:rPr>
                <w:rFonts w:ascii="Calibri" w:hAnsi="Calibri"/>
                <w:sz w:val="22"/>
                <w:szCs w:val="22"/>
                <w:lang w:val="es-ES_tradnl"/>
              </w:rPr>
            </w:pPr>
          </w:p>
          <w:p w14:paraId="5340B750" w14:textId="1709B57C" w:rsidR="00C24694" w:rsidRPr="00B618D5" w:rsidRDefault="00242926" w:rsidP="00C24694">
            <w:pPr>
              <w:rPr>
                <w:rFonts w:ascii="Calibri" w:hAnsi="Calibri"/>
                <w:b/>
                <w:sz w:val="22"/>
                <w:szCs w:val="22"/>
                <w:lang w:val="es-ES_tradnl"/>
              </w:rPr>
            </w:pPr>
            <w:r w:rsidRPr="00B618D5">
              <w:rPr>
                <w:rFonts w:ascii="Calibri" w:hAnsi="Calibri"/>
                <w:b/>
                <w:sz w:val="22"/>
                <w:szCs w:val="22"/>
                <w:lang w:val="es-ES_tradnl"/>
              </w:rPr>
              <w:t>Meta</w:t>
            </w:r>
            <w:r w:rsidR="00C24694" w:rsidRPr="00B618D5">
              <w:rPr>
                <w:rFonts w:ascii="Calibri" w:hAnsi="Calibri"/>
                <w:b/>
                <w:sz w:val="22"/>
                <w:szCs w:val="22"/>
                <w:lang w:val="es-ES_tradnl"/>
              </w:rPr>
              <w:t xml:space="preserve"> 3</w:t>
            </w:r>
          </w:p>
          <w:p w14:paraId="74C55FC3" w14:textId="10E3DE09" w:rsidR="00C24694" w:rsidRPr="00B618D5" w:rsidRDefault="00E16BCF" w:rsidP="00C24694">
            <w:pPr>
              <w:rPr>
                <w:rFonts w:ascii="Calibri" w:hAnsi="Calibri"/>
                <w:b/>
                <w:sz w:val="22"/>
                <w:szCs w:val="22"/>
                <w:lang w:val="es-ES_tradnl"/>
              </w:rPr>
            </w:pPr>
            <w:r w:rsidRPr="00B618D5">
              <w:rPr>
                <w:rFonts w:asciiTheme="minorHAnsi" w:hAnsiTheme="minorHAnsi"/>
                <w:sz w:val="22"/>
                <w:szCs w:val="22"/>
                <w:lang w:val="es-ES_tradnl"/>
              </w:rPr>
              <w:t>Los sectores público y privado han aumentado sus esfuerzos para aplicar lineamientos y buenas prácticas para el uso racional del agua y de los humedales</w:t>
            </w:r>
            <w:r w:rsidR="00C24694" w:rsidRPr="00B618D5">
              <w:rPr>
                <w:rFonts w:ascii="Calibri" w:hAnsi="Calibri"/>
                <w:sz w:val="22"/>
                <w:szCs w:val="22"/>
                <w:lang w:val="es-ES_tradnl"/>
              </w:rPr>
              <w:t>.</w:t>
            </w:r>
          </w:p>
          <w:p w14:paraId="52F7A4AA" w14:textId="77777777" w:rsidR="00C24694" w:rsidRPr="00B618D5" w:rsidRDefault="00C24694" w:rsidP="00C24694">
            <w:pPr>
              <w:rPr>
                <w:rFonts w:ascii="Calibri" w:hAnsi="Calibri"/>
                <w:sz w:val="22"/>
                <w:szCs w:val="22"/>
                <w:lang w:val="es-ES_tradnl"/>
              </w:rPr>
            </w:pPr>
          </w:p>
          <w:p w14:paraId="0174EC19" w14:textId="4166B756" w:rsidR="00C24694" w:rsidRPr="00B618D5" w:rsidRDefault="003F3DEF" w:rsidP="00C24694">
            <w:pPr>
              <w:rPr>
                <w:rFonts w:ascii="Calibri" w:hAnsi="Calibri"/>
                <w:b/>
                <w:sz w:val="22"/>
                <w:szCs w:val="22"/>
                <w:lang w:val="es-ES_tradnl"/>
              </w:rPr>
            </w:pPr>
            <w:r>
              <w:rPr>
                <w:rFonts w:ascii="Calibri" w:hAnsi="Calibri"/>
                <w:b/>
                <w:sz w:val="22"/>
                <w:szCs w:val="22"/>
                <w:lang w:val="es-ES_tradnl"/>
              </w:rPr>
              <w:t>Objetivo</w:t>
            </w:r>
            <w:r w:rsidR="00C24694" w:rsidRPr="00B618D5">
              <w:rPr>
                <w:rFonts w:ascii="Calibri" w:hAnsi="Calibri"/>
                <w:b/>
                <w:sz w:val="22"/>
                <w:szCs w:val="22"/>
                <w:lang w:val="es-ES_tradnl"/>
              </w:rPr>
              <w:t xml:space="preserve"> 3: </w:t>
            </w:r>
            <w:r w:rsidR="00E16BCF" w:rsidRPr="00B618D5">
              <w:rPr>
                <w:rFonts w:asciiTheme="minorHAnsi" w:hAnsiTheme="minorHAnsi"/>
                <w:b/>
                <w:sz w:val="22"/>
                <w:szCs w:val="22"/>
                <w:lang w:val="es-ES_tradnl"/>
              </w:rPr>
              <w:t>Realizar un uso racional de todos los humedales</w:t>
            </w:r>
          </w:p>
          <w:p w14:paraId="7D92227E" w14:textId="77777777" w:rsidR="00C24694" w:rsidRPr="00B618D5" w:rsidRDefault="00C24694" w:rsidP="00C24694">
            <w:pPr>
              <w:rPr>
                <w:rFonts w:asciiTheme="minorHAnsi" w:hAnsiTheme="minorHAnsi" w:cstheme="minorHAnsi"/>
                <w:b/>
                <w:bCs/>
                <w:sz w:val="22"/>
                <w:szCs w:val="22"/>
                <w:lang w:val="es-ES_tradnl"/>
              </w:rPr>
            </w:pPr>
          </w:p>
          <w:p w14:paraId="6A422A71" w14:textId="67AD3CFF" w:rsidR="00C24694" w:rsidRPr="00B618D5" w:rsidRDefault="00242926" w:rsidP="00C24694">
            <w:pPr>
              <w:rPr>
                <w:rFonts w:asciiTheme="minorHAnsi" w:hAnsiTheme="minorHAnsi"/>
                <w:b/>
                <w:sz w:val="22"/>
                <w:szCs w:val="22"/>
                <w:lang w:val="es-ES_tradnl"/>
              </w:rPr>
            </w:pPr>
            <w:r w:rsidRPr="00B618D5">
              <w:rPr>
                <w:rFonts w:asciiTheme="minorHAnsi" w:hAnsiTheme="minorHAnsi"/>
                <w:b/>
                <w:sz w:val="22"/>
                <w:szCs w:val="22"/>
                <w:lang w:val="es-ES_tradnl"/>
              </w:rPr>
              <w:t>Meta</w:t>
            </w:r>
            <w:r w:rsidR="00C24694" w:rsidRPr="00B618D5">
              <w:rPr>
                <w:rFonts w:asciiTheme="minorHAnsi" w:hAnsiTheme="minorHAnsi"/>
                <w:b/>
                <w:sz w:val="22"/>
                <w:szCs w:val="22"/>
                <w:lang w:val="es-ES_tradnl"/>
              </w:rPr>
              <w:t xml:space="preserve"> 8</w:t>
            </w:r>
          </w:p>
          <w:p w14:paraId="0763215F" w14:textId="0C540150" w:rsidR="00C24694" w:rsidRPr="00B618D5" w:rsidRDefault="00E16BCF" w:rsidP="00C24694">
            <w:pPr>
              <w:rPr>
                <w:rFonts w:ascii="Calibri" w:hAnsi="Calibri"/>
                <w:sz w:val="22"/>
                <w:szCs w:val="22"/>
                <w:lang w:val="es-ES_tradnl"/>
              </w:rPr>
            </w:pPr>
            <w:r w:rsidRPr="00B618D5">
              <w:rPr>
                <w:rFonts w:ascii="Calibri" w:hAnsi="Calibri"/>
                <w:sz w:val="22"/>
                <w:szCs w:val="22"/>
                <w:lang w:val="es-ES_tradnl"/>
              </w:rPr>
              <w:t xml:space="preserve">Se han iniciado, completado o actualizado y divulgado y utilizado inventarios nacionales de humedales para promover la conservación y el </w:t>
            </w:r>
            <w:r w:rsidRPr="003F3DEF">
              <w:rPr>
                <w:rFonts w:ascii="Calibri" w:hAnsi="Calibri"/>
                <w:sz w:val="22"/>
                <w:szCs w:val="22"/>
                <w:lang w:val="es-ES_tradnl"/>
              </w:rPr>
              <w:t>manejo eficaz de</w:t>
            </w:r>
            <w:r w:rsidRPr="00B618D5">
              <w:rPr>
                <w:rFonts w:ascii="Calibri" w:hAnsi="Calibri"/>
                <w:sz w:val="22"/>
                <w:szCs w:val="22"/>
                <w:lang w:val="es-ES_tradnl"/>
              </w:rPr>
              <w:t xml:space="preserve"> todos los humedales</w:t>
            </w:r>
            <w:r w:rsidR="00C24694" w:rsidRPr="00B618D5">
              <w:rPr>
                <w:rFonts w:ascii="Calibri" w:hAnsi="Calibri"/>
                <w:sz w:val="22"/>
                <w:szCs w:val="22"/>
                <w:lang w:val="es-ES_tradnl"/>
              </w:rPr>
              <w:t>.</w:t>
            </w:r>
          </w:p>
          <w:p w14:paraId="0103F7B5" w14:textId="77777777" w:rsidR="00C24694" w:rsidRPr="00B618D5" w:rsidRDefault="00C24694" w:rsidP="00C24694">
            <w:pPr>
              <w:rPr>
                <w:rFonts w:ascii="Calibri" w:hAnsi="Calibri"/>
                <w:b/>
                <w:sz w:val="22"/>
                <w:szCs w:val="22"/>
                <w:lang w:val="es-ES_tradnl"/>
              </w:rPr>
            </w:pPr>
          </w:p>
          <w:p w14:paraId="10428517" w14:textId="21BAE1BA" w:rsidR="00C24694" w:rsidRPr="00B618D5" w:rsidRDefault="00242926" w:rsidP="00C24694">
            <w:pPr>
              <w:rPr>
                <w:rFonts w:ascii="Calibri" w:hAnsi="Calibri"/>
                <w:b/>
                <w:sz w:val="22"/>
                <w:szCs w:val="22"/>
                <w:lang w:val="es-ES_tradnl"/>
              </w:rPr>
            </w:pPr>
            <w:r w:rsidRPr="00B618D5">
              <w:rPr>
                <w:rFonts w:ascii="Calibri" w:hAnsi="Calibri"/>
                <w:b/>
                <w:sz w:val="22"/>
                <w:szCs w:val="22"/>
                <w:lang w:val="es-ES_tradnl"/>
              </w:rPr>
              <w:t>Meta</w:t>
            </w:r>
            <w:r w:rsidR="00C24694" w:rsidRPr="00B618D5">
              <w:rPr>
                <w:rFonts w:ascii="Calibri" w:hAnsi="Calibri"/>
                <w:b/>
                <w:sz w:val="22"/>
                <w:szCs w:val="22"/>
                <w:lang w:val="es-ES_tradnl"/>
              </w:rPr>
              <w:t xml:space="preserve"> 9</w:t>
            </w:r>
          </w:p>
          <w:p w14:paraId="62F88EE2" w14:textId="4FF23B00" w:rsidR="00C24694" w:rsidRPr="00B618D5" w:rsidRDefault="00E16BCF" w:rsidP="00C24694">
            <w:pPr>
              <w:rPr>
                <w:rFonts w:ascii="Calibri" w:hAnsi="Calibri"/>
                <w:sz w:val="22"/>
                <w:szCs w:val="22"/>
                <w:lang w:val="es-ES_tradnl"/>
              </w:rPr>
            </w:pPr>
            <w:r w:rsidRPr="00B618D5">
              <w:rPr>
                <w:rFonts w:ascii="Calibri" w:hAnsi="Calibri"/>
                <w:sz w:val="22"/>
                <w:szCs w:val="22"/>
                <w:lang w:val="es-ES_tradnl"/>
              </w:rPr>
              <w:t xml:space="preserve">El uso racional de los humedales se refuerza a través del manejo integrado de los recursos a la escala adecuada, por </w:t>
            </w:r>
            <w:r w:rsidRPr="00B618D5">
              <w:rPr>
                <w:rFonts w:ascii="Calibri" w:hAnsi="Calibri"/>
                <w:sz w:val="22"/>
                <w:szCs w:val="22"/>
                <w:lang w:val="es-ES_tradnl"/>
              </w:rPr>
              <w:lastRenderedPageBreak/>
              <w:t>ejemplo, a escala de la cuenca o en toda una zona costera</w:t>
            </w:r>
            <w:r w:rsidR="00C24694" w:rsidRPr="00B618D5">
              <w:rPr>
                <w:rFonts w:ascii="Calibri" w:hAnsi="Calibri"/>
                <w:sz w:val="22"/>
                <w:szCs w:val="22"/>
                <w:lang w:val="es-ES_tradnl"/>
              </w:rPr>
              <w:t>.</w:t>
            </w:r>
          </w:p>
          <w:p w14:paraId="748E5D09" w14:textId="77777777" w:rsidR="00C24694" w:rsidRPr="00B618D5" w:rsidRDefault="00C24694" w:rsidP="00C24694">
            <w:pPr>
              <w:rPr>
                <w:rFonts w:ascii="Calibri" w:hAnsi="Calibri"/>
                <w:sz w:val="22"/>
                <w:szCs w:val="22"/>
                <w:lang w:val="es-ES_tradnl"/>
              </w:rPr>
            </w:pPr>
          </w:p>
          <w:p w14:paraId="14941E34" w14:textId="5405108B" w:rsidR="00C24694" w:rsidRPr="00B618D5" w:rsidRDefault="00242926" w:rsidP="00C24694">
            <w:pPr>
              <w:rPr>
                <w:rFonts w:ascii="Calibri" w:hAnsi="Calibri"/>
                <w:b/>
                <w:sz w:val="22"/>
                <w:szCs w:val="22"/>
                <w:lang w:val="es-ES_tradnl"/>
              </w:rPr>
            </w:pPr>
            <w:r w:rsidRPr="00B618D5">
              <w:rPr>
                <w:rFonts w:ascii="Calibri" w:hAnsi="Calibri"/>
                <w:b/>
                <w:sz w:val="22"/>
                <w:szCs w:val="22"/>
                <w:lang w:val="es-ES_tradnl"/>
              </w:rPr>
              <w:t>Meta</w:t>
            </w:r>
            <w:r w:rsidR="00C24694" w:rsidRPr="00B618D5">
              <w:rPr>
                <w:rFonts w:ascii="Calibri" w:hAnsi="Calibri"/>
                <w:b/>
                <w:sz w:val="22"/>
                <w:szCs w:val="22"/>
                <w:lang w:val="es-ES_tradnl"/>
              </w:rPr>
              <w:t xml:space="preserve"> 11</w:t>
            </w:r>
          </w:p>
          <w:p w14:paraId="11577527" w14:textId="0F27F6A5" w:rsidR="00C24694" w:rsidRPr="00B618D5" w:rsidRDefault="00E16BCF" w:rsidP="00C24694">
            <w:pPr>
              <w:rPr>
                <w:rFonts w:ascii="Calibri" w:hAnsi="Calibri"/>
                <w:sz w:val="22"/>
                <w:szCs w:val="22"/>
                <w:lang w:val="es-ES_tradnl"/>
              </w:rPr>
            </w:pPr>
            <w:r w:rsidRPr="00B618D5">
              <w:rPr>
                <w:rFonts w:ascii="Calibri" w:hAnsi="Calibri"/>
                <w:sz w:val="22"/>
                <w:szCs w:val="22"/>
                <w:lang w:val="es-ES_tradnl"/>
              </w:rPr>
              <w:t>Se demuestran, documentan y divulgan ampliamente las funciones, los servicios y los beneficios de los humedales</w:t>
            </w:r>
            <w:r w:rsidR="00C24694" w:rsidRPr="00B618D5">
              <w:rPr>
                <w:rFonts w:ascii="Calibri" w:hAnsi="Calibri"/>
                <w:sz w:val="22"/>
                <w:szCs w:val="22"/>
                <w:lang w:val="es-ES_tradnl"/>
              </w:rPr>
              <w:t>.</w:t>
            </w:r>
            <w:r w:rsidR="00C24694" w:rsidRPr="00B618D5">
              <w:rPr>
                <w:rFonts w:ascii="Calibri" w:hAnsi="Calibri"/>
                <w:sz w:val="22"/>
                <w:szCs w:val="22"/>
                <w:lang w:val="es-ES_tradnl"/>
              </w:rPr>
              <w:tab/>
            </w:r>
          </w:p>
          <w:p w14:paraId="63361ED9" w14:textId="77777777" w:rsidR="00C24694" w:rsidRPr="00B618D5" w:rsidRDefault="00C24694" w:rsidP="00C24694">
            <w:pPr>
              <w:rPr>
                <w:rFonts w:ascii="Calibri" w:hAnsi="Calibri"/>
                <w:sz w:val="22"/>
                <w:szCs w:val="22"/>
                <w:lang w:val="es-ES_tradnl"/>
              </w:rPr>
            </w:pPr>
          </w:p>
          <w:p w14:paraId="2E4A6830" w14:textId="1DCD9A11" w:rsidR="00C24694" w:rsidRPr="00B618D5" w:rsidRDefault="00242926" w:rsidP="00C24694">
            <w:pPr>
              <w:rPr>
                <w:rFonts w:asciiTheme="minorHAnsi" w:hAnsiTheme="minorHAnsi"/>
                <w:b/>
                <w:sz w:val="22"/>
                <w:szCs w:val="22"/>
                <w:lang w:val="es-ES_tradnl"/>
              </w:rPr>
            </w:pPr>
            <w:r w:rsidRPr="00B618D5">
              <w:rPr>
                <w:rFonts w:asciiTheme="minorHAnsi" w:hAnsiTheme="minorHAnsi"/>
                <w:b/>
                <w:sz w:val="22"/>
                <w:szCs w:val="22"/>
                <w:lang w:val="es-ES_tradnl"/>
              </w:rPr>
              <w:t>Meta</w:t>
            </w:r>
            <w:r w:rsidR="00C24694" w:rsidRPr="00B618D5">
              <w:rPr>
                <w:rFonts w:asciiTheme="minorHAnsi" w:hAnsiTheme="minorHAnsi"/>
                <w:b/>
                <w:sz w:val="22"/>
                <w:szCs w:val="22"/>
                <w:lang w:val="es-ES_tradnl"/>
              </w:rPr>
              <w:t xml:space="preserve"> 12</w:t>
            </w:r>
          </w:p>
          <w:p w14:paraId="778BCEDA" w14:textId="4D69C985" w:rsidR="00C24694" w:rsidRPr="00B618D5" w:rsidRDefault="00E16BCF" w:rsidP="00C24694">
            <w:pPr>
              <w:rPr>
                <w:rFonts w:ascii="Calibri" w:hAnsi="Calibri"/>
                <w:sz w:val="22"/>
                <w:szCs w:val="22"/>
                <w:lang w:val="es-ES_tradnl"/>
              </w:rPr>
            </w:pPr>
            <w:r w:rsidRPr="00B618D5">
              <w:rPr>
                <w:rFonts w:ascii="Calibri" w:hAnsi="Calibri"/>
                <w:sz w:val="22"/>
                <w:szCs w:val="22"/>
                <w:lang w:val="es-ES_tradnl"/>
              </w:rPr>
              <w:t xml:space="preserve">Los humedales degradados están en proceso de restauración, </w:t>
            </w:r>
            <w:r w:rsidRPr="00B618D5">
              <w:rPr>
                <w:rFonts w:asciiTheme="minorHAnsi" w:hAnsiTheme="minorHAnsi"/>
                <w:sz w:val="22"/>
                <w:szCs w:val="22"/>
                <w:lang w:val="es-ES_tradnl"/>
              </w:rPr>
              <w:t>otorgando prioridad a los humedales importantes para la conservación de la biodiversidad, la reducción del riesgo de desastres, los medios de vida y/o la mitigación del cambio climático y la adaptación a este</w:t>
            </w:r>
            <w:r w:rsidR="00C24694" w:rsidRPr="00B618D5">
              <w:rPr>
                <w:rFonts w:ascii="Calibri" w:hAnsi="Calibri"/>
                <w:sz w:val="22"/>
                <w:szCs w:val="22"/>
                <w:lang w:val="es-ES_tradnl"/>
              </w:rPr>
              <w:t>.</w:t>
            </w:r>
          </w:p>
          <w:p w14:paraId="498B8418" w14:textId="77777777" w:rsidR="00C24694" w:rsidRPr="00B618D5" w:rsidRDefault="00C24694" w:rsidP="00C24694">
            <w:pPr>
              <w:rPr>
                <w:rFonts w:ascii="Calibri" w:hAnsi="Calibri"/>
                <w:sz w:val="22"/>
                <w:szCs w:val="22"/>
                <w:lang w:val="es-ES_tradnl"/>
              </w:rPr>
            </w:pPr>
          </w:p>
          <w:p w14:paraId="08577326" w14:textId="4E3476C8" w:rsidR="00C24694" w:rsidRPr="00B618D5" w:rsidRDefault="00242926" w:rsidP="00C24694">
            <w:pPr>
              <w:rPr>
                <w:rFonts w:ascii="Calibri" w:hAnsi="Calibri"/>
                <w:b/>
                <w:sz w:val="22"/>
                <w:szCs w:val="22"/>
                <w:lang w:val="es-ES_tradnl"/>
              </w:rPr>
            </w:pPr>
            <w:r w:rsidRPr="00B618D5">
              <w:rPr>
                <w:rFonts w:ascii="Calibri" w:hAnsi="Calibri"/>
                <w:b/>
                <w:sz w:val="22"/>
                <w:szCs w:val="22"/>
                <w:lang w:val="es-ES_tradnl"/>
              </w:rPr>
              <w:t>Meta</w:t>
            </w:r>
            <w:r w:rsidR="00C24694" w:rsidRPr="00B618D5">
              <w:rPr>
                <w:rFonts w:ascii="Calibri" w:hAnsi="Calibri"/>
                <w:b/>
                <w:sz w:val="22"/>
                <w:szCs w:val="22"/>
                <w:lang w:val="es-ES_tradnl"/>
              </w:rPr>
              <w:t xml:space="preserve"> 13</w:t>
            </w:r>
          </w:p>
          <w:p w14:paraId="1DE937E6" w14:textId="36CCC52E" w:rsidR="00C24694" w:rsidRPr="00B618D5" w:rsidRDefault="00E16BCF" w:rsidP="00C24694">
            <w:pPr>
              <w:rPr>
                <w:rFonts w:ascii="Calibri" w:hAnsi="Calibri"/>
                <w:sz w:val="22"/>
                <w:szCs w:val="22"/>
                <w:lang w:val="es-ES_tradnl"/>
              </w:rPr>
            </w:pPr>
            <w:r w:rsidRPr="00B618D5">
              <w:rPr>
                <w:rFonts w:ascii="Calibri" w:hAnsi="Calibri"/>
                <w:sz w:val="22"/>
                <w:szCs w:val="22"/>
                <w:lang w:val="es-ES_tradnl"/>
              </w:rPr>
              <w:t xml:space="preserve">Se mejora la sostenibilidad de sectores clave </w:t>
            </w:r>
            <w:r w:rsidRPr="00B618D5">
              <w:rPr>
                <w:rFonts w:asciiTheme="minorHAnsi" w:hAnsiTheme="minorHAnsi"/>
                <w:sz w:val="22"/>
                <w:szCs w:val="22"/>
                <w:lang w:val="es-ES_tradnl"/>
              </w:rPr>
              <w:t>como el agua, la energía, la minería, las industri</w:t>
            </w:r>
            <w:r w:rsidR="00242926" w:rsidRPr="00B618D5">
              <w:rPr>
                <w:rFonts w:asciiTheme="minorHAnsi" w:hAnsiTheme="minorHAnsi"/>
                <w:sz w:val="22"/>
                <w:szCs w:val="22"/>
                <w:lang w:val="es-ES_tradnl"/>
              </w:rPr>
              <w:t>as extractivas, la agricultura</w:t>
            </w:r>
            <w:r w:rsidRPr="00B618D5">
              <w:rPr>
                <w:rFonts w:asciiTheme="minorHAnsi" w:hAnsiTheme="minorHAnsi"/>
                <w:sz w:val="22"/>
                <w:szCs w:val="22"/>
                <w:lang w:val="es-ES_tradnl"/>
              </w:rPr>
              <w:t xml:space="preserve">, el turismo, el desarrollo urbano, las infraestructuras, la silvicultura, la acuicultura y la pesca </w:t>
            </w:r>
            <w:r w:rsidR="0023206C" w:rsidRPr="00B618D5">
              <w:rPr>
                <w:rFonts w:asciiTheme="minorHAnsi" w:hAnsiTheme="minorHAnsi"/>
                <w:sz w:val="22"/>
                <w:szCs w:val="22"/>
                <w:lang w:val="es-ES_tradnl"/>
              </w:rPr>
              <w:t xml:space="preserve">cuando estos afectan a los humedales, contribuyendo a la conservación de la biodiversidad </w:t>
            </w:r>
            <w:r w:rsidR="0023206C" w:rsidRPr="00B618D5">
              <w:rPr>
                <w:rFonts w:ascii="Calibri" w:hAnsi="Calibri"/>
                <w:sz w:val="22"/>
                <w:szCs w:val="22"/>
                <w:lang w:val="es-ES_tradnl"/>
              </w:rPr>
              <w:t>y a los medios de vida de las personas</w:t>
            </w:r>
            <w:r w:rsidR="00C24694" w:rsidRPr="00B618D5">
              <w:rPr>
                <w:rFonts w:ascii="Calibri" w:hAnsi="Calibri"/>
                <w:sz w:val="22"/>
                <w:szCs w:val="22"/>
                <w:lang w:val="es-ES_tradnl"/>
              </w:rPr>
              <w:t>.</w:t>
            </w:r>
          </w:p>
          <w:p w14:paraId="171223C9" w14:textId="77777777" w:rsidR="00C24694" w:rsidRPr="00B618D5" w:rsidRDefault="00C24694" w:rsidP="00C24694">
            <w:pPr>
              <w:rPr>
                <w:rFonts w:ascii="Calibri" w:hAnsi="Calibri"/>
                <w:sz w:val="22"/>
                <w:szCs w:val="22"/>
                <w:lang w:val="es-ES_tradnl"/>
              </w:rPr>
            </w:pPr>
          </w:p>
          <w:p w14:paraId="2DF39676" w14:textId="7BB720A1" w:rsidR="00C24694" w:rsidRPr="00B618D5" w:rsidRDefault="003F3DEF" w:rsidP="00C24694">
            <w:pPr>
              <w:rPr>
                <w:rFonts w:asciiTheme="minorHAnsi" w:hAnsiTheme="minorHAnsi" w:cs="Helvetica"/>
                <w:b/>
                <w:color w:val="262626"/>
                <w:sz w:val="22"/>
                <w:szCs w:val="22"/>
                <w:lang w:val="es-ES_tradnl"/>
              </w:rPr>
            </w:pPr>
            <w:r>
              <w:rPr>
                <w:rFonts w:asciiTheme="minorHAnsi" w:hAnsiTheme="minorHAnsi"/>
                <w:b/>
                <w:sz w:val="22"/>
                <w:szCs w:val="22"/>
                <w:lang w:val="es-ES_tradnl"/>
              </w:rPr>
              <w:t>Objetivo</w:t>
            </w:r>
            <w:r w:rsidR="00C24694" w:rsidRPr="00B618D5">
              <w:rPr>
                <w:rFonts w:asciiTheme="minorHAnsi" w:hAnsiTheme="minorHAnsi"/>
                <w:b/>
                <w:sz w:val="22"/>
                <w:szCs w:val="22"/>
                <w:lang w:val="es-ES_tradnl"/>
              </w:rPr>
              <w:t xml:space="preserve"> 4: </w:t>
            </w:r>
            <w:r w:rsidR="00556010" w:rsidRPr="00B618D5">
              <w:rPr>
                <w:rFonts w:asciiTheme="minorHAnsi" w:hAnsiTheme="minorHAnsi" w:cs="Helvetica"/>
                <w:b/>
                <w:color w:val="262626"/>
                <w:sz w:val="22"/>
                <w:szCs w:val="22"/>
                <w:lang w:val="es-ES_tradnl"/>
              </w:rPr>
              <w:t>Mejorar la aplicación</w:t>
            </w:r>
          </w:p>
          <w:p w14:paraId="74DFE86F" w14:textId="77777777" w:rsidR="00C24694" w:rsidRPr="00B618D5" w:rsidRDefault="00C24694" w:rsidP="00C24694">
            <w:pPr>
              <w:rPr>
                <w:rFonts w:asciiTheme="minorHAnsi" w:hAnsiTheme="minorHAnsi" w:cs="Helvetica"/>
                <w:b/>
                <w:color w:val="262626"/>
                <w:sz w:val="22"/>
                <w:szCs w:val="22"/>
                <w:lang w:val="es-ES_tradnl"/>
              </w:rPr>
            </w:pPr>
          </w:p>
          <w:p w14:paraId="4CE4D3AC" w14:textId="0300349A" w:rsidR="00C24694" w:rsidRPr="00B618D5" w:rsidRDefault="00242926" w:rsidP="00C24694">
            <w:pPr>
              <w:rPr>
                <w:rFonts w:asciiTheme="minorHAnsi" w:hAnsiTheme="minorHAnsi"/>
                <w:b/>
                <w:sz w:val="22"/>
                <w:szCs w:val="22"/>
                <w:lang w:val="es-ES_tradnl"/>
              </w:rPr>
            </w:pPr>
            <w:r w:rsidRPr="00B618D5">
              <w:rPr>
                <w:rFonts w:asciiTheme="minorHAnsi" w:hAnsiTheme="minorHAnsi"/>
                <w:b/>
                <w:sz w:val="22"/>
                <w:szCs w:val="22"/>
                <w:lang w:val="es-ES_tradnl"/>
              </w:rPr>
              <w:t>Meta</w:t>
            </w:r>
            <w:r w:rsidR="00C24694" w:rsidRPr="00B618D5">
              <w:rPr>
                <w:rFonts w:asciiTheme="minorHAnsi" w:hAnsiTheme="minorHAnsi"/>
                <w:b/>
                <w:sz w:val="22"/>
                <w:szCs w:val="22"/>
                <w:lang w:val="es-ES_tradnl"/>
              </w:rPr>
              <w:t xml:space="preserve"> 14</w:t>
            </w:r>
          </w:p>
          <w:p w14:paraId="01995650" w14:textId="5952F672" w:rsidR="00C24694" w:rsidRPr="00B618D5" w:rsidRDefault="00556010" w:rsidP="00C24694">
            <w:pPr>
              <w:rPr>
                <w:rFonts w:ascii="Calibri" w:hAnsi="Calibri"/>
                <w:sz w:val="22"/>
                <w:szCs w:val="22"/>
                <w:lang w:val="es-ES_tradnl"/>
              </w:rPr>
            </w:pPr>
            <w:r w:rsidRPr="00B618D5">
              <w:rPr>
                <w:rFonts w:asciiTheme="minorHAnsi" w:hAnsiTheme="minorHAnsi"/>
                <w:sz w:val="22"/>
                <w:szCs w:val="22"/>
                <w:lang w:val="es-ES_tradnl"/>
              </w:rPr>
              <w:t>Se desarrollan orientaciones científicas y metodologías técnicas a escala mundial y regional sobre temas relevantes que están disponibles para los responsables de políticas y los profesionales en un formato y un lenguaje apropiados</w:t>
            </w:r>
            <w:r w:rsidR="00C24694" w:rsidRPr="00B618D5">
              <w:rPr>
                <w:rFonts w:ascii="Calibri" w:hAnsi="Calibri"/>
                <w:sz w:val="22"/>
                <w:szCs w:val="22"/>
                <w:lang w:val="es-ES_tradnl"/>
              </w:rPr>
              <w:t>.</w:t>
            </w:r>
          </w:p>
          <w:p w14:paraId="1879556C" w14:textId="77777777" w:rsidR="00C24694" w:rsidRPr="00B618D5" w:rsidRDefault="00C24694" w:rsidP="004E5D19">
            <w:pPr>
              <w:rPr>
                <w:rFonts w:asciiTheme="minorHAnsi" w:hAnsiTheme="minorHAnsi"/>
                <w:sz w:val="22"/>
                <w:szCs w:val="22"/>
                <w:lang w:val="es-ES_tradnl"/>
              </w:rPr>
            </w:pPr>
          </w:p>
        </w:tc>
      </w:tr>
      <w:tr w:rsidR="00556010" w:rsidRPr="008146FA" w14:paraId="7750D54B" w14:textId="77777777" w:rsidTr="009C04A9">
        <w:trPr>
          <w:trHeight w:val="7520"/>
        </w:trPr>
        <w:tc>
          <w:tcPr>
            <w:tcW w:w="1835" w:type="pct"/>
          </w:tcPr>
          <w:p w14:paraId="68DD8B25" w14:textId="1599F083" w:rsidR="00556010" w:rsidRPr="00B618D5" w:rsidRDefault="00556010" w:rsidP="00C7312E">
            <w:pPr>
              <w:rPr>
                <w:rFonts w:asciiTheme="minorHAnsi" w:hAnsiTheme="minorHAnsi"/>
                <w:sz w:val="22"/>
                <w:szCs w:val="22"/>
                <w:lang w:val="es-ES_tradnl"/>
              </w:rPr>
            </w:pPr>
            <w:r w:rsidRPr="00B618D5">
              <w:rPr>
                <w:rFonts w:asciiTheme="minorHAnsi" w:hAnsiTheme="minorHAnsi"/>
                <w:sz w:val="22"/>
                <w:szCs w:val="22"/>
                <w:lang w:val="es-ES_tradnl"/>
              </w:rPr>
              <w:lastRenderedPageBreak/>
              <w:t>Cambio climático y humedales: metodologías innovadoras para la restauración de los humedales.</w:t>
            </w:r>
          </w:p>
          <w:p w14:paraId="162FFDFC" w14:textId="77777777" w:rsidR="00556010" w:rsidRPr="00B618D5" w:rsidRDefault="00556010" w:rsidP="00C7312E">
            <w:pPr>
              <w:rPr>
                <w:rFonts w:asciiTheme="minorHAnsi" w:hAnsiTheme="minorHAnsi"/>
                <w:sz w:val="22"/>
                <w:szCs w:val="22"/>
                <w:lang w:val="es-ES_tradnl"/>
              </w:rPr>
            </w:pPr>
          </w:p>
          <w:p w14:paraId="05ECF05D" w14:textId="77777777" w:rsidR="00556010" w:rsidRPr="00B618D5" w:rsidRDefault="00556010" w:rsidP="00C7312E">
            <w:pPr>
              <w:rPr>
                <w:rFonts w:asciiTheme="minorHAnsi" w:hAnsiTheme="minorHAnsi"/>
                <w:sz w:val="22"/>
                <w:szCs w:val="22"/>
                <w:lang w:val="es-ES_tradnl"/>
              </w:rPr>
            </w:pPr>
          </w:p>
          <w:p w14:paraId="138A80EE" w14:textId="4DAC9D91" w:rsidR="00556010" w:rsidRPr="00B618D5" w:rsidRDefault="00556010" w:rsidP="00C7312E">
            <w:pPr>
              <w:rPr>
                <w:rFonts w:asciiTheme="minorHAnsi" w:hAnsiTheme="minorHAnsi"/>
                <w:sz w:val="22"/>
                <w:szCs w:val="22"/>
                <w:lang w:val="es-ES_tradnl"/>
              </w:rPr>
            </w:pPr>
          </w:p>
        </w:tc>
        <w:tc>
          <w:tcPr>
            <w:tcW w:w="3165" w:type="pct"/>
          </w:tcPr>
          <w:p w14:paraId="07473A67" w14:textId="2C3FC0EB" w:rsidR="00556010" w:rsidRPr="00B618D5" w:rsidRDefault="003F3DEF" w:rsidP="00556010">
            <w:pPr>
              <w:rPr>
                <w:rFonts w:ascii="Calibri" w:hAnsi="Calibri"/>
                <w:b/>
                <w:sz w:val="22"/>
                <w:szCs w:val="22"/>
                <w:lang w:val="es-ES_tradnl"/>
              </w:rPr>
            </w:pPr>
            <w:r>
              <w:rPr>
                <w:rFonts w:ascii="Calibri" w:hAnsi="Calibri"/>
                <w:b/>
                <w:sz w:val="22"/>
                <w:szCs w:val="22"/>
                <w:lang w:val="es-ES_tradnl"/>
              </w:rPr>
              <w:t>Objetivo</w:t>
            </w:r>
            <w:r w:rsidR="00556010" w:rsidRPr="00B618D5">
              <w:rPr>
                <w:rFonts w:ascii="Calibri" w:hAnsi="Calibri"/>
                <w:b/>
                <w:sz w:val="22"/>
                <w:szCs w:val="22"/>
                <w:lang w:val="es-ES_tradnl"/>
              </w:rPr>
              <w:t xml:space="preserve"> 3: </w:t>
            </w:r>
            <w:r w:rsidR="00556010" w:rsidRPr="00B618D5">
              <w:rPr>
                <w:rFonts w:asciiTheme="minorHAnsi" w:hAnsiTheme="minorHAnsi"/>
                <w:b/>
                <w:sz w:val="22"/>
                <w:szCs w:val="22"/>
                <w:lang w:val="es-ES_tradnl"/>
              </w:rPr>
              <w:t>Realizar un uso racional de todos los humedales</w:t>
            </w:r>
          </w:p>
          <w:p w14:paraId="52983F9C" w14:textId="77777777" w:rsidR="00556010" w:rsidRPr="00B618D5" w:rsidRDefault="00556010" w:rsidP="00556010">
            <w:pPr>
              <w:rPr>
                <w:rFonts w:asciiTheme="minorHAnsi" w:hAnsiTheme="minorHAnsi"/>
                <w:color w:val="262626"/>
                <w:sz w:val="22"/>
                <w:szCs w:val="22"/>
                <w:lang w:val="es-ES_tradnl"/>
              </w:rPr>
            </w:pPr>
          </w:p>
          <w:p w14:paraId="35CD145F" w14:textId="16554757" w:rsidR="00556010" w:rsidRPr="00B618D5" w:rsidRDefault="00242926" w:rsidP="00556010">
            <w:pPr>
              <w:rPr>
                <w:rFonts w:asciiTheme="minorHAnsi" w:hAnsiTheme="minorHAnsi"/>
                <w:b/>
                <w:sz w:val="22"/>
                <w:szCs w:val="22"/>
                <w:lang w:val="es-ES_tradnl"/>
              </w:rPr>
            </w:pPr>
            <w:r w:rsidRPr="00B618D5">
              <w:rPr>
                <w:rFonts w:asciiTheme="minorHAnsi" w:hAnsiTheme="minorHAnsi"/>
                <w:b/>
                <w:sz w:val="22"/>
                <w:szCs w:val="22"/>
                <w:lang w:val="es-ES_tradnl"/>
              </w:rPr>
              <w:t>Meta</w:t>
            </w:r>
            <w:r w:rsidR="00556010" w:rsidRPr="00B618D5">
              <w:rPr>
                <w:rFonts w:asciiTheme="minorHAnsi" w:hAnsiTheme="minorHAnsi"/>
                <w:b/>
                <w:sz w:val="22"/>
                <w:szCs w:val="22"/>
                <w:lang w:val="es-ES_tradnl"/>
              </w:rPr>
              <w:t xml:space="preserve"> 8</w:t>
            </w:r>
          </w:p>
          <w:p w14:paraId="17934C0B" w14:textId="110CE107" w:rsidR="00556010" w:rsidRPr="00B618D5" w:rsidRDefault="00556010" w:rsidP="00556010">
            <w:pPr>
              <w:rPr>
                <w:rFonts w:ascii="Calibri" w:hAnsi="Calibri"/>
                <w:sz w:val="22"/>
                <w:szCs w:val="22"/>
                <w:lang w:val="es-ES_tradnl"/>
              </w:rPr>
            </w:pPr>
            <w:r w:rsidRPr="00B618D5">
              <w:rPr>
                <w:rFonts w:ascii="Calibri" w:hAnsi="Calibri"/>
                <w:sz w:val="22"/>
                <w:szCs w:val="22"/>
                <w:lang w:val="es-ES_tradnl"/>
              </w:rPr>
              <w:t xml:space="preserve">Se han iniciado, completado o actualizado y divulgado y utilizado inventarios nacionales de humedales para promover la conservación y el manejo </w:t>
            </w:r>
            <w:r w:rsidRPr="003F3DEF">
              <w:rPr>
                <w:rFonts w:ascii="Calibri" w:hAnsi="Calibri"/>
                <w:sz w:val="22"/>
                <w:szCs w:val="22"/>
                <w:lang w:val="es-ES_tradnl"/>
              </w:rPr>
              <w:t>eficaz</w:t>
            </w:r>
            <w:r w:rsidRPr="00B618D5">
              <w:rPr>
                <w:rFonts w:ascii="Calibri" w:hAnsi="Calibri"/>
                <w:sz w:val="22"/>
                <w:szCs w:val="22"/>
                <w:lang w:val="es-ES_tradnl"/>
              </w:rPr>
              <w:t xml:space="preserve"> de todos los humedales.</w:t>
            </w:r>
          </w:p>
          <w:p w14:paraId="08D8F912" w14:textId="77777777" w:rsidR="00556010" w:rsidRPr="00B618D5" w:rsidRDefault="00556010" w:rsidP="00556010">
            <w:pPr>
              <w:rPr>
                <w:rFonts w:ascii="Calibri" w:hAnsi="Calibri"/>
                <w:b/>
                <w:sz w:val="22"/>
                <w:szCs w:val="22"/>
                <w:lang w:val="es-ES_tradnl"/>
              </w:rPr>
            </w:pPr>
          </w:p>
          <w:p w14:paraId="06D7EE6D" w14:textId="3DDCF388" w:rsidR="00556010" w:rsidRPr="00B618D5" w:rsidRDefault="00242926" w:rsidP="00556010">
            <w:pPr>
              <w:rPr>
                <w:rFonts w:ascii="Calibri" w:hAnsi="Calibri"/>
                <w:b/>
                <w:sz w:val="22"/>
                <w:szCs w:val="22"/>
                <w:lang w:val="es-ES_tradnl"/>
              </w:rPr>
            </w:pPr>
            <w:r w:rsidRPr="00B618D5">
              <w:rPr>
                <w:rFonts w:ascii="Calibri" w:hAnsi="Calibri"/>
                <w:b/>
                <w:sz w:val="22"/>
                <w:szCs w:val="22"/>
                <w:lang w:val="es-ES_tradnl"/>
              </w:rPr>
              <w:t>Meta</w:t>
            </w:r>
            <w:r w:rsidR="00556010" w:rsidRPr="00B618D5">
              <w:rPr>
                <w:rFonts w:ascii="Calibri" w:hAnsi="Calibri"/>
                <w:b/>
                <w:sz w:val="22"/>
                <w:szCs w:val="22"/>
                <w:lang w:val="es-ES_tradnl"/>
              </w:rPr>
              <w:t xml:space="preserve"> 9</w:t>
            </w:r>
          </w:p>
          <w:p w14:paraId="24E278A2" w14:textId="2E80D183" w:rsidR="00556010" w:rsidRPr="00B618D5" w:rsidRDefault="00556010" w:rsidP="00556010">
            <w:pPr>
              <w:rPr>
                <w:rFonts w:ascii="Calibri" w:hAnsi="Calibri"/>
                <w:sz w:val="22"/>
                <w:szCs w:val="22"/>
                <w:lang w:val="es-ES_tradnl"/>
              </w:rPr>
            </w:pPr>
            <w:r w:rsidRPr="00B618D5">
              <w:rPr>
                <w:rFonts w:ascii="Calibri" w:hAnsi="Calibri"/>
                <w:sz w:val="22"/>
                <w:szCs w:val="22"/>
                <w:lang w:val="es-ES_tradnl"/>
              </w:rPr>
              <w:t xml:space="preserve">El uso racional de los humedales se refuerza a través del manejo integrado de los recursos a la escala adecuada, </w:t>
            </w:r>
            <w:r w:rsidRPr="003F3DEF">
              <w:rPr>
                <w:rFonts w:ascii="Calibri" w:hAnsi="Calibri"/>
                <w:sz w:val="22"/>
                <w:szCs w:val="22"/>
                <w:lang w:val="es-ES_tradnl"/>
              </w:rPr>
              <w:t>por</w:t>
            </w:r>
            <w:r w:rsidRPr="00B618D5">
              <w:rPr>
                <w:rFonts w:ascii="Calibri" w:hAnsi="Calibri"/>
                <w:sz w:val="22"/>
                <w:szCs w:val="22"/>
                <w:lang w:val="es-ES_tradnl"/>
              </w:rPr>
              <w:t xml:space="preserve"> ejemplo, a escala de la cuenca o en toda una zona costera.</w:t>
            </w:r>
          </w:p>
          <w:p w14:paraId="1F3A98B3" w14:textId="77777777" w:rsidR="00556010" w:rsidRPr="00B618D5" w:rsidRDefault="00556010" w:rsidP="00556010">
            <w:pPr>
              <w:rPr>
                <w:rFonts w:ascii="Calibri" w:hAnsi="Calibri"/>
                <w:sz w:val="22"/>
                <w:szCs w:val="22"/>
                <w:lang w:val="es-ES_tradnl"/>
              </w:rPr>
            </w:pPr>
          </w:p>
          <w:p w14:paraId="2600C732" w14:textId="6505CE76" w:rsidR="00556010" w:rsidRPr="00B618D5" w:rsidRDefault="00242926" w:rsidP="00556010">
            <w:pPr>
              <w:rPr>
                <w:rFonts w:ascii="Calibri" w:hAnsi="Calibri"/>
                <w:b/>
                <w:sz w:val="22"/>
                <w:szCs w:val="22"/>
                <w:lang w:val="es-ES_tradnl"/>
              </w:rPr>
            </w:pPr>
            <w:r w:rsidRPr="00B618D5">
              <w:rPr>
                <w:rFonts w:ascii="Calibri" w:hAnsi="Calibri"/>
                <w:b/>
                <w:sz w:val="22"/>
                <w:szCs w:val="22"/>
                <w:lang w:val="es-ES_tradnl"/>
              </w:rPr>
              <w:t>Meta</w:t>
            </w:r>
            <w:r w:rsidR="00556010" w:rsidRPr="00B618D5">
              <w:rPr>
                <w:rFonts w:ascii="Calibri" w:hAnsi="Calibri"/>
                <w:b/>
                <w:sz w:val="22"/>
                <w:szCs w:val="22"/>
                <w:lang w:val="es-ES_tradnl"/>
              </w:rPr>
              <w:t xml:space="preserve"> 11</w:t>
            </w:r>
          </w:p>
          <w:p w14:paraId="06E69D8A" w14:textId="3C4C41D3" w:rsidR="00556010" w:rsidRPr="00B618D5" w:rsidRDefault="00556010" w:rsidP="00556010">
            <w:pPr>
              <w:rPr>
                <w:rFonts w:ascii="Calibri" w:hAnsi="Calibri"/>
                <w:sz w:val="22"/>
                <w:szCs w:val="22"/>
                <w:highlight w:val="yellow"/>
                <w:lang w:val="es-ES_tradnl"/>
              </w:rPr>
            </w:pPr>
            <w:r w:rsidRPr="00B618D5">
              <w:rPr>
                <w:rFonts w:ascii="Calibri" w:hAnsi="Calibri"/>
                <w:sz w:val="22"/>
                <w:szCs w:val="22"/>
                <w:lang w:val="es-ES_tradnl"/>
              </w:rPr>
              <w:t>Se demuestran, documentan y divulgan ampliamente las funciones, los servicios y los beneficios de los humedales.</w:t>
            </w:r>
            <w:r w:rsidRPr="00B618D5">
              <w:rPr>
                <w:rFonts w:ascii="Calibri" w:hAnsi="Calibri"/>
                <w:sz w:val="22"/>
                <w:szCs w:val="22"/>
                <w:lang w:val="es-ES_tradnl"/>
              </w:rPr>
              <w:tab/>
            </w:r>
          </w:p>
          <w:p w14:paraId="5836587A" w14:textId="77777777" w:rsidR="00556010" w:rsidRPr="00B618D5" w:rsidRDefault="00556010" w:rsidP="00556010">
            <w:pPr>
              <w:rPr>
                <w:rFonts w:ascii="Calibri" w:hAnsi="Calibri"/>
                <w:sz w:val="22"/>
                <w:szCs w:val="22"/>
                <w:lang w:val="es-ES_tradnl"/>
              </w:rPr>
            </w:pPr>
          </w:p>
          <w:p w14:paraId="37ED13A4" w14:textId="4BAF24EF" w:rsidR="00556010" w:rsidRPr="00B618D5" w:rsidRDefault="00242926" w:rsidP="00556010">
            <w:pPr>
              <w:rPr>
                <w:rFonts w:asciiTheme="minorHAnsi" w:hAnsiTheme="minorHAnsi"/>
                <w:b/>
                <w:sz w:val="22"/>
                <w:szCs w:val="22"/>
                <w:lang w:val="es-ES_tradnl"/>
              </w:rPr>
            </w:pPr>
            <w:r w:rsidRPr="00B618D5">
              <w:rPr>
                <w:rFonts w:asciiTheme="minorHAnsi" w:hAnsiTheme="minorHAnsi"/>
                <w:b/>
                <w:sz w:val="22"/>
                <w:szCs w:val="22"/>
                <w:lang w:val="es-ES_tradnl"/>
              </w:rPr>
              <w:t>Meta</w:t>
            </w:r>
            <w:r w:rsidR="00556010" w:rsidRPr="00B618D5">
              <w:rPr>
                <w:rFonts w:asciiTheme="minorHAnsi" w:hAnsiTheme="minorHAnsi"/>
                <w:b/>
                <w:sz w:val="22"/>
                <w:szCs w:val="22"/>
                <w:lang w:val="es-ES_tradnl"/>
              </w:rPr>
              <w:t xml:space="preserve"> 12</w:t>
            </w:r>
          </w:p>
          <w:p w14:paraId="1D1753D2" w14:textId="4D896730" w:rsidR="00556010" w:rsidRPr="00B618D5" w:rsidRDefault="00556010" w:rsidP="00556010">
            <w:pPr>
              <w:rPr>
                <w:rFonts w:ascii="Calibri" w:hAnsi="Calibri"/>
                <w:sz w:val="22"/>
                <w:szCs w:val="22"/>
                <w:lang w:val="es-ES_tradnl"/>
              </w:rPr>
            </w:pPr>
            <w:r w:rsidRPr="00B618D5">
              <w:rPr>
                <w:rFonts w:ascii="Calibri" w:hAnsi="Calibri"/>
                <w:sz w:val="22"/>
                <w:szCs w:val="22"/>
                <w:lang w:val="es-ES_tradnl"/>
              </w:rPr>
              <w:t xml:space="preserve">Los humedales degradados están en proceso de restauración, </w:t>
            </w:r>
            <w:r w:rsidRPr="00B618D5">
              <w:rPr>
                <w:rFonts w:asciiTheme="minorHAnsi" w:hAnsiTheme="minorHAnsi"/>
                <w:sz w:val="22"/>
                <w:szCs w:val="22"/>
                <w:lang w:val="es-ES_tradnl"/>
              </w:rPr>
              <w:t>otorgando prioridad a los humedales importantes para la conservación de la biodiversidad, la reducción del riesgo de desastres, los medios de vida y/o la mitigación del cambio climático y la adaptación a este</w:t>
            </w:r>
            <w:r w:rsidRPr="00B618D5">
              <w:rPr>
                <w:rFonts w:ascii="Calibri" w:hAnsi="Calibri"/>
                <w:sz w:val="22"/>
                <w:szCs w:val="22"/>
                <w:lang w:val="es-ES_tradnl"/>
              </w:rPr>
              <w:t>.</w:t>
            </w:r>
          </w:p>
          <w:p w14:paraId="22F75F94" w14:textId="77777777" w:rsidR="00556010" w:rsidRPr="00B618D5" w:rsidRDefault="00556010" w:rsidP="00556010">
            <w:pPr>
              <w:rPr>
                <w:rFonts w:ascii="Calibri" w:hAnsi="Calibri"/>
                <w:sz w:val="22"/>
                <w:szCs w:val="22"/>
                <w:lang w:val="es-ES_tradnl"/>
              </w:rPr>
            </w:pPr>
          </w:p>
          <w:p w14:paraId="071A84C4" w14:textId="27C8B0E0" w:rsidR="00556010" w:rsidRPr="00B618D5" w:rsidRDefault="003F3DEF" w:rsidP="00556010">
            <w:pPr>
              <w:rPr>
                <w:rFonts w:asciiTheme="minorHAnsi" w:hAnsiTheme="minorHAnsi" w:cs="Helvetica"/>
                <w:b/>
                <w:color w:val="262626"/>
                <w:sz w:val="22"/>
                <w:szCs w:val="22"/>
                <w:lang w:val="es-ES_tradnl"/>
              </w:rPr>
            </w:pPr>
            <w:r>
              <w:rPr>
                <w:rFonts w:asciiTheme="minorHAnsi" w:hAnsiTheme="minorHAnsi"/>
                <w:b/>
                <w:sz w:val="22"/>
                <w:szCs w:val="22"/>
                <w:lang w:val="es-ES_tradnl"/>
              </w:rPr>
              <w:t>Objetivo</w:t>
            </w:r>
            <w:r w:rsidR="00556010" w:rsidRPr="00B618D5">
              <w:rPr>
                <w:rFonts w:asciiTheme="minorHAnsi" w:hAnsiTheme="minorHAnsi"/>
                <w:b/>
                <w:sz w:val="22"/>
                <w:szCs w:val="22"/>
                <w:lang w:val="es-ES_tradnl"/>
              </w:rPr>
              <w:t xml:space="preserve"> 4: </w:t>
            </w:r>
            <w:r w:rsidR="00556010" w:rsidRPr="00B618D5">
              <w:rPr>
                <w:rFonts w:asciiTheme="minorHAnsi" w:hAnsiTheme="minorHAnsi" w:cs="Helvetica"/>
                <w:b/>
                <w:color w:val="262626"/>
                <w:sz w:val="22"/>
                <w:szCs w:val="22"/>
                <w:lang w:val="es-ES_tradnl"/>
              </w:rPr>
              <w:t>Mejorar la aplicación</w:t>
            </w:r>
          </w:p>
          <w:p w14:paraId="1F63F812" w14:textId="77777777" w:rsidR="00556010" w:rsidRPr="00B618D5" w:rsidRDefault="00556010" w:rsidP="00556010">
            <w:pPr>
              <w:rPr>
                <w:rFonts w:asciiTheme="minorHAnsi" w:hAnsiTheme="minorHAnsi" w:cs="Helvetica"/>
                <w:b/>
                <w:color w:val="262626"/>
                <w:sz w:val="22"/>
                <w:szCs w:val="22"/>
                <w:lang w:val="es-ES_tradnl"/>
              </w:rPr>
            </w:pPr>
          </w:p>
          <w:p w14:paraId="59308C1A" w14:textId="49024A21" w:rsidR="00556010" w:rsidRPr="00B618D5" w:rsidRDefault="00242926" w:rsidP="00556010">
            <w:pPr>
              <w:rPr>
                <w:rFonts w:asciiTheme="minorHAnsi" w:hAnsiTheme="minorHAnsi"/>
                <w:b/>
                <w:sz w:val="22"/>
                <w:szCs w:val="22"/>
                <w:lang w:val="es-ES_tradnl"/>
              </w:rPr>
            </w:pPr>
            <w:r w:rsidRPr="00B618D5">
              <w:rPr>
                <w:rFonts w:asciiTheme="minorHAnsi" w:hAnsiTheme="minorHAnsi"/>
                <w:b/>
                <w:sz w:val="22"/>
                <w:szCs w:val="22"/>
                <w:lang w:val="es-ES_tradnl"/>
              </w:rPr>
              <w:t>Meta</w:t>
            </w:r>
            <w:r w:rsidR="00556010" w:rsidRPr="00B618D5">
              <w:rPr>
                <w:rFonts w:asciiTheme="minorHAnsi" w:hAnsiTheme="minorHAnsi"/>
                <w:b/>
                <w:sz w:val="22"/>
                <w:szCs w:val="22"/>
                <w:lang w:val="es-ES_tradnl"/>
              </w:rPr>
              <w:t xml:space="preserve"> 14</w:t>
            </w:r>
          </w:p>
          <w:p w14:paraId="367B98D0" w14:textId="0FBB8530" w:rsidR="00556010" w:rsidRPr="00B618D5" w:rsidRDefault="00556010" w:rsidP="00556010">
            <w:pPr>
              <w:rPr>
                <w:rFonts w:ascii="Calibri" w:hAnsi="Calibri"/>
                <w:sz w:val="22"/>
                <w:szCs w:val="22"/>
                <w:lang w:val="es-ES_tradnl"/>
              </w:rPr>
            </w:pPr>
            <w:r w:rsidRPr="00B618D5">
              <w:rPr>
                <w:rFonts w:asciiTheme="minorHAnsi" w:hAnsiTheme="minorHAnsi"/>
                <w:sz w:val="22"/>
                <w:szCs w:val="22"/>
                <w:lang w:val="es-ES_tradnl"/>
              </w:rPr>
              <w:t>Se desarrollan orientaciones científicas y metodologías técnicas a escala mundial y regional sobre temas relevantes que están disponibles para los responsables de políticas y los profesionales en un formato y un lenguaje apropiados</w:t>
            </w:r>
            <w:r w:rsidRPr="00B618D5">
              <w:rPr>
                <w:rFonts w:ascii="Calibri" w:hAnsi="Calibri"/>
                <w:sz w:val="22"/>
                <w:szCs w:val="22"/>
                <w:lang w:val="es-ES_tradnl"/>
              </w:rPr>
              <w:t>.</w:t>
            </w:r>
          </w:p>
          <w:p w14:paraId="56618C51" w14:textId="77777777" w:rsidR="00556010" w:rsidRPr="00B618D5" w:rsidRDefault="00556010" w:rsidP="004E5D19">
            <w:pPr>
              <w:rPr>
                <w:rFonts w:asciiTheme="minorHAnsi" w:hAnsiTheme="minorHAnsi" w:cs="Helvetica"/>
                <w:color w:val="262626"/>
                <w:sz w:val="22"/>
                <w:szCs w:val="22"/>
                <w:lang w:val="es-ES_tradnl"/>
              </w:rPr>
            </w:pPr>
          </w:p>
        </w:tc>
      </w:tr>
    </w:tbl>
    <w:p w14:paraId="7313953B" w14:textId="77777777" w:rsidR="00B906A8" w:rsidRPr="00B618D5" w:rsidRDefault="00B906A8" w:rsidP="00B906A8">
      <w:pPr>
        <w:rPr>
          <w:rFonts w:asciiTheme="minorHAnsi" w:hAnsiTheme="minorHAnsi"/>
          <w:sz w:val="22"/>
          <w:szCs w:val="22"/>
          <w:lang w:val="es-ES_tradnl"/>
        </w:rPr>
      </w:pPr>
    </w:p>
    <w:p w14:paraId="5150E35B" w14:textId="77777777" w:rsidR="00215047" w:rsidRPr="00B618D5" w:rsidRDefault="00215047" w:rsidP="001C78EE">
      <w:pPr>
        <w:rPr>
          <w:rFonts w:asciiTheme="minorHAnsi" w:hAnsiTheme="minorHAnsi" w:cstheme="minorHAnsi"/>
          <w:sz w:val="22"/>
          <w:szCs w:val="22"/>
          <w:lang w:val="es-ES_tradnl"/>
        </w:rPr>
      </w:pPr>
    </w:p>
    <w:sectPr w:rsidR="00215047" w:rsidRPr="00B618D5" w:rsidSect="00E46AD5">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7E86C" w14:textId="77777777" w:rsidR="00777AE4" w:rsidRDefault="00777AE4" w:rsidP="00AE722D">
      <w:r>
        <w:separator/>
      </w:r>
    </w:p>
  </w:endnote>
  <w:endnote w:type="continuationSeparator" w:id="0">
    <w:p w14:paraId="52BC0C31" w14:textId="77777777" w:rsidR="00777AE4" w:rsidRDefault="00777AE4" w:rsidP="00AE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314019822"/>
      <w:docPartObj>
        <w:docPartGallery w:val="Page Numbers (Bottom of Page)"/>
        <w:docPartUnique/>
      </w:docPartObj>
    </w:sdtPr>
    <w:sdtEndPr>
      <w:rPr>
        <w:noProof/>
      </w:rPr>
    </w:sdtEndPr>
    <w:sdtContent>
      <w:p w14:paraId="703B11B7" w14:textId="5171F858" w:rsidR="003377F4" w:rsidRPr="009C04A9" w:rsidRDefault="003377F4" w:rsidP="00654F73">
        <w:pPr>
          <w:pStyle w:val="Footer"/>
          <w:tabs>
            <w:tab w:val="right" w:pos="9072"/>
          </w:tabs>
          <w:rPr>
            <w:sz w:val="20"/>
            <w:szCs w:val="20"/>
            <w:lang w:val="es-ES"/>
          </w:rPr>
        </w:pPr>
        <w:r w:rsidRPr="009C04A9">
          <w:rPr>
            <w:rFonts w:asciiTheme="minorHAnsi" w:hAnsiTheme="minorHAnsi" w:cs="Calibri"/>
            <w:noProof/>
            <w:sz w:val="20"/>
            <w:szCs w:val="20"/>
            <w:lang w:val="es-ES"/>
          </w:rPr>
          <w:t>Resolución XII.5 de la COP12 de Ramsar</w:t>
        </w:r>
        <w:r w:rsidRPr="009C04A9">
          <w:rPr>
            <w:rFonts w:asciiTheme="minorHAnsi" w:hAnsiTheme="minorHAnsi" w:cs="Calibri"/>
            <w:noProof/>
            <w:sz w:val="20"/>
            <w:szCs w:val="20"/>
            <w:lang w:val="es-ES"/>
          </w:rPr>
          <w:tab/>
        </w:r>
        <w:r w:rsidRPr="009C04A9">
          <w:rPr>
            <w:rFonts w:asciiTheme="minorHAnsi" w:hAnsiTheme="minorHAnsi" w:cs="Calibri"/>
            <w:noProof/>
            <w:sz w:val="20"/>
            <w:szCs w:val="20"/>
            <w:lang w:val="es-ES"/>
          </w:rPr>
          <w:tab/>
        </w:r>
        <w:r w:rsidRPr="000D6491">
          <w:rPr>
            <w:rFonts w:asciiTheme="minorHAnsi" w:hAnsiTheme="minorHAnsi" w:cs="Calibri"/>
            <w:noProof/>
            <w:sz w:val="20"/>
            <w:szCs w:val="20"/>
          </w:rPr>
          <w:fldChar w:fldCharType="begin"/>
        </w:r>
        <w:r w:rsidRPr="009C04A9">
          <w:rPr>
            <w:rFonts w:asciiTheme="minorHAnsi" w:hAnsiTheme="minorHAnsi" w:cs="Calibri"/>
            <w:noProof/>
            <w:sz w:val="20"/>
            <w:szCs w:val="20"/>
            <w:lang w:val="es-ES"/>
          </w:rPr>
          <w:instrText xml:space="preserve"> PAGE   \* MERGEFORMAT </w:instrText>
        </w:r>
        <w:r w:rsidRPr="000D6491">
          <w:rPr>
            <w:rFonts w:asciiTheme="minorHAnsi" w:hAnsiTheme="minorHAnsi" w:cs="Calibri"/>
            <w:noProof/>
            <w:sz w:val="20"/>
            <w:szCs w:val="20"/>
          </w:rPr>
          <w:fldChar w:fldCharType="separate"/>
        </w:r>
        <w:r w:rsidR="008146FA">
          <w:rPr>
            <w:rFonts w:asciiTheme="minorHAnsi" w:hAnsiTheme="minorHAnsi" w:cs="Calibri"/>
            <w:noProof/>
            <w:sz w:val="20"/>
            <w:szCs w:val="20"/>
            <w:lang w:val="es-ES"/>
          </w:rPr>
          <w:t>23</w:t>
        </w:r>
        <w:r w:rsidRPr="000D6491">
          <w:rPr>
            <w:rFonts w:asciiTheme="minorHAnsi" w:hAnsiTheme="minorHAnsi" w:cs="Calibr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A97A8" w14:textId="77777777" w:rsidR="00777AE4" w:rsidRDefault="00777AE4" w:rsidP="00AE722D">
      <w:r>
        <w:separator/>
      </w:r>
    </w:p>
  </w:footnote>
  <w:footnote w:type="continuationSeparator" w:id="0">
    <w:p w14:paraId="7E251E01" w14:textId="77777777" w:rsidR="00777AE4" w:rsidRDefault="00777AE4" w:rsidP="00AE722D">
      <w:r>
        <w:continuationSeparator/>
      </w:r>
    </w:p>
  </w:footnote>
  <w:footnote w:id="1">
    <w:p w14:paraId="0E480681" w14:textId="10A10F23" w:rsidR="003377F4" w:rsidRPr="009C04A9" w:rsidRDefault="003377F4" w:rsidP="00AF3415">
      <w:pPr>
        <w:pStyle w:val="FootnoteText"/>
        <w:rPr>
          <w:lang w:val="es-ES"/>
        </w:rPr>
      </w:pPr>
      <w:r>
        <w:rPr>
          <w:rStyle w:val="FootnoteReference"/>
        </w:rPr>
        <w:footnoteRef/>
      </w:r>
      <w:r w:rsidRPr="009C04A9">
        <w:rPr>
          <w:lang w:val="es-ES"/>
        </w:rPr>
        <w:t xml:space="preserve">   Su participación estará sujeta a que la Secretaría reciba una respuesta a las comunicaciones enviadas.</w:t>
      </w:r>
    </w:p>
  </w:footnote>
  <w:footnote w:id="2">
    <w:p w14:paraId="77A9E61B" w14:textId="77777777" w:rsidR="003377F4" w:rsidRPr="001C5C3A" w:rsidRDefault="003377F4" w:rsidP="006851F8">
      <w:pPr>
        <w:pStyle w:val="FootnoteText"/>
        <w:ind w:left="142" w:hanging="142"/>
        <w:jc w:val="left"/>
        <w:rPr>
          <w:lang w:val="es-ES_tradnl"/>
        </w:rPr>
      </w:pPr>
      <w:r w:rsidRPr="009C7BF7">
        <w:rPr>
          <w:rStyle w:val="FootnoteReference"/>
        </w:rPr>
        <w:footnoteRef/>
      </w:r>
      <w:r w:rsidRPr="009C7BF7">
        <w:rPr>
          <w:lang w:val="es-ES"/>
        </w:rPr>
        <w:t xml:space="preserve"> </w:t>
      </w:r>
      <w:r w:rsidRPr="009C7BF7">
        <w:rPr>
          <w:lang w:val="es-ES_tradnl"/>
        </w:rPr>
        <w:t>Responsables de</w:t>
      </w:r>
      <w:r w:rsidRPr="001C5C3A">
        <w:rPr>
          <w:lang w:val="es-ES_tradnl"/>
        </w:rPr>
        <w:t xml:space="preserve"> prestar asesoramiento sobre la dirección estratégica del trabajo científico necesario para potenciar el desarrollo de productos del GECT y garantizar la calidad científica de los productos terminados.</w:t>
      </w:r>
    </w:p>
  </w:footnote>
  <w:footnote w:id="3">
    <w:p w14:paraId="4BEDA04E" w14:textId="77777777" w:rsidR="003377F4" w:rsidRPr="00445C52" w:rsidRDefault="003377F4" w:rsidP="006851F8">
      <w:pPr>
        <w:pStyle w:val="FootnoteText"/>
        <w:ind w:left="142" w:hanging="142"/>
        <w:jc w:val="left"/>
        <w:rPr>
          <w:lang w:val="es-ES"/>
        </w:rPr>
      </w:pPr>
      <w:r w:rsidRPr="001C5C3A">
        <w:rPr>
          <w:rStyle w:val="FootnoteReference"/>
          <w:lang w:val="es-ES_tradnl"/>
        </w:rPr>
        <w:footnoteRef/>
      </w:r>
      <w:r w:rsidRPr="001C5C3A">
        <w:rPr>
          <w:lang w:val="es-ES_tradnl"/>
        </w:rPr>
        <w:t xml:space="preserve"> Responsables de la preparación de productos técnicos en forma de orientaciones</w:t>
      </w:r>
      <w:r w:rsidRPr="00512A80">
        <w:rPr>
          <w:lang w:val="es-ES_tradnl"/>
        </w:rPr>
        <w:t>, notas informativas técnicas, Informes Técnicos de Ramsar, etc., y de solicitar aportaciones y comentarios sobre los mismos a los interesados y asociados en todas las regiones de Ramsar.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497"/>
    <w:multiLevelType w:val="hybridMultilevel"/>
    <w:tmpl w:val="69EE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60972"/>
    <w:multiLevelType w:val="hybridMultilevel"/>
    <w:tmpl w:val="01627466"/>
    <w:lvl w:ilvl="0" w:tplc="0409001B">
      <w:start w:val="1"/>
      <w:numFmt w:val="lowerRoman"/>
      <w:lvlText w:val="%1."/>
      <w:lvlJc w:val="right"/>
      <w:pPr>
        <w:ind w:left="-558" w:hanging="720"/>
      </w:pPr>
      <w:rPr>
        <w:rFonts w:hint="default"/>
      </w:rPr>
    </w:lvl>
    <w:lvl w:ilvl="1" w:tplc="04090019" w:tentative="1">
      <w:start w:val="1"/>
      <w:numFmt w:val="lowerLetter"/>
      <w:lvlText w:val="%2."/>
      <w:lvlJc w:val="left"/>
      <w:pPr>
        <w:ind w:left="-198" w:hanging="360"/>
      </w:pPr>
    </w:lvl>
    <w:lvl w:ilvl="2" w:tplc="0409001B" w:tentative="1">
      <w:start w:val="1"/>
      <w:numFmt w:val="lowerRoman"/>
      <w:lvlText w:val="%3."/>
      <w:lvlJc w:val="right"/>
      <w:pPr>
        <w:ind w:left="522" w:hanging="180"/>
      </w:pPr>
    </w:lvl>
    <w:lvl w:ilvl="3" w:tplc="0409000F" w:tentative="1">
      <w:start w:val="1"/>
      <w:numFmt w:val="decimal"/>
      <w:lvlText w:val="%4."/>
      <w:lvlJc w:val="left"/>
      <w:pPr>
        <w:ind w:left="1242" w:hanging="360"/>
      </w:pPr>
    </w:lvl>
    <w:lvl w:ilvl="4" w:tplc="04090019" w:tentative="1">
      <w:start w:val="1"/>
      <w:numFmt w:val="lowerLetter"/>
      <w:lvlText w:val="%5."/>
      <w:lvlJc w:val="left"/>
      <w:pPr>
        <w:ind w:left="1962" w:hanging="360"/>
      </w:pPr>
    </w:lvl>
    <w:lvl w:ilvl="5" w:tplc="0409001B" w:tentative="1">
      <w:start w:val="1"/>
      <w:numFmt w:val="lowerRoman"/>
      <w:lvlText w:val="%6."/>
      <w:lvlJc w:val="right"/>
      <w:pPr>
        <w:ind w:left="2682" w:hanging="180"/>
      </w:pPr>
    </w:lvl>
    <w:lvl w:ilvl="6" w:tplc="0409000F" w:tentative="1">
      <w:start w:val="1"/>
      <w:numFmt w:val="decimal"/>
      <w:lvlText w:val="%7."/>
      <w:lvlJc w:val="left"/>
      <w:pPr>
        <w:ind w:left="3402" w:hanging="360"/>
      </w:pPr>
    </w:lvl>
    <w:lvl w:ilvl="7" w:tplc="04090019" w:tentative="1">
      <w:start w:val="1"/>
      <w:numFmt w:val="lowerLetter"/>
      <w:lvlText w:val="%8."/>
      <w:lvlJc w:val="left"/>
      <w:pPr>
        <w:ind w:left="4122" w:hanging="360"/>
      </w:pPr>
    </w:lvl>
    <w:lvl w:ilvl="8" w:tplc="0409001B" w:tentative="1">
      <w:start w:val="1"/>
      <w:numFmt w:val="lowerRoman"/>
      <w:lvlText w:val="%9."/>
      <w:lvlJc w:val="right"/>
      <w:pPr>
        <w:ind w:left="4842" w:hanging="180"/>
      </w:pPr>
    </w:lvl>
  </w:abstractNum>
  <w:abstractNum w:abstractNumId="2">
    <w:nsid w:val="09E71B8C"/>
    <w:multiLevelType w:val="hybridMultilevel"/>
    <w:tmpl w:val="0B9CD0F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BA0277D"/>
    <w:multiLevelType w:val="hybridMultilevel"/>
    <w:tmpl w:val="942E4F30"/>
    <w:lvl w:ilvl="0" w:tplc="52AE31D4">
      <w:start w:val="1"/>
      <w:numFmt w:val="lowerRoman"/>
      <w:lvlText w:val="%1)"/>
      <w:lvlJc w:val="left"/>
      <w:pPr>
        <w:ind w:left="1146" w:hanging="72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CF547CB"/>
    <w:multiLevelType w:val="hybridMultilevel"/>
    <w:tmpl w:val="E40E9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678F8"/>
    <w:multiLevelType w:val="hybridMultilevel"/>
    <w:tmpl w:val="989E84F2"/>
    <w:lvl w:ilvl="0" w:tplc="52AE31D4">
      <w:start w:val="1"/>
      <w:numFmt w:val="lowerRoman"/>
      <w:lvlText w:val="%1)"/>
      <w:lvlJc w:val="left"/>
      <w:pPr>
        <w:ind w:left="-558" w:hanging="720"/>
      </w:pPr>
      <w:rPr>
        <w:rFonts w:hint="default"/>
      </w:rPr>
    </w:lvl>
    <w:lvl w:ilvl="1" w:tplc="04090019" w:tentative="1">
      <w:start w:val="1"/>
      <w:numFmt w:val="lowerLetter"/>
      <w:lvlText w:val="%2."/>
      <w:lvlJc w:val="left"/>
      <w:pPr>
        <w:ind w:left="-198" w:hanging="360"/>
      </w:pPr>
    </w:lvl>
    <w:lvl w:ilvl="2" w:tplc="0409001B" w:tentative="1">
      <w:start w:val="1"/>
      <w:numFmt w:val="lowerRoman"/>
      <w:lvlText w:val="%3."/>
      <w:lvlJc w:val="right"/>
      <w:pPr>
        <w:ind w:left="522" w:hanging="180"/>
      </w:pPr>
    </w:lvl>
    <w:lvl w:ilvl="3" w:tplc="0409000F" w:tentative="1">
      <w:start w:val="1"/>
      <w:numFmt w:val="decimal"/>
      <w:lvlText w:val="%4."/>
      <w:lvlJc w:val="left"/>
      <w:pPr>
        <w:ind w:left="1242" w:hanging="360"/>
      </w:pPr>
    </w:lvl>
    <w:lvl w:ilvl="4" w:tplc="04090019" w:tentative="1">
      <w:start w:val="1"/>
      <w:numFmt w:val="lowerLetter"/>
      <w:lvlText w:val="%5."/>
      <w:lvlJc w:val="left"/>
      <w:pPr>
        <w:ind w:left="1962" w:hanging="360"/>
      </w:pPr>
    </w:lvl>
    <w:lvl w:ilvl="5" w:tplc="0409001B" w:tentative="1">
      <w:start w:val="1"/>
      <w:numFmt w:val="lowerRoman"/>
      <w:lvlText w:val="%6."/>
      <w:lvlJc w:val="right"/>
      <w:pPr>
        <w:ind w:left="2682" w:hanging="180"/>
      </w:pPr>
    </w:lvl>
    <w:lvl w:ilvl="6" w:tplc="0409000F" w:tentative="1">
      <w:start w:val="1"/>
      <w:numFmt w:val="decimal"/>
      <w:lvlText w:val="%7."/>
      <w:lvlJc w:val="left"/>
      <w:pPr>
        <w:ind w:left="3402" w:hanging="360"/>
      </w:pPr>
    </w:lvl>
    <w:lvl w:ilvl="7" w:tplc="04090019" w:tentative="1">
      <w:start w:val="1"/>
      <w:numFmt w:val="lowerLetter"/>
      <w:lvlText w:val="%8."/>
      <w:lvlJc w:val="left"/>
      <w:pPr>
        <w:ind w:left="4122" w:hanging="360"/>
      </w:pPr>
    </w:lvl>
    <w:lvl w:ilvl="8" w:tplc="0409001B" w:tentative="1">
      <w:start w:val="1"/>
      <w:numFmt w:val="lowerRoman"/>
      <w:lvlText w:val="%9."/>
      <w:lvlJc w:val="right"/>
      <w:pPr>
        <w:ind w:left="4842" w:hanging="180"/>
      </w:pPr>
    </w:lvl>
  </w:abstractNum>
  <w:abstractNum w:abstractNumId="6">
    <w:nsid w:val="14BF169E"/>
    <w:multiLevelType w:val="hybridMultilevel"/>
    <w:tmpl w:val="E5347C0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177E034A"/>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8897C84"/>
    <w:multiLevelType w:val="hybridMultilevel"/>
    <w:tmpl w:val="6C4A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D595E"/>
    <w:multiLevelType w:val="hybridMultilevel"/>
    <w:tmpl w:val="8D18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E7273"/>
    <w:multiLevelType w:val="hybridMultilevel"/>
    <w:tmpl w:val="FB161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F120D1"/>
    <w:multiLevelType w:val="hybridMultilevel"/>
    <w:tmpl w:val="5D3063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4370359"/>
    <w:multiLevelType w:val="hybridMultilevel"/>
    <w:tmpl w:val="6CBE0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4A5E5D"/>
    <w:multiLevelType w:val="multilevel"/>
    <w:tmpl w:val="78B8CB76"/>
    <w:lvl w:ilvl="0">
      <w:start w:val="1"/>
      <w:numFmt w:val="decimal"/>
      <w:lvlText w:val="%1."/>
      <w:lvlJc w:val="left"/>
      <w:pPr>
        <w:ind w:left="720" w:hanging="360"/>
      </w:pPr>
      <w:rPr>
        <w:rFonts w:eastAsiaTheme="minorHAnsi" w:cs="Garamond-Bold"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AC7DDF"/>
    <w:multiLevelType w:val="hybridMultilevel"/>
    <w:tmpl w:val="45123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826EF6"/>
    <w:multiLevelType w:val="hybridMultilevel"/>
    <w:tmpl w:val="A916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222868"/>
    <w:multiLevelType w:val="hybridMultilevel"/>
    <w:tmpl w:val="973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B4BD1"/>
    <w:multiLevelType w:val="hybridMultilevel"/>
    <w:tmpl w:val="CA803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F218E3"/>
    <w:multiLevelType w:val="hybridMultilevel"/>
    <w:tmpl w:val="523C2C68"/>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0F438E2"/>
    <w:multiLevelType w:val="hybridMultilevel"/>
    <w:tmpl w:val="D3D87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566E2F"/>
    <w:multiLevelType w:val="hybridMultilevel"/>
    <w:tmpl w:val="523C2C68"/>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3CD7B0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46D7635"/>
    <w:multiLevelType w:val="hybridMultilevel"/>
    <w:tmpl w:val="A916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5CA5793"/>
    <w:multiLevelType w:val="hybridMultilevel"/>
    <w:tmpl w:val="156C53E6"/>
    <w:lvl w:ilvl="0" w:tplc="52AE31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521A9F"/>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BC06959"/>
    <w:multiLevelType w:val="hybridMultilevel"/>
    <w:tmpl w:val="A710C1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BC660DE"/>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3C71782B"/>
    <w:multiLevelType w:val="hybridMultilevel"/>
    <w:tmpl w:val="D818A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FFA10C2"/>
    <w:multiLevelType w:val="hybridMultilevel"/>
    <w:tmpl w:val="2CC4B6D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00427E8"/>
    <w:multiLevelType w:val="hybridMultilevel"/>
    <w:tmpl w:val="FF18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9E03FA"/>
    <w:multiLevelType w:val="hybridMultilevel"/>
    <w:tmpl w:val="523C2C68"/>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42504309"/>
    <w:multiLevelType w:val="hybridMultilevel"/>
    <w:tmpl w:val="213C7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C545E2"/>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481E7394"/>
    <w:multiLevelType w:val="hybridMultilevel"/>
    <w:tmpl w:val="692898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A406F7"/>
    <w:multiLevelType w:val="hybridMultilevel"/>
    <w:tmpl w:val="BDE225EE"/>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4CA523DB"/>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1B264A8"/>
    <w:multiLevelType w:val="hybridMultilevel"/>
    <w:tmpl w:val="78B8CB76"/>
    <w:lvl w:ilvl="0" w:tplc="16D2E0DC">
      <w:start w:val="1"/>
      <w:numFmt w:val="decimal"/>
      <w:lvlText w:val="%1."/>
      <w:lvlJc w:val="left"/>
      <w:pPr>
        <w:ind w:left="720" w:hanging="360"/>
      </w:pPr>
      <w:rPr>
        <w:rFonts w:eastAsiaTheme="minorHAnsi" w:cs="Garamond-Bold"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38B47EC"/>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55A84D40"/>
    <w:multiLevelType w:val="hybridMultilevel"/>
    <w:tmpl w:val="A67E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1A081F"/>
    <w:multiLevelType w:val="hybridMultilevel"/>
    <w:tmpl w:val="8E362EF8"/>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nsid w:val="60E6181F"/>
    <w:multiLevelType w:val="hybridMultilevel"/>
    <w:tmpl w:val="0EFC1700"/>
    <w:lvl w:ilvl="0" w:tplc="52AE31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A56A62"/>
    <w:multiLevelType w:val="hybridMultilevel"/>
    <w:tmpl w:val="DBEC7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2811DB"/>
    <w:multiLevelType w:val="hybridMultilevel"/>
    <w:tmpl w:val="47863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A82153"/>
    <w:multiLevelType w:val="hybridMultilevel"/>
    <w:tmpl w:val="57B2A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DAB5C67"/>
    <w:multiLevelType w:val="hybridMultilevel"/>
    <w:tmpl w:val="36F2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A11A65"/>
    <w:multiLevelType w:val="multilevel"/>
    <w:tmpl w:val="0EFC1700"/>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5"/>
  </w:num>
  <w:num w:numId="3">
    <w:abstractNumId w:val="37"/>
  </w:num>
  <w:num w:numId="4">
    <w:abstractNumId w:val="8"/>
  </w:num>
  <w:num w:numId="5">
    <w:abstractNumId w:val="34"/>
  </w:num>
  <w:num w:numId="6">
    <w:abstractNumId w:val="28"/>
  </w:num>
  <w:num w:numId="7">
    <w:abstractNumId w:val="7"/>
  </w:num>
  <w:num w:numId="8">
    <w:abstractNumId w:val="41"/>
  </w:num>
  <w:num w:numId="9">
    <w:abstractNumId w:val="30"/>
  </w:num>
  <w:num w:numId="10">
    <w:abstractNumId w:val="3"/>
  </w:num>
  <w:num w:numId="11">
    <w:abstractNumId w:val="38"/>
  </w:num>
  <w:num w:numId="12">
    <w:abstractNumId w:val="5"/>
  </w:num>
  <w:num w:numId="13">
    <w:abstractNumId w:val="21"/>
  </w:num>
  <w:num w:numId="14">
    <w:abstractNumId w:val="36"/>
  </w:num>
  <w:num w:numId="15">
    <w:abstractNumId w:val="35"/>
  </w:num>
  <w:num w:numId="16">
    <w:abstractNumId w:val="24"/>
  </w:num>
  <w:num w:numId="17">
    <w:abstractNumId w:val="32"/>
  </w:num>
  <w:num w:numId="18">
    <w:abstractNumId w:val="26"/>
  </w:num>
  <w:num w:numId="19">
    <w:abstractNumId w:val="23"/>
  </w:num>
  <w:num w:numId="20">
    <w:abstractNumId w:val="16"/>
  </w:num>
  <w:num w:numId="21">
    <w:abstractNumId w:val="19"/>
  </w:num>
  <w:num w:numId="22">
    <w:abstractNumId w:val="2"/>
  </w:num>
  <w:num w:numId="23">
    <w:abstractNumId w:val="11"/>
  </w:num>
  <w:num w:numId="24">
    <w:abstractNumId w:val="40"/>
  </w:num>
  <w:num w:numId="25">
    <w:abstractNumId w:val="33"/>
  </w:num>
  <w:num w:numId="26">
    <w:abstractNumId w:val="9"/>
  </w:num>
  <w:num w:numId="27">
    <w:abstractNumId w:val="45"/>
  </w:num>
  <w:num w:numId="28">
    <w:abstractNumId w:val="43"/>
  </w:num>
  <w:num w:numId="29">
    <w:abstractNumId w:val="4"/>
  </w:num>
  <w:num w:numId="30">
    <w:abstractNumId w:val="17"/>
  </w:num>
  <w:num w:numId="31">
    <w:abstractNumId w:val="0"/>
  </w:num>
  <w:num w:numId="32">
    <w:abstractNumId w:val="27"/>
  </w:num>
  <w:num w:numId="33">
    <w:abstractNumId w:val="39"/>
  </w:num>
  <w:num w:numId="34">
    <w:abstractNumId w:val="25"/>
  </w:num>
  <w:num w:numId="35">
    <w:abstractNumId w:val="42"/>
  </w:num>
  <w:num w:numId="36">
    <w:abstractNumId w:val="44"/>
  </w:num>
  <w:num w:numId="37">
    <w:abstractNumId w:val="14"/>
  </w:num>
  <w:num w:numId="38">
    <w:abstractNumId w:val="1"/>
  </w:num>
  <w:num w:numId="39">
    <w:abstractNumId w:val="18"/>
  </w:num>
  <w:num w:numId="40">
    <w:abstractNumId w:val="20"/>
  </w:num>
  <w:num w:numId="41">
    <w:abstractNumId w:val="29"/>
  </w:num>
  <w:num w:numId="42">
    <w:abstractNumId w:val="6"/>
  </w:num>
  <w:num w:numId="43">
    <w:abstractNumId w:val="22"/>
  </w:num>
  <w:num w:numId="44">
    <w:abstractNumId w:val="10"/>
  </w:num>
  <w:num w:numId="45">
    <w:abstractNumId w:val="31"/>
  </w:num>
  <w:num w:numId="46">
    <w:abstractNumId w:val="46"/>
  </w:num>
  <w:num w:numId="47">
    <w:abstractNumId w:val="1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9">
    <w15:presenceInfo w15:providerId="None" w15:userId="usuario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doNotTrackFormatting/>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73"/>
    <w:rsid w:val="00001B2D"/>
    <w:rsid w:val="0000487E"/>
    <w:rsid w:val="00007960"/>
    <w:rsid w:val="0001139D"/>
    <w:rsid w:val="000114BE"/>
    <w:rsid w:val="00013593"/>
    <w:rsid w:val="00021D7C"/>
    <w:rsid w:val="000223B6"/>
    <w:rsid w:val="0003470D"/>
    <w:rsid w:val="0003509D"/>
    <w:rsid w:val="000366F9"/>
    <w:rsid w:val="000378FA"/>
    <w:rsid w:val="00042564"/>
    <w:rsid w:val="0004472C"/>
    <w:rsid w:val="00045571"/>
    <w:rsid w:val="00052B15"/>
    <w:rsid w:val="00054318"/>
    <w:rsid w:val="00056C8E"/>
    <w:rsid w:val="000615A1"/>
    <w:rsid w:val="00064711"/>
    <w:rsid w:val="00065405"/>
    <w:rsid w:val="00066C11"/>
    <w:rsid w:val="00067818"/>
    <w:rsid w:val="00070F2E"/>
    <w:rsid w:val="00071C25"/>
    <w:rsid w:val="000744FA"/>
    <w:rsid w:val="00080461"/>
    <w:rsid w:val="00082799"/>
    <w:rsid w:val="00084503"/>
    <w:rsid w:val="00085F2A"/>
    <w:rsid w:val="0008659E"/>
    <w:rsid w:val="000903A0"/>
    <w:rsid w:val="000937D1"/>
    <w:rsid w:val="000954A4"/>
    <w:rsid w:val="00097FD2"/>
    <w:rsid w:val="000A0EA9"/>
    <w:rsid w:val="000A3980"/>
    <w:rsid w:val="000A569F"/>
    <w:rsid w:val="000B0718"/>
    <w:rsid w:val="000B3803"/>
    <w:rsid w:val="000C0425"/>
    <w:rsid w:val="000C2971"/>
    <w:rsid w:val="000D2DD9"/>
    <w:rsid w:val="000D6491"/>
    <w:rsid w:val="000D74E5"/>
    <w:rsid w:val="000E2B0D"/>
    <w:rsid w:val="000E3DAD"/>
    <w:rsid w:val="000E5ECC"/>
    <w:rsid w:val="000F6F1A"/>
    <w:rsid w:val="000F7BC0"/>
    <w:rsid w:val="001052A0"/>
    <w:rsid w:val="00107B8B"/>
    <w:rsid w:val="00107B92"/>
    <w:rsid w:val="00113C93"/>
    <w:rsid w:val="00114520"/>
    <w:rsid w:val="00117AE8"/>
    <w:rsid w:val="001217F2"/>
    <w:rsid w:val="0012208A"/>
    <w:rsid w:val="00122353"/>
    <w:rsid w:val="001227B0"/>
    <w:rsid w:val="00124B4C"/>
    <w:rsid w:val="001375E6"/>
    <w:rsid w:val="001524E9"/>
    <w:rsid w:val="001536FD"/>
    <w:rsid w:val="00161145"/>
    <w:rsid w:val="001616CD"/>
    <w:rsid w:val="001622F6"/>
    <w:rsid w:val="001644AE"/>
    <w:rsid w:val="00170F48"/>
    <w:rsid w:val="00172582"/>
    <w:rsid w:val="00180A27"/>
    <w:rsid w:val="00182EF6"/>
    <w:rsid w:val="0018320F"/>
    <w:rsid w:val="00183AD8"/>
    <w:rsid w:val="00185185"/>
    <w:rsid w:val="00185A21"/>
    <w:rsid w:val="00186314"/>
    <w:rsid w:val="0018787F"/>
    <w:rsid w:val="00187950"/>
    <w:rsid w:val="00191642"/>
    <w:rsid w:val="00193982"/>
    <w:rsid w:val="0019612D"/>
    <w:rsid w:val="00196646"/>
    <w:rsid w:val="00196DCC"/>
    <w:rsid w:val="0019742B"/>
    <w:rsid w:val="001976DB"/>
    <w:rsid w:val="00197ACB"/>
    <w:rsid w:val="001A338B"/>
    <w:rsid w:val="001A6B84"/>
    <w:rsid w:val="001A6C4E"/>
    <w:rsid w:val="001B2585"/>
    <w:rsid w:val="001B4028"/>
    <w:rsid w:val="001B58F2"/>
    <w:rsid w:val="001B59A0"/>
    <w:rsid w:val="001C2429"/>
    <w:rsid w:val="001C3FAB"/>
    <w:rsid w:val="001C496A"/>
    <w:rsid w:val="001C5C3A"/>
    <w:rsid w:val="001C5D3C"/>
    <w:rsid w:val="001C7477"/>
    <w:rsid w:val="001C78EE"/>
    <w:rsid w:val="001D05AD"/>
    <w:rsid w:val="001D1E31"/>
    <w:rsid w:val="001E3EE2"/>
    <w:rsid w:val="001E7967"/>
    <w:rsid w:val="001E7EFB"/>
    <w:rsid w:val="001F0BB7"/>
    <w:rsid w:val="001F1153"/>
    <w:rsid w:val="001F7FCC"/>
    <w:rsid w:val="00202D1D"/>
    <w:rsid w:val="00204526"/>
    <w:rsid w:val="00204F81"/>
    <w:rsid w:val="00205343"/>
    <w:rsid w:val="00205FC0"/>
    <w:rsid w:val="00210986"/>
    <w:rsid w:val="00211B5D"/>
    <w:rsid w:val="00215047"/>
    <w:rsid w:val="00216F6B"/>
    <w:rsid w:val="0022148A"/>
    <w:rsid w:val="0022290D"/>
    <w:rsid w:val="002259B6"/>
    <w:rsid w:val="00226EE6"/>
    <w:rsid w:val="0023206C"/>
    <w:rsid w:val="00234369"/>
    <w:rsid w:val="00234890"/>
    <w:rsid w:val="00240ED9"/>
    <w:rsid w:val="0024120F"/>
    <w:rsid w:val="00242926"/>
    <w:rsid w:val="00244B8C"/>
    <w:rsid w:val="002579E6"/>
    <w:rsid w:val="002647CA"/>
    <w:rsid w:val="002648C8"/>
    <w:rsid w:val="00266CC9"/>
    <w:rsid w:val="0027099E"/>
    <w:rsid w:val="00280AF2"/>
    <w:rsid w:val="00280E99"/>
    <w:rsid w:val="0028394D"/>
    <w:rsid w:val="0028495B"/>
    <w:rsid w:val="002860E2"/>
    <w:rsid w:val="00287A6C"/>
    <w:rsid w:val="00290D70"/>
    <w:rsid w:val="00291002"/>
    <w:rsid w:val="00292984"/>
    <w:rsid w:val="00295145"/>
    <w:rsid w:val="00295380"/>
    <w:rsid w:val="002A0C29"/>
    <w:rsid w:val="002A3D1D"/>
    <w:rsid w:val="002A5336"/>
    <w:rsid w:val="002A5F4B"/>
    <w:rsid w:val="002A6330"/>
    <w:rsid w:val="002B04E0"/>
    <w:rsid w:val="002C10B1"/>
    <w:rsid w:val="002C3952"/>
    <w:rsid w:val="002C3FC7"/>
    <w:rsid w:val="002D0A5A"/>
    <w:rsid w:val="002E41DE"/>
    <w:rsid w:val="002E7ECE"/>
    <w:rsid w:val="002F34CD"/>
    <w:rsid w:val="002F6946"/>
    <w:rsid w:val="002F7208"/>
    <w:rsid w:val="002F7C14"/>
    <w:rsid w:val="00301EAD"/>
    <w:rsid w:val="003045FC"/>
    <w:rsid w:val="00307D8A"/>
    <w:rsid w:val="0031068D"/>
    <w:rsid w:val="00310CE8"/>
    <w:rsid w:val="00313BF8"/>
    <w:rsid w:val="00315C90"/>
    <w:rsid w:val="00320665"/>
    <w:rsid w:val="00321FBD"/>
    <w:rsid w:val="0032234B"/>
    <w:rsid w:val="00323DB6"/>
    <w:rsid w:val="0032611F"/>
    <w:rsid w:val="00331640"/>
    <w:rsid w:val="0033424A"/>
    <w:rsid w:val="00334CCB"/>
    <w:rsid w:val="003356AB"/>
    <w:rsid w:val="003377F4"/>
    <w:rsid w:val="00340AEC"/>
    <w:rsid w:val="003412FD"/>
    <w:rsid w:val="00341D4D"/>
    <w:rsid w:val="003425C8"/>
    <w:rsid w:val="003452D3"/>
    <w:rsid w:val="0034707F"/>
    <w:rsid w:val="003471B8"/>
    <w:rsid w:val="00350308"/>
    <w:rsid w:val="00352586"/>
    <w:rsid w:val="003533E2"/>
    <w:rsid w:val="003550C6"/>
    <w:rsid w:val="0035670D"/>
    <w:rsid w:val="00360899"/>
    <w:rsid w:val="00364629"/>
    <w:rsid w:val="00376F75"/>
    <w:rsid w:val="00381D3F"/>
    <w:rsid w:val="00393821"/>
    <w:rsid w:val="00393F87"/>
    <w:rsid w:val="00396DDC"/>
    <w:rsid w:val="00397EA6"/>
    <w:rsid w:val="003A2497"/>
    <w:rsid w:val="003A4BE3"/>
    <w:rsid w:val="003A7728"/>
    <w:rsid w:val="003B4481"/>
    <w:rsid w:val="003B4B8C"/>
    <w:rsid w:val="003C4DD6"/>
    <w:rsid w:val="003D19A1"/>
    <w:rsid w:val="003D1CF9"/>
    <w:rsid w:val="003D3950"/>
    <w:rsid w:val="003D5DE7"/>
    <w:rsid w:val="003E1F7A"/>
    <w:rsid w:val="003E3F6E"/>
    <w:rsid w:val="003E6A76"/>
    <w:rsid w:val="003F3DEF"/>
    <w:rsid w:val="004000C9"/>
    <w:rsid w:val="00407ED8"/>
    <w:rsid w:val="004241D1"/>
    <w:rsid w:val="004243EA"/>
    <w:rsid w:val="00424C8F"/>
    <w:rsid w:val="00426A40"/>
    <w:rsid w:val="004310CE"/>
    <w:rsid w:val="0043379B"/>
    <w:rsid w:val="00434B28"/>
    <w:rsid w:val="00435B77"/>
    <w:rsid w:val="00435CFA"/>
    <w:rsid w:val="00440EB5"/>
    <w:rsid w:val="00444430"/>
    <w:rsid w:val="00444F56"/>
    <w:rsid w:val="00444F73"/>
    <w:rsid w:val="00444F9E"/>
    <w:rsid w:val="00445C52"/>
    <w:rsid w:val="00454934"/>
    <w:rsid w:val="00470C39"/>
    <w:rsid w:val="00470D27"/>
    <w:rsid w:val="00472987"/>
    <w:rsid w:val="0047620C"/>
    <w:rsid w:val="00476A86"/>
    <w:rsid w:val="00476D73"/>
    <w:rsid w:val="00482BA2"/>
    <w:rsid w:val="004862A4"/>
    <w:rsid w:val="004909C6"/>
    <w:rsid w:val="00491F01"/>
    <w:rsid w:val="0049290C"/>
    <w:rsid w:val="00495B08"/>
    <w:rsid w:val="004A5C37"/>
    <w:rsid w:val="004A692A"/>
    <w:rsid w:val="004B2EB7"/>
    <w:rsid w:val="004B3E14"/>
    <w:rsid w:val="004C25E6"/>
    <w:rsid w:val="004C583C"/>
    <w:rsid w:val="004D00C2"/>
    <w:rsid w:val="004D41BC"/>
    <w:rsid w:val="004D4C9F"/>
    <w:rsid w:val="004D5A38"/>
    <w:rsid w:val="004D7CF7"/>
    <w:rsid w:val="004E2AC8"/>
    <w:rsid w:val="004E3E22"/>
    <w:rsid w:val="004E4ABF"/>
    <w:rsid w:val="004E5D19"/>
    <w:rsid w:val="004F3E8B"/>
    <w:rsid w:val="004F586F"/>
    <w:rsid w:val="00502A30"/>
    <w:rsid w:val="005035BA"/>
    <w:rsid w:val="005075BC"/>
    <w:rsid w:val="005078BF"/>
    <w:rsid w:val="00510552"/>
    <w:rsid w:val="00511463"/>
    <w:rsid w:val="0051285F"/>
    <w:rsid w:val="0051541F"/>
    <w:rsid w:val="00515923"/>
    <w:rsid w:val="005223BB"/>
    <w:rsid w:val="00523D36"/>
    <w:rsid w:val="00524631"/>
    <w:rsid w:val="00530D6D"/>
    <w:rsid w:val="00533359"/>
    <w:rsid w:val="005342B8"/>
    <w:rsid w:val="00536557"/>
    <w:rsid w:val="00542C74"/>
    <w:rsid w:val="00545962"/>
    <w:rsid w:val="00546A6F"/>
    <w:rsid w:val="005506D7"/>
    <w:rsid w:val="00550E04"/>
    <w:rsid w:val="005539EE"/>
    <w:rsid w:val="00556010"/>
    <w:rsid w:val="00556141"/>
    <w:rsid w:val="0056173E"/>
    <w:rsid w:val="00562348"/>
    <w:rsid w:val="0056486B"/>
    <w:rsid w:val="005740D4"/>
    <w:rsid w:val="00580311"/>
    <w:rsid w:val="0058369B"/>
    <w:rsid w:val="00585C49"/>
    <w:rsid w:val="00590819"/>
    <w:rsid w:val="005929B0"/>
    <w:rsid w:val="00594EB1"/>
    <w:rsid w:val="005A1D7E"/>
    <w:rsid w:val="005A3040"/>
    <w:rsid w:val="005A6BAC"/>
    <w:rsid w:val="005A720D"/>
    <w:rsid w:val="005B2013"/>
    <w:rsid w:val="005B28FB"/>
    <w:rsid w:val="005B2AD3"/>
    <w:rsid w:val="005B2DB7"/>
    <w:rsid w:val="005B6597"/>
    <w:rsid w:val="005B7026"/>
    <w:rsid w:val="005C1716"/>
    <w:rsid w:val="005C460D"/>
    <w:rsid w:val="005D1BD1"/>
    <w:rsid w:val="005D1DBA"/>
    <w:rsid w:val="005D5CF0"/>
    <w:rsid w:val="005D65B7"/>
    <w:rsid w:val="005E3A3C"/>
    <w:rsid w:val="005E6DD4"/>
    <w:rsid w:val="005F725F"/>
    <w:rsid w:val="00600746"/>
    <w:rsid w:val="00600E6D"/>
    <w:rsid w:val="006013DE"/>
    <w:rsid w:val="00601690"/>
    <w:rsid w:val="00602DFB"/>
    <w:rsid w:val="00605AF5"/>
    <w:rsid w:val="006065C1"/>
    <w:rsid w:val="0061472B"/>
    <w:rsid w:val="00614BD5"/>
    <w:rsid w:val="00615216"/>
    <w:rsid w:val="00615389"/>
    <w:rsid w:val="006161CD"/>
    <w:rsid w:val="006173B1"/>
    <w:rsid w:val="00617E06"/>
    <w:rsid w:val="006204D5"/>
    <w:rsid w:val="006230A6"/>
    <w:rsid w:val="00625911"/>
    <w:rsid w:val="00633066"/>
    <w:rsid w:val="00633CAE"/>
    <w:rsid w:val="00633E71"/>
    <w:rsid w:val="00634731"/>
    <w:rsid w:val="00637419"/>
    <w:rsid w:val="00643E17"/>
    <w:rsid w:val="006506F2"/>
    <w:rsid w:val="00654F73"/>
    <w:rsid w:val="006649DA"/>
    <w:rsid w:val="00667234"/>
    <w:rsid w:val="00673B06"/>
    <w:rsid w:val="006779A1"/>
    <w:rsid w:val="006830B5"/>
    <w:rsid w:val="006847F2"/>
    <w:rsid w:val="006851F8"/>
    <w:rsid w:val="00685582"/>
    <w:rsid w:val="00686BB4"/>
    <w:rsid w:val="00692C62"/>
    <w:rsid w:val="0069700A"/>
    <w:rsid w:val="006A2929"/>
    <w:rsid w:val="006A6C14"/>
    <w:rsid w:val="006B0FEF"/>
    <w:rsid w:val="006B1F2E"/>
    <w:rsid w:val="006B2A81"/>
    <w:rsid w:val="006B4BCF"/>
    <w:rsid w:val="006B7E8F"/>
    <w:rsid w:val="006C2E89"/>
    <w:rsid w:val="006C325B"/>
    <w:rsid w:val="006C4956"/>
    <w:rsid w:val="006C6D91"/>
    <w:rsid w:val="006C7028"/>
    <w:rsid w:val="006D3EDB"/>
    <w:rsid w:val="006D531C"/>
    <w:rsid w:val="006D5472"/>
    <w:rsid w:val="006E286B"/>
    <w:rsid w:val="006E741A"/>
    <w:rsid w:val="006F1FA5"/>
    <w:rsid w:val="00704154"/>
    <w:rsid w:val="0070541B"/>
    <w:rsid w:val="00715431"/>
    <w:rsid w:val="0072293E"/>
    <w:rsid w:val="00726534"/>
    <w:rsid w:val="007421E1"/>
    <w:rsid w:val="007423C6"/>
    <w:rsid w:val="00745C4C"/>
    <w:rsid w:val="007516FB"/>
    <w:rsid w:val="0075178E"/>
    <w:rsid w:val="0075326B"/>
    <w:rsid w:val="00753763"/>
    <w:rsid w:val="007619B7"/>
    <w:rsid w:val="007645C7"/>
    <w:rsid w:val="007645F1"/>
    <w:rsid w:val="00772FC3"/>
    <w:rsid w:val="0077327A"/>
    <w:rsid w:val="007737F7"/>
    <w:rsid w:val="00775DE2"/>
    <w:rsid w:val="00777AE4"/>
    <w:rsid w:val="007867E6"/>
    <w:rsid w:val="00791D75"/>
    <w:rsid w:val="00792116"/>
    <w:rsid w:val="007A24AE"/>
    <w:rsid w:val="007A426E"/>
    <w:rsid w:val="007A4636"/>
    <w:rsid w:val="007B16FA"/>
    <w:rsid w:val="007B25FC"/>
    <w:rsid w:val="007B4FFF"/>
    <w:rsid w:val="007B6ACF"/>
    <w:rsid w:val="007C1E6B"/>
    <w:rsid w:val="007D027B"/>
    <w:rsid w:val="007D036B"/>
    <w:rsid w:val="007D085C"/>
    <w:rsid w:val="007D0F2D"/>
    <w:rsid w:val="007D2623"/>
    <w:rsid w:val="007D50CE"/>
    <w:rsid w:val="007D6AED"/>
    <w:rsid w:val="007E2227"/>
    <w:rsid w:val="007E25DE"/>
    <w:rsid w:val="007E3684"/>
    <w:rsid w:val="007E647A"/>
    <w:rsid w:val="007F6FF7"/>
    <w:rsid w:val="00800C95"/>
    <w:rsid w:val="008073A3"/>
    <w:rsid w:val="008116C6"/>
    <w:rsid w:val="008119D2"/>
    <w:rsid w:val="008146FA"/>
    <w:rsid w:val="00816343"/>
    <w:rsid w:val="00816B7D"/>
    <w:rsid w:val="00817C85"/>
    <w:rsid w:val="00827662"/>
    <w:rsid w:val="008352DE"/>
    <w:rsid w:val="00836E8C"/>
    <w:rsid w:val="00836F59"/>
    <w:rsid w:val="00844241"/>
    <w:rsid w:val="00850CF2"/>
    <w:rsid w:val="0085294F"/>
    <w:rsid w:val="00852D01"/>
    <w:rsid w:val="0085627E"/>
    <w:rsid w:val="008572F9"/>
    <w:rsid w:val="0086623B"/>
    <w:rsid w:val="00866247"/>
    <w:rsid w:val="008724E3"/>
    <w:rsid w:val="008776F1"/>
    <w:rsid w:val="00882D7A"/>
    <w:rsid w:val="00882E4C"/>
    <w:rsid w:val="00883C98"/>
    <w:rsid w:val="00884572"/>
    <w:rsid w:val="00890830"/>
    <w:rsid w:val="00893477"/>
    <w:rsid w:val="00893B0A"/>
    <w:rsid w:val="00894452"/>
    <w:rsid w:val="00894514"/>
    <w:rsid w:val="008A3D5E"/>
    <w:rsid w:val="008A41FC"/>
    <w:rsid w:val="008A75C3"/>
    <w:rsid w:val="008B51CB"/>
    <w:rsid w:val="008B5709"/>
    <w:rsid w:val="008C6684"/>
    <w:rsid w:val="008D416D"/>
    <w:rsid w:val="008D693B"/>
    <w:rsid w:val="008D7F1C"/>
    <w:rsid w:val="008E0338"/>
    <w:rsid w:val="008E0A83"/>
    <w:rsid w:val="008E2863"/>
    <w:rsid w:val="008E32CC"/>
    <w:rsid w:val="008E3C81"/>
    <w:rsid w:val="008E3D4D"/>
    <w:rsid w:val="008F70F0"/>
    <w:rsid w:val="00902F92"/>
    <w:rsid w:val="0090380B"/>
    <w:rsid w:val="00903DC5"/>
    <w:rsid w:val="00905E26"/>
    <w:rsid w:val="0090667E"/>
    <w:rsid w:val="00906EFB"/>
    <w:rsid w:val="00907F2F"/>
    <w:rsid w:val="009107BA"/>
    <w:rsid w:val="009123D5"/>
    <w:rsid w:val="009155E7"/>
    <w:rsid w:val="00916750"/>
    <w:rsid w:val="00917250"/>
    <w:rsid w:val="009265BF"/>
    <w:rsid w:val="009303CB"/>
    <w:rsid w:val="00930762"/>
    <w:rsid w:val="00935EA2"/>
    <w:rsid w:val="00936B15"/>
    <w:rsid w:val="00936D88"/>
    <w:rsid w:val="009370EF"/>
    <w:rsid w:val="009371CC"/>
    <w:rsid w:val="009372FF"/>
    <w:rsid w:val="00942C41"/>
    <w:rsid w:val="00943AB1"/>
    <w:rsid w:val="00945BD4"/>
    <w:rsid w:val="00954F96"/>
    <w:rsid w:val="00964491"/>
    <w:rsid w:val="009740BE"/>
    <w:rsid w:val="00976653"/>
    <w:rsid w:val="0098134B"/>
    <w:rsid w:val="00984232"/>
    <w:rsid w:val="00984DE5"/>
    <w:rsid w:val="009877A6"/>
    <w:rsid w:val="00990000"/>
    <w:rsid w:val="009921B2"/>
    <w:rsid w:val="00994567"/>
    <w:rsid w:val="00994705"/>
    <w:rsid w:val="00994E3B"/>
    <w:rsid w:val="009956DA"/>
    <w:rsid w:val="009A3D0C"/>
    <w:rsid w:val="009A41DF"/>
    <w:rsid w:val="009A4562"/>
    <w:rsid w:val="009A5C97"/>
    <w:rsid w:val="009A6073"/>
    <w:rsid w:val="009B2185"/>
    <w:rsid w:val="009B7F88"/>
    <w:rsid w:val="009C04A9"/>
    <w:rsid w:val="009C0B53"/>
    <w:rsid w:val="009C11F0"/>
    <w:rsid w:val="009C4185"/>
    <w:rsid w:val="009C51FA"/>
    <w:rsid w:val="009C74B3"/>
    <w:rsid w:val="009C7BF7"/>
    <w:rsid w:val="009D21B4"/>
    <w:rsid w:val="009D3265"/>
    <w:rsid w:val="009D40EB"/>
    <w:rsid w:val="009D762F"/>
    <w:rsid w:val="009E2D6C"/>
    <w:rsid w:val="009E6214"/>
    <w:rsid w:val="009F0B03"/>
    <w:rsid w:val="009F1F0C"/>
    <w:rsid w:val="00A0386A"/>
    <w:rsid w:val="00A0767C"/>
    <w:rsid w:val="00A07B1B"/>
    <w:rsid w:val="00A138E8"/>
    <w:rsid w:val="00A211A1"/>
    <w:rsid w:val="00A23884"/>
    <w:rsid w:val="00A24A7B"/>
    <w:rsid w:val="00A31385"/>
    <w:rsid w:val="00A339CE"/>
    <w:rsid w:val="00A35BA7"/>
    <w:rsid w:val="00A36311"/>
    <w:rsid w:val="00A40704"/>
    <w:rsid w:val="00A40F9E"/>
    <w:rsid w:val="00A428FE"/>
    <w:rsid w:val="00A42E87"/>
    <w:rsid w:val="00A44147"/>
    <w:rsid w:val="00A45027"/>
    <w:rsid w:val="00A50E8E"/>
    <w:rsid w:val="00A52CF4"/>
    <w:rsid w:val="00A602B1"/>
    <w:rsid w:val="00A61589"/>
    <w:rsid w:val="00A64F9F"/>
    <w:rsid w:val="00A71F55"/>
    <w:rsid w:val="00A73533"/>
    <w:rsid w:val="00A76EA2"/>
    <w:rsid w:val="00A7702D"/>
    <w:rsid w:val="00A81874"/>
    <w:rsid w:val="00A82C80"/>
    <w:rsid w:val="00A85038"/>
    <w:rsid w:val="00A854F5"/>
    <w:rsid w:val="00A92970"/>
    <w:rsid w:val="00A92C08"/>
    <w:rsid w:val="00A92C80"/>
    <w:rsid w:val="00A94553"/>
    <w:rsid w:val="00AA10FF"/>
    <w:rsid w:val="00AA317C"/>
    <w:rsid w:val="00AA691E"/>
    <w:rsid w:val="00AA6920"/>
    <w:rsid w:val="00AA7A66"/>
    <w:rsid w:val="00AB4149"/>
    <w:rsid w:val="00AB4C91"/>
    <w:rsid w:val="00AB4D9A"/>
    <w:rsid w:val="00AB55D8"/>
    <w:rsid w:val="00AB60F7"/>
    <w:rsid w:val="00AC210E"/>
    <w:rsid w:val="00AD3509"/>
    <w:rsid w:val="00AD710E"/>
    <w:rsid w:val="00AE0ABA"/>
    <w:rsid w:val="00AE722D"/>
    <w:rsid w:val="00AF3415"/>
    <w:rsid w:val="00AF45EB"/>
    <w:rsid w:val="00B03352"/>
    <w:rsid w:val="00B06A80"/>
    <w:rsid w:val="00B11ABF"/>
    <w:rsid w:val="00B122D1"/>
    <w:rsid w:val="00B1284E"/>
    <w:rsid w:val="00B167D7"/>
    <w:rsid w:val="00B23C01"/>
    <w:rsid w:val="00B25A8B"/>
    <w:rsid w:val="00B25F7B"/>
    <w:rsid w:val="00B26204"/>
    <w:rsid w:val="00B31095"/>
    <w:rsid w:val="00B31628"/>
    <w:rsid w:val="00B33041"/>
    <w:rsid w:val="00B34038"/>
    <w:rsid w:val="00B35578"/>
    <w:rsid w:val="00B4196C"/>
    <w:rsid w:val="00B463A0"/>
    <w:rsid w:val="00B52F32"/>
    <w:rsid w:val="00B57463"/>
    <w:rsid w:val="00B57D9A"/>
    <w:rsid w:val="00B618D5"/>
    <w:rsid w:val="00B70F55"/>
    <w:rsid w:val="00B72744"/>
    <w:rsid w:val="00B73768"/>
    <w:rsid w:val="00B756CD"/>
    <w:rsid w:val="00B767A2"/>
    <w:rsid w:val="00B76AC1"/>
    <w:rsid w:val="00B8037F"/>
    <w:rsid w:val="00B81699"/>
    <w:rsid w:val="00B8415E"/>
    <w:rsid w:val="00B87643"/>
    <w:rsid w:val="00B906A8"/>
    <w:rsid w:val="00B90C52"/>
    <w:rsid w:val="00B94AFF"/>
    <w:rsid w:val="00B96936"/>
    <w:rsid w:val="00B972B2"/>
    <w:rsid w:val="00BA1C2B"/>
    <w:rsid w:val="00BA3C57"/>
    <w:rsid w:val="00BA7088"/>
    <w:rsid w:val="00BB0FDC"/>
    <w:rsid w:val="00BB7769"/>
    <w:rsid w:val="00BC0A88"/>
    <w:rsid w:val="00BC25CA"/>
    <w:rsid w:val="00BC3C24"/>
    <w:rsid w:val="00BC6387"/>
    <w:rsid w:val="00BC69EA"/>
    <w:rsid w:val="00BD0FCB"/>
    <w:rsid w:val="00BD312A"/>
    <w:rsid w:val="00BD4C93"/>
    <w:rsid w:val="00BD5906"/>
    <w:rsid w:val="00BD75B6"/>
    <w:rsid w:val="00BE25A9"/>
    <w:rsid w:val="00BE47C2"/>
    <w:rsid w:val="00BE488B"/>
    <w:rsid w:val="00BE60D7"/>
    <w:rsid w:val="00BE7BC4"/>
    <w:rsid w:val="00BF1F37"/>
    <w:rsid w:val="00BF3676"/>
    <w:rsid w:val="00BF7C06"/>
    <w:rsid w:val="00C00452"/>
    <w:rsid w:val="00C0164D"/>
    <w:rsid w:val="00C03D20"/>
    <w:rsid w:val="00C12DF8"/>
    <w:rsid w:val="00C14212"/>
    <w:rsid w:val="00C179B1"/>
    <w:rsid w:val="00C2197E"/>
    <w:rsid w:val="00C24694"/>
    <w:rsid w:val="00C24E38"/>
    <w:rsid w:val="00C25761"/>
    <w:rsid w:val="00C27C47"/>
    <w:rsid w:val="00C32132"/>
    <w:rsid w:val="00C358EB"/>
    <w:rsid w:val="00C35CEC"/>
    <w:rsid w:val="00C37C7A"/>
    <w:rsid w:val="00C452C4"/>
    <w:rsid w:val="00C4609A"/>
    <w:rsid w:val="00C47813"/>
    <w:rsid w:val="00C54BDB"/>
    <w:rsid w:val="00C624A4"/>
    <w:rsid w:val="00C640A0"/>
    <w:rsid w:val="00C67B30"/>
    <w:rsid w:val="00C67FA2"/>
    <w:rsid w:val="00C7312E"/>
    <w:rsid w:val="00C73F77"/>
    <w:rsid w:val="00C76F48"/>
    <w:rsid w:val="00C77AE2"/>
    <w:rsid w:val="00C8515C"/>
    <w:rsid w:val="00C85584"/>
    <w:rsid w:val="00C8726A"/>
    <w:rsid w:val="00C87DDB"/>
    <w:rsid w:val="00C92D2F"/>
    <w:rsid w:val="00C96FEE"/>
    <w:rsid w:val="00C97DAC"/>
    <w:rsid w:val="00CA2675"/>
    <w:rsid w:val="00CA32FF"/>
    <w:rsid w:val="00CA5026"/>
    <w:rsid w:val="00CA67EE"/>
    <w:rsid w:val="00CA791A"/>
    <w:rsid w:val="00CB0CA2"/>
    <w:rsid w:val="00CB1442"/>
    <w:rsid w:val="00CC591C"/>
    <w:rsid w:val="00CC7CE2"/>
    <w:rsid w:val="00CD2C89"/>
    <w:rsid w:val="00CD3355"/>
    <w:rsid w:val="00CD76F4"/>
    <w:rsid w:val="00CD7DF8"/>
    <w:rsid w:val="00CE437E"/>
    <w:rsid w:val="00CE4476"/>
    <w:rsid w:val="00CF122F"/>
    <w:rsid w:val="00CF1BB6"/>
    <w:rsid w:val="00CF232B"/>
    <w:rsid w:val="00CF75E7"/>
    <w:rsid w:val="00D01794"/>
    <w:rsid w:val="00D03146"/>
    <w:rsid w:val="00D145F3"/>
    <w:rsid w:val="00D147E0"/>
    <w:rsid w:val="00D170BD"/>
    <w:rsid w:val="00D24E5A"/>
    <w:rsid w:val="00D26E3D"/>
    <w:rsid w:val="00D31976"/>
    <w:rsid w:val="00D372FC"/>
    <w:rsid w:val="00D423C1"/>
    <w:rsid w:val="00D44CA0"/>
    <w:rsid w:val="00D50F97"/>
    <w:rsid w:val="00D562CA"/>
    <w:rsid w:val="00D702BC"/>
    <w:rsid w:val="00D8077A"/>
    <w:rsid w:val="00D84340"/>
    <w:rsid w:val="00D85026"/>
    <w:rsid w:val="00D862A7"/>
    <w:rsid w:val="00D91C44"/>
    <w:rsid w:val="00D93A24"/>
    <w:rsid w:val="00D93EF1"/>
    <w:rsid w:val="00D953FE"/>
    <w:rsid w:val="00D95E0C"/>
    <w:rsid w:val="00D96A9D"/>
    <w:rsid w:val="00DA20EC"/>
    <w:rsid w:val="00DA533E"/>
    <w:rsid w:val="00DB3EBC"/>
    <w:rsid w:val="00DB4486"/>
    <w:rsid w:val="00DC2ABF"/>
    <w:rsid w:val="00DD248A"/>
    <w:rsid w:val="00DE0D86"/>
    <w:rsid w:val="00DE2740"/>
    <w:rsid w:val="00DE45B4"/>
    <w:rsid w:val="00DE6381"/>
    <w:rsid w:val="00DE7FBD"/>
    <w:rsid w:val="00DF6AE5"/>
    <w:rsid w:val="00DF71B3"/>
    <w:rsid w:val="00DF71DA"/>
    <w:rsid w:val="00DF7C4C"/>
    <w:rsid w:val="00E01ADD"/>
    <w:rsid w:val="00E16BCF"/>
    <w:rsid w:val="00E207BD"/>
    <w:rsid w:val="00E26F34"/>
    <w:rsid w:val="00E27825"/>
    <w:rsid w:val="00E30F21"/>
    <w:rsid w:val="00E33045"/>
    <w:rsid w:val="00E339C2"/>
    <w:rsid w:val="00E35FD8"/>
    <w:rsid w:val="00E36257"/>
    <w:rsid w:val="00E41D91"/>
    <w:rsid w:val="00E41DB8"/>
    <w:rsid w:val="00E43348"/>
    <w:rsid w:val="00E4564B"/>
    <w:rsid w:val="00E4583C"/>
    <w:rsid w:val="00E46AD5"/>
    <w:rsid w:val="00E5164F"/>
    <w:rsid w:val="00E548F5"/>
    <w:rsid w:val="00E645F4"/>
    <w:rsid w:val="00E652C2"/>
    <w:rsid w:val="00E67FE1"/>
    <w:rsid w:val="00E761A3"/>
    <w:rsid w:val="00E81D83"/>
    <w:rsid w:val="00E81DC1"/>
    <w:rsid w:val="00E83786"/>
    <w:rsid w:val="00E84CB4"/>
    <w:rsid w:val="00EA1F07"/>
    <w:rsid w:val="00EA2CAD"/>
    <w:rsid w:val="00EA3EB7"/>
    <w:rsid w:val="00EA448E"/>
    <w:rsid w:val="00EA6816"/>
    <w:rsid w:val="00EA7C88"/>
    <w:rsid w:val="00EB0E64"/>
    <w:rsid w:val="00EB26E7"/>
    <w:rsid w:val="00EB2A61"/>
    <w:rsid w:val="00EB5261"/>
    <w:rsid w:val="00EC0247"/>
    <w:rsid w:val="00EC15E7"/>
    <w:rsid w:val="00EC2FE1"/>
    <w:rsid w:val="00EC5CB2"/>
    <w:rsid w:val="00EC6281"/>
    <w:rsid w:val="00ED4886"/>
    <w:rsid w:val="00ED4C7A"/>
    <w:rsid w:val="00EE004C"/>
    <w:rsid w:val="00EE3B5C"/>
    <w:rsid w:val="00EE6368"/>
    <w:rsid w:val="00EF287F"/>
    <w:rsid w:val="00EF69C5"/>
    <w:rsid w:val="00F019F1"/>
    <w:rsid w:val="00F0493B"/>
    <w:rsid w:val="00F07C61"/>
    <w:rsid w:val="00F103BD"/>
    <w:rsid w:val="00F1521A"/>
    <w:rsid w:val="00F15C0B"/>
    <w:rsid w:val="00F212B2"/>
    <w:rsid w:val="00F25887"/>
    <w:rsid w:val="00F268BA"/>
    <w:rsid w:val="00F26E58"/>
    <w:rsid w:val="00F27831"/>
    <w:rsid w:val="00F370A0"/>
    <w:rsid w:val="00F4087D"/>
    <w:rsid w:val="00F4455A"/>
    <w:rsid w:val="00F468C2"/>
    <w:rsid w:val="00F50DAA"/>
    <w:rsid w:val="00F5141A"/>
    <w:rsid w:val="00F515EA"/>
    <w:rsid w:val="00F5272C"/>
    <w:rsid w:val="00F52B68"/>
    <w:rsid w:val="00F53B81"/>
    <w:rsid w:val="00F55965"/>
    <w:rsid w:val="00F56512"/>
    <w:rsid w:val="00F60B68"/>
    <w:rsid w:val="00F60E5D"/>
    <w:rsid w:val="00F62B5A"/>
    <w:rsid w:val="00F63799"/>
    <w:rsid w:val="00F64195"/>
    <w:rsid w:val="00F6641A"/>
    <w:rsid w:val="00F66C1C"/>
    <w:rsid w:val="00F71AB6"/>
    <w:rsid w:val="00F736B0"/>
    <w:rsid w:val="00F7758F"/>
    <w:rsid w:val="00F77A73"/>
    <w:rsid w:val="00F803E2"/>
    <w:rsid w:val="00F80D96"/>
    <w:rsid w:val="00F80F8D"/>
    <w:rsid w:val="00F9074E"/>
    <w:rsid w:val="00F93754"/>
    <w:rsid w:val="00FA1F6C"/>
    <w:rsid w:val="00FA6A2D"/>
    <w:rsid w:val="00FC03F2"/>
    <w:rsid w:val="00FC1313"/>
    <w:rsid w:val="00FD0924"/>
    <w:rsid w:val="00FD3418"/>
    <w:rsid w:val="00FD3500"/>
    <w:rsid w:val="00FD60E5"/>
    <w:rsid w:val="00FD70FE"/>
    <w:rsid w:val="00FE1360"/>
    <w:rsid w:val="00FE2982"/>
    <w:rsid w:val="00FE2E32"/>
    <w:rsid w:val="00FE4AD3"/>
    <w:rsid w:val="00FE60CC"/>
    <w:rsid w:val="00FF17BD"/>
    <w:rsid w:val="00FF3C63"/>
    <w:rsid w:val="00FF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D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47"/>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2F7208"/>
    <w:rPr>
      <w:b/>
      <w:bCs/>
    </w:rPr>
  </w:style>
  <w:style w:type="character" w:styleId="Hyperlink">
    <w:name w:val="Hyperlink"/>
    <w:basedOn w:val="DefaultParagraphFont"/>
    <w:uiPriority w:val="99"/>
    <w:semiHidden/>
    <w:unhideWhenUsed/>
    <w:rsid w:val="002F7208"/>
    <w:rPr>
      <w:color w:val="0000FF"/>
      <w:u w:val="single"/>
    </w:rPr>
  </w:style>
  <w:style w:type="paragraph" w:styleId="CommentText">
    <w:name w:val="annotation text"/>
    <w:basedOn w:val="Normal"/>
    <w:link w:val="CommentTextChar"/>
    <w:uiPriority w:val="99"/>
    <w:unhideWhenUsed/>
    <w:rsid w:val="00CC7CE2"/>
    <w:pPr>
      <w:spacing w:after="200"/>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C7CE2"/>
    <w:rPr>
      <w:sz w:val="20"/>
      <w:szCs w:val="20"/>
    </w:rPr>
  </w:style>
  <w:style w:type="paragraph" w:styleId="BalloonText">
    <w:name w:val="Balloon Text"/>
    <w:basedOn w:val="Normal"/>
    <w:link w:val="BalloonTextChar"/>
    <w:uiPriority w:val="99"/>
    <w:semiHidden/>
    <w:unhideWhenUsed/>
    <w:rsid w:val="00065405"/>
    <w:pPr>
      <w:spacing w:after="200" w:line="276" w:lineRule="auto"/>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65405"/>
    <w:rPr>
      <w:rFonts w:ascii="Tahoma" w:hAnsi="Tahoma" w:cs="Tahoma"/>
      <w:sz w:val="16"/>
      <w:szCs w:val="16"/>
    </w:rPr>
  </w:style>
  <w:style w:type="paragraph" w:customStyle="1" w:styleId="Default">
    <w:name w:val="Default"/>
    <w:rsid w:val="00187950"/>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187950"/>
    <w:rPr>
      <w:sz w:val="16"/>
      <w:szCs w:val="16"/>
    </w:rPr>
  </w:style>
  <w:style w:type="paragraph" w:styleId="CommentSubject">
    <w:name w:val="annotation subject"/>
    <w:basedOn w:val="CommentText"/>
    <w:next w:val="CommentText"/>
    <w:link w:val="CommentSubjectChar"/>
    <w:uiPriority w:val="99"/>
    <w:semiHidden/>
    <w:unhideWhenUsed/>
    <w:rsid w:val="00187950"/>
    <w:pPr>
      <w:spacing w:after="0"/>
      <w:jc w:val="left"/>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7950"/>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uiPriority w:val="59"/>
    <w:rsid w:val="00295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9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E722D"/>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AE722D"/>
    <w:rPr>
      <w:sz w:val="20"/>
      <w:szCs w:val="20"/>
    </w:rPr>
  </w:style>
  <w:style w:type="character" w:styleId="FootnoteReference">
    <w:name w:val="footnote reference"/>
    <w:basedOn w:val="DefaultParagraphFont"/>
    <w:uiPriority w:val="99"/>
    <w:semiHidden/>
    <w:unhideWhenUsed/>
    <w:rsid w:val="00AE722D"/>
    <w:rPr>
      <w:vertAlign w:val="superscript"/>
    </w:rPr>
  </w:style>
  <w:style w:type="table" w:styleId="LightList-Accent3">
    <w:name w:val="Light List Accent 3"/>
    <w:basedOn w:val="TableNormal"/>
    <w:uiPriority w:val="61"/>
    <w:rsid w:val="00AE722D"/>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75178E"/>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2D01"/>
    <w:pPr>
      <w:tabs>
        <w:tab w:val="center" w:pos="4513"/>
        <w:tab w:val="right" w:pos="9026"/>
      </w:tabs>
    </w:pPr>
  </w:style>
  <w:style w:type="character" w:customStyle="1" w:styleId="HeaderChar">
    <w:name w:val="Header Char"/>
    <w:basedOn w:val="DefaultParagraphFont"/>
    <w:link w:val="Header"/>
    <w:uiPriority w:val="99"/>
    <w:rsid w:val="00852D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2D01"/>
    <w:pPr>
      <w:tabs>
        <w:tab w:val="center" w:pos="4513"/>
        <w:tab w:val="right" w:pos="9026"/>
      </w:tabs>
    </w:pPr>
  </w:style>
  <w:style w:type="character" w:customStyle="1" w:styleId="FooterChar">
    <w:name w:val="Footer Char"/>
    <w:basedOn w:val="DefaultParagraphFont"/>
    <w:link w:val="Footer"/>
    <w:uiPriority w:val="99"/>
    <w:rsid w:val="00852D01"/>
    <w:rPr>
      <w:rFonts w:ascii="Times New Roman" w:eastAsia="Times New Roman" w:hAnsi="Times New Roman" w:cs="Times New Roman"/>
      <w:sz w:val="24"/>
      <w:szCs w:val="24"/>
      <w:lang w:eastAsia="en-GB"/>
    </w:rPr>
  </w:style>
  <w:style w:type="paragraph" w:styleId="NoSpacing">
    <w:name w:val="No Spacing"/>
    <w:uiPriority w:val="1"/>
    <w:qFormat/>
    <w:rsid w:val="003A2497"/>
    <w:pPr>
      <w:spacing w:after="0" w:line="240" w:lineRule="auto"/>
      <w:contextualSpacing/>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47"/>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2F7208"/>
    <w:rPr>
      <w:b/>
      <w:bCs/>
    </w:rPr>
  </w:style>
  <w:style w:type="character" w:styleId="Hyperlink">
    <w:name w:val="Hyperlink"/>
    <w:basedOn w:val="DefaultParagraphFont"/>
    <w:uiPriority w:val="99"/>
    <w:semiHidden/>
    <w:unhideWhenUsed/>
    <w:rsid w:val="002F7208"/>
    <w:rPr>
      <w:color w:val="0000FF"/>
      <w:u w:val="single"/>
    </w:rPr>
  </w:style>
  <w:style w:type="paragraph" w:styleId="CommentText">
    <w:name w:val="annotation text"/>
    <w:basedOn w:val="Normal"/>
    <w:link w:val="CommentTextChar"/>
    <w:uiPriority w:val="99"/>
    <w:unhideWhenUsed/>
    <w:rsid w:val="00CC7CE2"/>
    <w:pPr>
      <w:spacing w:after="200"/>
      <w:jc w:val="both"/>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C7CE2"/>
    <w:rPr>
      <w:sz w:val="20"/>
      <w:szCs w:val="20"/>
    </w:rPr>
  </w:style>
  <w:style w:type="paragraph" w:styleId="BalloonText">
    <w:name w:val="Balloon Text"/>
    <w:basedOn w:val="Normal"/>
    <w:link w:val="BalloonTextChar"/>
    <w:uiPriority w:val="99"/>
    <w:semiHidden/>
    <w:unhideWhenUsed/>
    <w:rsid w:val="00065405"/>
    <w:pPr>
      <w:spacing w:after="200" w:line="276" w:lineRule="auto"/>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65405"/>
    <w:rPr>
      <w:rFonts w:ascii="Tahoma" w:hAnsi="Tahoma" w:cs="Tahoma"/>
      <w:sz w:val="16"/>
      <w:szCs w:val="16"/>
    </w:rPr>
  </w:style>
  <w:style w:type="paragraph" w:customStyle="1" w:styleId="Default">
    <w:name w:val="Default"/>
    <w:rsid w:val="00187950"/>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187950"/>
    <w:rPr>
      <w:sz w:val="16"/>
      <w:szCs w:val="16"/>
    </w:rPr>
  </w:style>
  <w:style w:type="paragraph" w:styleId="CommentSubject">
    <w:name w:val="annotation subject"/>
    <w:basedOn w:val="CommentText"/>
    <w:next w:val="CommentText"/>
    <w:link w:val="CommentSubjectChar"/>
    <w:uiPriority w:val="99"/>
    <w:semiHidden/>
    <w:unhideWhenUsed/>
    <w:rsid w:val="00187950"/>
    <w:pPr>
      <w:spacing w:after="0"/>
      <w:jc w:val="left"/>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7950"/>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uiPriority w:val="59"/>
    <w:rsid w:val="00295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9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E722D"/>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AE722D"/>
    <w:rPr>
      <w:sz w:val="20"/>
      <w:szCs w:val="20"/>
    </w:rPr>
  </w:style>
  <w:style w:type="character" w:styleId="FootnoteReference">
    <w:name w:val="footnote reference"/>
    <w:basedOn w:val="DefaultParagraphFont"/>
    <w:uiPriority w:val="99"/>
    <w:semiHidden/>
    <w:unhideWhenUsed/>
    <w:rsid w:val="00AE722D"/>
    <w:rPr>
      <w:vertAlign w:val="superscript"/>
    </w:rPr>
  </w:style>
  <w:style w:type="table" w:styleId="LightList-Accent3">
    <w:name w:val="Light List Accent 3"/>
    <w:basedOn w:val="TableNormal"/>
    <w:uiPriority w:val="61"/>
    <w:rsid w:val="00AE722D"/>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75178E"/>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2D01"/>
    <w:pPr>
      <w:tabs>
        <w:tab w:val="center" w:pos="4513"/>
        <w:tab w:val="right" w:pos="9026"/>
      </w:tabs>
    </w:pPr>
  </w:style>
  <w:style w:type="character" w:customStyle="1" w:styleId="HeaderChar">
    <w:name w:val="Header Char"/>
    <w:basedOn w:val="DefaultParagraphFont"/>
    <w:link w:val="Header"/>
    <w:uiPriority w:val="99"/>
    <w:rsid w:val="00852D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2D01"/>
    <w:pPr>
      <w:tabs>
        <w:tab w:val="center" w:pos="4513"/>
        <w:tab w:val="right" w:pos="9026"/>
      </w:tabs>
    </w:pPr>
  </w:style>
  <w:style w:type="character" w:customStyle="1" w:styleId="FooterChar">
    <w:name w:val="Footer Char"/>
    <w:basedOn w:val="DefaultParagraphFont"/>
    <w:link w:val="Footer"/>
    <w:uiPriority w:val="99"/>
    <w:rsid w:val="00852D01"/>
    <w:rPr>
      <w:rFonts w:ascii="Times New Roman" w:eastAsia="Times New Roman" w:hAnsi="Times New Roman" w:cs="Times New Roman"/>
      <w:sz w:val="24"/>
      <w:szCs w:val="24"/>
      <w:lang w:eastAsia="en-GB"/>
    </w:rPr>
  </w:style>
  <w:style w:type="paragraph" w:styleId="NoSpacing">
    <w:name w:val="No Spacing"/>
    <w:uiPriority w:val="1"/>
    <w:qFormat/>
    <w:rsid w:val="003A2497"/>
    <w:pPr>
      <w:spacing w:after="0" w:line="240" w:lineRule="auto"/>
      <w:contextualSpacing/>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4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114">
          <w:marLeft w:val="0"/>
          <w:marRight w:val="0"/>
          <w:marTop w:val="0"/>
          <w:marBottom w:val="0"/>
          <w:divBdr>
            <w:top w:val="none" w:sz="0" w:space="0" w:color="auto"/>
            <w:left w:val="none" w:sz="0" w:space="0" w:color="auto"/>
            <w:bottom w:val="none" w:sz="0" w:space="0" w:color="auto"/>
            <w:right w:val="none" w:sz="0" w:space="0" w:color="auto"/>
          </w:divBdr>
          <w:divsChild>
            <w:div w:id="1608808806">
              <w:marLeft w:val="0"/>
              <w:marRight w:val="0"/>
              <w:marTop w:val="0"/>
              <w:marBottom w:val="0"/>
              <w:divBdr>
                <w:top w:val="none" w:sz="0" w:space="0" w:color="auto"/>
                <w:left w:val="none" w:sz="0" w:space="0" w:color="auto"/>
                <w:bottom w:val="none" w:sz="0" w:space="0" w:color="auto"/>
                <w:right w:val="none" w:sz="0" w:space="0" w:color="auto"/>
              </w:divBdr>
              <w:divsChild>
                <w:div w:id="1815755956">
                  <w:marLeft w:val="0"/>
                  <w:marRight w:val="0"/>
                  <w:marTop w:val="0"/>
                  <w:marBottom w:val="326"/>
                  <w:divBdr>
                    <w:top w:val="none" w:sz="0" w:space="0" w:color="auto"/>
                    <w:left w:val="none" w:sz="0" w:space="0" w:color="auto"/>
                    <w:bottom w:val="none" w:sz="0" w:space="0" w:color="auto"/>
                    <w:right w:val="none" w:sz="0" w:space="0" w:color="auto"/>
                  </w:divBdr>
                  <w:divsChild>
                    <w:div w:id="2030138432">
                      <w:marLeft w:val="0"/>
                      <w:marRight w:val="0"/>
                      <w:marTop w:val="0"/>
                      <w:marBottom w:val="0"/>
                      <w:divBdr>
                        <w:top w:val="none" w:sz="0" w:space="0" w:color="auto"/>
                        <w:left w:val="none" w:sz="0" w:space="0" w:color="auto"/>
                        <w:bottom w:val="none" w:sz="0" w:space="0" w:color="auto"/>
                        <w:right w:val="none" w:sz="0" w:space="0" w:color="auto"/>
                      </w:divBdr>
                      <w:divsChild>
                        <w:div w:id="27486659">
                          <w:marLeft w:val="0"/>
                          <w:marRight w:val="0"/>
                          <w:marTop w:val="0"/>
                          <w:marBottom w:val="0"/>
                          <w:divBdr>
                            <w:top w:val="none" w:sz="0" w:space="0" w:color="auto"/>
                            <w:left w:val="none" w:sz="0" w:space="0" w:color="auto"/>
                            <w:bottom w:val="none" w:sz="0" w:space="0" w:color="auto"/>
                            <w:right w:val="none" w:sz="0" w:space="0" w:color="auto"/>
                          </w:divBdr>
                          <w:divsChild>
                            <w:div w:id="2045716886">
                              <w:marLeft w:val="0"/>
                              <w:marRight w:val="0"/>
                              <w:marTop w:val="0"/>
                              <w:marBottom w:val="0"/>
                              <w:divBdr>
                                <w:top w:val="none" w:sz="0" w:space="0" w:color="auto"/>
                                <w:left w:val="none" w:sz="0" w:space="0" w:color="auto"/>
                                <w:bottom w:val="none" w:sz="0" w:space="0" w:color="auto"/>
                                <w:right w:val="none" w:sz="0" w:space="0" w:color="auto"/>
                              </w:divBdr>
                              <w:divsChild>
                                <w:div w:id="341274478">
                                  <w:marLeft w:val="0"/>
                                  <w:marRight w:val="0"/>
                                  <w:marTop w:val="0"/>
                                  <w:marBottom w:val="0"/>
                                  <w:divBdr>
                                    <w:top w:val="none" w:sz="0" w:space="0" w:color="auto"/>
                                    <w:left w:val="none" w:sz="0" w:space="0" w:color="auto"/>
                                    <w:bottom w:val="none" w:sz="0" w:space="0" w:color="auto"/>
                                    <w:right w:val="none" w:sz="0" w:space="0" w:color="auto"/>
                                  </w:divBdr>
                                  <w:divsChild>
                                    <w:div w:id="15406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280278">
      <w:bodyDiv w:val="1"/>
      <w:marLeft w:val="0"/>
      <w:marRight w:val="0"/>
      <w:marTop w:val="0"/>
      <w:marBottom w:val="0"/>
      <w:divBdr>
        <w:top w:val="none" w:sz="0" w:space="0" w:color="auto"/>
        <w:left w:val="none" w:sz="0" w:space="0" w:color="auto"/>
        <w:bottom w:val="none" w:sz="0" w:space="0" w:color="auto"/>
        <w:right w:val="none" w:sz="0" w:space="0" w:color="auto"/>
      </w:divBdr>
    </w:div>
    <w:div w:id="1679769251">
      <w:bodyDiv w:val="1"/>
      <w:marLeft w:val="0"/>
      <w:marRight w:val="0"/>
      <w:marTop w:val="0"/>
      <w:marBottom w:val="0"/>
      <w:divBdr>
        <w:top w:val="none" w:sz="0" w:space="0" w:color="auto"/>
        <w:left w:val="none" w:sz="0" w:space="0" w:color="auto"/>
        <w:bottom w:val="none" w:sz="0" w:space="0" w:color="auto"/>
        <w:right w:val="none" w:sz="0" w:space="0" w:color="auto"/>
      </w:divBdr>
      <w:divsChild>
        <w:div w:id="815951891">
          <w:marLeft w:val="0"/>
          <w:marRight w:val="0"/>
          <w:marTop w:val="0"/>
          <w:marBottom w:val="0"/>
          <w:divBdr>
            <w:top w:val="none" w:sz="0" w:space="0" w:color="auto"/>
            <w:left w:val="none" w:sz="0" w:space="0" w:color="auto"/>
            <w:bottom w:val="none" w:sz="0" w:space="0" w:color="auto"/>
            <w:right w:val="none" w:sz="0" w:space="0" w:color="auto"/>
          </w:divBdr>
        </w:div>
        <w:div w:id="1025407072">
          <w:marLeft w:val="0"/>
          <w:marRight w:val="0"/>
          <w:marTop w:val="0"/>
          <w:marBottom w:val="0"/>
          <w:divBdr>
            <w:top w:val="none" w:sz="0" w:space="0" w:color="auto"/>
            <w:left w:val="none" w:sz="0" w:space="0" w:color="auto"/>
            <w:bottom w:val="none" w:sz="0" w:space="0" w:color="auto"/>
            <w:right w:val="none" w:sz="0" w:space="0" w:color="auto"/>
          </w:divBdr>
        </w:div>
        <w:div w:id="672218365">
          <w:marLeft w:val="0"/>
          <w:marRight w:val="0"/>
          <w:marTop w:val="0"/>
          <w:marBottom w:val="0"/>
          <w:divBdr>
            <w:top w:val="none" w:sz="0" w:space="0" w:color="auto"/>
            <w:left w:val="none" w:sz="0" w:space="0" w:color="auto"/>
            <w:bottom w:val="none" w:sz="0" w:space="0" w:color="auto"/>
            <w:right w:val="none" w:sz="0" w:space="0" w:color="auto"/>
          </w:divBdr>
        </w:div>
        <w:div w:id="1420714687">
          <w:marLeft w:val="0"/>
          <w:marRight w:val="0"/>
          <w:marTop w:val="0"/>
          <w:marBottom w:val="0"/>
          <w:divBdr>
            <w:top w:val="none" w:sz="0" w:space="0" w:color="auto"/>
            <w:left w:val="none" w:sz="0" w:space="0" w:color="auto"/>
            <w:bottom w:val="none" w:sz="0" w:space="0" w:color="auto"/>
            <w:right w:val="none" w:sz="0" w:space="0" w:color="auto"/>
          </w:divBdr>
        </w:div>
      </w:divsChild>
    </w:div>
    <w:div w:id="2043744407">
      <w:bodyDiv w:val="1"/>
      <w:marLeft w:val="0"/>
      <w:marRight w:val="0"/>
      <w:marTop w:val="0"/>
      <w:marBottom w:val="0"/>
      <w:divBdr>
        <w:top w:val="none" w:sz="0" w:space="0" w:color="auto"/>
        <w:left w:val="none" w:sz="0" w:space="0" w:color="auto"/>
        <w:bottom w:val="none" w:sz="0" w:space="0" w:color="auto"/>
        <w:right w:val="none" w:sz="0" w:space="0" w:color="auto"/>
      </w:divBdr>
      <w:divsChild>
        <w:div w:id="1686974767">
          <w:marLeft w:val="0"/>
          <w:marRight w:val="0"/>
          <w:marTop w:val="0"/>
          <w:marBottom w:val="0"/>
          <w:divBdr>
            <w:top w:val="none" w:sz="0" w:space="0" w:color="auto"/>
            <w:left w:val="none" w:sz="0" w:space="0" w:color="auto"/>
            <w:bottom w:val="none" w:sz="0" w:space="0" w:color="auto"/>
            <w:right w:val="none" w:sz="0" w:space="0" w:color="auto"/>
          </w:divBdr>
        </w:div>
        <w:div w:id="1610896940">
          <w:marLeft w:val="0"/>
          <w:marRight w:val="0"/>
          <w:marTop w:val="0"/>
          <w:marBottom w:val="0"/>
          <w:divBdr>
            <w:top w:val="none" w:sz="0" w:space="0" w:color="auto"/>
            <w:left w:val="none" w:sz="0" w:space="0" w:color="auto"/>
            <w:bottom w:val="none" w:sz="0" w:space="0" w:color="auto"/>
            <w:right w:val="none" w:sz="0" w:space="0" w:color="auto"/>
          </w:divBdr>
        </w:div>
        <w:div w:id="136649863">
          <w:marLeft w:val="0"/>
          <w:marRight w:val="0"/>
          <w:marTop w:val="0"/>
          <w:marBottom w:val="0"/>
          <w:divBdr>
            <w:top w:val="none" w:sz="0" w:space="0" w:color="auto"/>
            <w:left w:val="none" w:sz="0" w:space="0" w:color="auto"/>
            <w:bottom w:val="none" w:sz="0" w:space="0" w:color="auto"/>
            <w:right w:val="none" w:sz="0" w:space="0" w:color="auto"/>
          </w:divBdr>
        </w:div>
        <w:div w:id="11116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0E3D3-21C3-478A-A9D6-BE157960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8210</Words>
  <Characters>46883</Characters>
  <Application>Microsoft Office Word</Application>
  <DocSecurity>0</DocSecurity>
  <Lines>1090</Lines>
  <Paragraphs>382</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54711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2015-01-28T12:39:00Z</cp:lastPrinted>
  <dcterms:created xsi:type="dcterms:W3CDTF">2016-01-22T16:47:00Z</dcterms:created>
  <dcterms:modified xsi:type="dcterms:W3CDTF">2016-01-22T16:47:00Z</dcterms:modified>
</cp:coreProperties>
</file>