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4E64" w14:textId="77777777" w:rsidR="0003733D" w:rsidRPr="00D2741F" w:rsidRDefault="0003733D" w:rsidP="00BC7FC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tabs>
          <w:tab w:val="left" w:pos="8789"/>
        </w:tabs>
        <w:spacing w:after="0" w:line="240" w:lineRule="auto"/>
        <w:ind w:right="4490"/>
        <w:rPr>
          <w:rFonts w:asciiTheme="minorHAnsi" w:hAnsiTheme="minorHAnsi" w:cstheme="minorHAnsi"/>
          <w:bCs/>
        </w:rPr>
      </w:pPr>
      <w:r w:rsidRPr="00D2741F">
        <w:rPr>
          <w:rFonts w:asciiTheme="minorHAnsi" w:hAnsiTheme="minorHAnsi"/>
          <w:bCs/>
        </w:rPr>
        <w:t>LA CONVENCIÓN SOBRE LOS HUMEDALES</w:t>
      </w:r>
    </w:p>
    <w:p w14:paraId="78C70AF9" w14:textId="77777777" w:rsidR="0003733D" w:rsidRPr="00D2741F" w:rsidRDefault="0003733D" w:rsidP="00BC7FC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tabs>
          <w:tab w:val="left" w:pos="8789"/>
        </w:tabs>
        <w:spacing w:after="0" w:line="240" w:lineRule="auto"/>
        <w:ind w:right="4490"/>
        <w:rPr>
          <w:rFonts w:asciiTheme="minorHAnsi" w:hAnsiTheme="minorHAnsi" w:cstheme="minorHAnsi"/>
          <w:bCs/>
        </w:rPr>
      </w:pPr>
      <w:r w:rsidRPr="00D2741F">
        <w:rPr>
          <w:rFonts w:asciiTheme="minorHAnsi" w:hAnsiTheme="minorHAnsi"/>
          <w:bCs/>
        </w:rPr>
        <w:t>62ª reunión del Comité Perma</w:t>
      </w:r>
      <w:bookmarkStart w:id="0" w:name="_GoBack"/>
      <w:bookmarkEnd w:id="0"/>
      <w:r w:rsidRPr="00D2741F">
        <w:rPr>
          <w:rFonts w:asciiTheme="minorHAnsi" w:hAnsiTheme="minorHAnsi"/>
          <w:bCs/>
        </w:rPr>
        <w:t>nente</w:t>
      </w:r>
    </w:p>
    <w:p w14:paraId="06FCD897" w14:textId="77777777" w:rsidR="0003733D" w:rsidRPr="00D2741F" w:rsidRDefault="0003733D" w:rsidP="00BC7FC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tabs>
          <w:tab w:val="left" w:pos="8789"/>
        </w:tabs>
        <w:spacing w:after="0" w:line="240" w:lineRule="auto"/>
        <w:ind w:right="4490"/>
        <w:rPr>
          <w:rFonts w:asciiTheme="minorHAnsi" w:hAnsiTheme="minorHAnsi" w:cstheme="minorHAnsi"/>
          <w:bCs/>
        </w:rPr>
      </w:pPr>
      <w:r w:rsidRPr="00D2741F">
        <w:rPr>
          <w:rFonts w:asciiTheme="minorHAnsi" w:hAnsiTheme="minorHAnsi"/>
          <w:bCs/>
        </w:rPr>
        <w:t>Gland, Suiza, 4 a 8 de septiembre de 2023</w:t>
      </w:r>
    </w:p>
    <w:p w14:paraId="2D0DBC26" w14:textId="77777777" w:rsidR="0003733D" w:rsidRPr="00D2741F" w:rsidRDefault="0003733D" w:rsidP="00BC7FCF">
      <w:pPr>
        <w:tabs>
          <w:tab w:val="left" w:pos="8789"/>
        </w:tabs>
        <w:spacing w:after="0" w:line="240" w:lineRule="auto"/>
        <w:ind w:right="4490"/>
      </w:pPr>
    </w:p>
    <w:p w14:paraId="02F7C67D" w14:textId="740ECF4D" w:rsidR="0003733D" w:rsidRPr="00D2741F" w:rsidRDefault="0003733D" w:rsidP="00BC7FC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D2741F">
        <w:rPr>
          <w:rFonts w:asciiTheme="minorHAnsi" w:hAnsiTheme="minorHAnsi"/>
          <w:b/>
          <w:sz w:val="28"/>
          <w:szCs w:val="28"/>
        </w:rPr>
        <w:t>SC62 Doc.16.2</w:t>
      </w:r>
    </w:p>
    <w:p w14:paraId="7686643A" w14:textId="77777777" w:rsidR="0003733D" w:rsidRPr="00D2741F" w:rsidRDefault="0003733D" w:rsidP="00BC7FC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3273EC26" w14:textId="21559A68" w:rsidR="0003733D" w:rsidRPr="00D2741F" w:rsidRDefault="0003733D" w:rsidP="00BC7F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2741F">
        <w:rPr>
          <w:rFonts w:asciiTheme="minorHAnsi" w:hAnsiTheme="minorHAnsi"/>
          <w:b/>
          <w:bCs/>
          <w:sz w:val="28"/>
          <w:szCs w:val="28"/>
        </w:rPr>
        <w:t>Comunicación, creación de capacidad, educación, concienciación y participación (CECoP)</w:t>
      </w:r>
      <w:r w:rsidR="00C04118">
        <w:rPr>
          <w:rFonts w:asciiTheme="minorHAnsi" w:hAnsiTheme="minorHAnsi"/>
          <w:b/>
          <w:bCs/>
          <w:sz w:val="28"/>
          <w:szCs w:val="28"/>
        </w:rPr>
        <w:t>:</w:t>
      </w:r>
    </w:p>
    <w:p w14:paraId="01EBB504" w14:textId="29D958F7" w:rsidR="001E2F37" w:rsidRPr="00D2741F" w:rsidRDefault="00A611BF" w:rsidP="00BC7F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2741F">
        <w:rPr>
          <w:rFonts w:asciiTheme="minorHAnsi" w:hAnsiTheme="minorHAnsi"/>
          <w:b/>
          <w:bCs/>
          <w:sz w:val="28"/>
          <w:szCs w:val="28"/>
        </w:rPr>
        <w:t xml:space="preserve">Plan de trabajo del Grupo de Supervisión de las Actividades de CECoP, </w:t>
      </w:r>
      <w:r w:rsidR="00C04118">
        <w:rPr>
          <w:rFonts w:asciiTheme="minorHAnsi" w:hAnsiTheme="minorHAnsi"/>
          <w:b/>
          <w:bCs/>
          <w:sz w:val="28"/>
          <w:szCs w:val="28"/>
        </w:rPr>
        <w:br/>
      </w:r>
      <w:r w:rsidRPr="00D2741F">
        <w:rPr>
          <w:rFonts w:asciiTheme="minorHAnsi" w:hAnsiTheme="minorHAnsi"/>
          <w:b/>
          <w:bCs/>
          <w:sz w:val="28"/>
          <w:szCs w:val="28"/>
        </w:rPr>
        <w:t>2023-2025</w:t>
      </w:r>
    </w:p>
    <w:p w14:paraId="7C8D4929" w14:textId="07FD660C" w:rsidR="005B43FD" w:rsidRPr="00D2741F" w:rsidRDefault="005B43FD" w:rsidP="00BC7FCF">
      <w:pPr>
        <w:spacing w:after="0" w:line="240" w:lineRule="auto"/>
      </w:pPr>
    </w:p>
    <w:p w14:paraId="1F4092EF" w14:textId="772AC8BA" w:rsidR="00BC7FCF" w:rsidRPr="00D2741F" w:rsidRDefault="00BC7FCF" w:rsidP="00BC7FCF">
      <w:pPr>
        <w:spacing w:after="0" w:line="240" w:lineRule="auto"/>
      </w:pPr>
      <w:r w:rsidRPr="00D2741F">
        <w:rPr>
          <w:rFonts w:asciiTheme="minorHAnsi" w:hAnsiTheme="minorHAns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inline distT="0" distB="0" distL="0" distR="0" wp14:anchorId="3F639243" wp14:editId="5FEAF02E">
                <wp:extent cx="5731510" cy="939800"/>
                <wp:effectExtent l="0" t="0" r="2159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F344" w14:textId="77777777" w:rsidR="00490BC2" w:rsidRPr="000E637A" w:rsidRDefault="00490BC2" w:rsidP="00490BC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Acción solicitada:</w:t>
                            </w:r>
                          </w:p>
                          <w:p w14:paraId="4D65463B" w14:textId="77777777" w:rsidR="00490BC2" w:rsidRDefault="00490BC2" w:rsidP="00490BC2">
                            <w:pPr>
                              <w:pStyle w:val="ColorfulList-Accent11"/>
                              <w:ind w:left="0"/>
                            </w:pPr>
                          </w:p>
                          <w:p w14:paraId="57036F6D" w14:textId="25AED090" w:rsidR="00490BC2" w:rsidRDefault="00490BC2" w:rsidP="00490BC2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>Se invita al Comité Permanente a tomar nota del plan de trabajo del Grupo de Supervisión de las Actividades de CECoP para 2023-2025.</w:t>
                            </w:r>
                          </w:p>
                          <w:p w14:paraId="64AA9BE8" w14:textId="77777777" w:rsidR="00BC7FCF" w:rsidRDefault="00BC7FCF" w:rsidP="00490BC2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E631C3" w14:textId="77777777" w:rsidR="00BC7FCF" w:rsidRPr="007F7F60" w:rsidRDefault="00BC7FCF" w:rsidP="00BC7F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639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BuJAIAAEYEAAAOAAAAZHJzL2Uyb0RvYy54bWysU9uO2yAQfa/Uf0C8N469SbOx4qy22aaq&#10;tL1Iu/0AjHGMCgwFEjv9+g44m4227UtVHhDDDIczZ2ZWN4NW5CCcl2Aqmk+mlAjDoZFmV9Fvj9s3&#10;15T4wEzDFBhR0aPw9Gb9+tWqt6UooAPVCEcQxPiytxXtQrBllnneCc38BKww6GzBaRbQdLuscaxH&#10;dK2yYjp9m/XgGuuAC+/x9m500nXCb1vBw5e29SIQVVHkFtLu0l7HPVuvWLlzzHaSn2iwf2ChmTT4&#10;6RnqjgVG9k7+BqUld+ChDRMOOoO2lVykHDCbfPoim4eOWZFyQXG8Pcvk/x8s/3z46ohsKlrkC0oM&#10;01ikRzEE8g4GUkR9eutLDHuwGBgGvMY6p1y9vQf+3RMDm46Znbh1DvpOsAb55fFldvF0xPERpO4/&#10;QYPfsH2ABDS0TkfxUA6C6Fin47k2kQrHy/niKp/n6OLoW14tr6epeBkrn15b58MHAZrEQ0Ud1j6h&#10;s8O9D5ENK59C4mcelGy2UqlkuF29UY4cGPbJNq2UwIswZUiPv8+L+SjAXyGmaf0JQsuADa+kriim&#10;gCsGsTLK9t406RyYVOMZKStz0jFKN4oYhnrAwChuDc0RFXUwNjYOIh46cD8p6bGpK+p/7JkTlKiP&#10;BquyzGezOAXJmM0XBRru0lNfepjhCFXRQMl43IQ0OZGvgVusXiuTsM9MTlyxWZPep8GK03Bpp6jn&#10;8V//AgAA//8DAFBLAwQUAAYACAAAACEAlnEeE9wAAAAFAQAADwAAAGRycy9kb3ducmV2LnhtbEyP&#10;wU7DMBBE70j8g7VIXFBrU6qQhjgVQgLBDUoFVzfeJhH2OsRuGv6ehQtcRlrNaOZtuZ68EyMOsQuk&#10;4XKuQCDVwXbUaNi+3s9yEDEZssYFQg1fGGFdnZ6UprDhSC84blIjuIRiYTS0KfWFlLFu0Zs4Dz0S&#10;e/sweJP4HBppB3Pkcu/kQqlMetMRL7Smx7sW64/NwWvIl4/je3y6en6rs71bpYvr8eFz0Pr8bLq9&#10;AZFwSn9h+MFndKiYaRcOZKNwGviR9KvsrdQiA7Hj0DJXIKtS/qevvgEAAP//AwBQSwECLQAUAAYA&#10;CAAAACEAtoM4kv4AAADhAQAAEwAAAAAAAAAAAAAAAAAAAAAAW0NvbnRlbnRfVHlwZXNdLnhtbFBL&#10;AQItABQABgAIAAAAIQA4/SH/1gAAAJQBAAALAAAAAAAAAAAAAAAAAC8BAABfcmVscy8ucmVsc1BL&#10;AQItABQABgAIAAAAIQAOUHBuJAIAAEYEAAAOAAAAAAAAAAAAAAAAAC4CAABkcnMvZTJvRG9jLnht&#10;bFBLAQItABQABgAIAAAAIQCWcR4T3AAAAAUBAAAPAAAAAAAAAAAAAAAAAH4EAABkcnMvZG93bnJl&#10;di54bWxQSwUGAAAAAAQABADzAAAAhwUAAAAA&#10;">
                <v:textbox>
                  <w:txbxContent>
                    <w:p w14:paraId="1F34F344" w14:textId="77777777" w:rsidR="00490BC2" w:rsidRPr="000E637A" w:rsidRDefault="00490BC2" w:rsidP="00490BC2">
                      <w:pPr>
                        <w:spacing w:after="0" w:line="240" w:lineRule="auto"/>
                        <w:rPr>
                          <w:b/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  <w:rFonts w:asciiTheme="minorHAnsi" w:hAnsiTheme="minorHAnsi"/>
                        </w:rPr>
                        <w:t xml:space="preserve">Acción solicitada:</w:t>
                      </w:r>
                    </w:p>
                    <w:p w14:paraId="4D65463B" w14:textId="77777777" w:rsidR="00490BC2" w:rsidRDefault="00490BC2" w:rsidP="00490BC2">
                      <w:pPr>
                        <w:pStyle w:val="ColorfulList-Accent11"/>
                        <w:ind w:left="0"/>
                      </w:pPr>
                    </w:p>
                    <w:p w14:paraId="57036F6D" w14:textId="25AED090" w:rsidR="00490BC2" w:rsidRDefault="00490BC2" w:rsidP="00490BC2">
                      <w:pPr>
                        <w:pStyle w:val="ColorfulList-Accent11"/>
                        <w:ind w:left="0" w:firstLine="0"/>
                      </w:pPr>
                      <w:r>
                        <w:t xml:space="preserve">Se invita al Comité Permanente a tomar nota del plan de trabajo del Grupo de Supervisión de las Actividades de CECoP para 2023-2025.</w:t>
                      </w:r>
                    </w:p>
                    <w:p w14:paraId="64AA9BE8" w14:textId="77777777" w:rsidR="00BC7FCF" w:rsidRDefault="00BC7FCF" w:rsidP="00490BC2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2CE631C3" w14:textId="77777777" w:rsidR="00BC7FCF" w:rsidRPr="007F7F60" w:rsidRDefault="00BC7FCF" w:rsidP="00BC7FC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90F156" w14:textId="26BB4325" w:rsidR="005B43FD" w:rsidRPr="00D2741F" w:rsidRDefault="005B43FD" w:rsidP="00BC7FCF">
      <w:pPr>
        <w:spacing w:after="0" w:line="240" w:lineRule="auto"/>
      </w:pPr>
    </w:p>
    <w:p w14:paraId="790BA2A7" w14:textId="77777777" w:rsidR="00490BC2" w:rsidRPr="00D2741F" w:rsidRDefault="00490BC2" w:rsidP="00BC7FCF">
      <w:pPr>
        <w:spacing w:after="0" w:line="240" w:lineRule="auto"/>
      </w:pPr>
    </w:p>
    <w:p w14:paraId="157D71C1" w14:textId="31F2C39D" w:rsidR="007954C4" w:rsidRPr="00D2741F" w:rsidRDefault="005B43FD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D2741F">
        <w:rPr>
          <w:rFonts w:asciiTheme="minorHAnsi" w:hAnsiTheme="minorHAnsi"/>
        </w:rPr>
        <w:t>1.</w:t>
      </w:r>
      <w:r w:rsidRPr="00D2741F">
        <w:rPr>
          <w:rFonts w:asciiTheme="minorHAnsi" w:hAnsiTheme="minorHAnsi"/>
        </w:rPr>
        <w:tab/>
        <w:t>El Grupo de Supervisión (GS) de las Actividades de CECoP de la Convención sobre los Humedales se reunió a principios de 2023 y elaboró un plan de trabajo para presentarlo a la 62</w:t>
      </w:r>
      <w:r w:rsidR="00EC4CBB" w:rsidRPr="00EC4CBB">
        <w:rPr>
          <w:rFonts w:asciiTheme="minorHAnsi" w:hAnsiTheme="minorHAnsi"/>
          <w:vertAlign w:val="superscript"/>
        </w:rPr>
        <w:t>a</w:t>
      </w:r>
      <w:r w:rsidRPr="00D2741F">
        <w:rPr>
          <w:rFonts w:asciiTheme="minorHAnsi" w:hAnsiTheme="minorHAnsi"/>
        </w:rPr>
        <w:t xml:space="preserve"> reunión del Comité Permanente (SC62)</w:t>
      </w:r>
      <w:r w:rsidR="00D2741F" w:rsidRPr="00D2741F">
        <w:rPr>
          <w:rFonts w:asciiTheme="minorHAnsi" w:hAnsiTheme="minorHAnsi"/>
        </w:rPr>
        <w:t xml:space="preserve"> </w:t>
      </w:r>
      <w:r w:rsidRPr="00D2741F">
        <w:rPr>
          <w:rFonts w:asciiTheme="minorHAnsi" w:hAnsiTheme="minorHAnsi"/>
        </w:rPr>
        <w:t xml:space="preserve">con el fin de informar al Comité, de conformidad con lo previsto en el párrafo 11 de la Resolución XIV.8 sobre </w:t>
      </w:r>
      <w:r w:rsidRPr="00D2741F">
        <w:rPr>
          <w:rFonts w:asciiTheme="minorHAnsi" w:hAnsiTheme="minorHAnsi"/>
          <w:i/>
          <w:iCs/>
        </w:rPr>
        <w:t>Nuevo enfoque de CECoP</w:t>
      </w:r>
      <w:r w:rsidRPr="00D2741F">
        <w:rPr>
          <w:rFonts w:asciiTheme="minorHAnsi" w:hAnsiTheme="minorHAnsi"/>
        </w:rPr>
        <w:t>. Este plan de trabajo guiará las actividades del Grupo durante el trienio, hasta la COP15 en 2025.</w:t>
      </w:r>
    </w:p>
    <w:p w14:paraId="4A12C60E" w14:textId="77777777" w:rsidR="007954C4" w:rsidRPr="00D2741F" w:rsidRDefault="007954C4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14:paraId="4A8C0FCD" w14:textId="18B5273B" w:rsidR="00A611BF" w:rsidRPr="00D2741F" w:rsidRDefault="007954C4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D2741F">
        <w:rPr>
          <w:rFonts w:asciiTheme="minorHAnsi" w:hAnsiTheme="minorHAnsi"/>
        </w:rPr>
        <w:t>2.</w:t>
      </w:r>
      <w:r w:rsidRPr="00D2741F">
        <w:rPr>
          <w:rFonts w:asciiTheme="minorHAnsi" w:hAnsiTheme="minorHAnsi"/>
        </w:rPr>
        <w:tab/>
        <w:t>El plan de trabajo, incluido en el anexo 1 del presente documento, se basa en el nuevo enfoque de CECoP definido en la Resolución XIV.8 adoptada en la COP14 en Wuhan y Ginebra, y tiene como objetivo materializar los principios básicos del nuevo enfoque, que son priorizar y simplificar, integrarse mejor en el Plan Estratégico y aumentar la eficacia del programa de CECoP a través de todos los órganos de la Convención.</w:t>
      </w:r>
    </w:p>
    <w:p w14:paraId="725649F4" w14:textId="77777777" w:rsidR="005B43FD" w:rsidRPr="00D2741F" w:rsidRDefault="005B43FD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14:paraId="6600052F" w14:textId="77777777" w:rsidR="0003733D" w:rsidRPr="00D2741F" w:rsidRDefault="0003733D" w:rsidP="00BC7FCF">
      <w:pPr>
        <w:spacing w:after="0" w:line="240" w:lineRule="auto"/>
        <w:sectPr w:rsidR="0003733D" w:rsidRPr="00D2741F" w:rsidSect="000373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86A103" w14:textId="258D5306" w:rsidR="00A611BF" w:rsidRPr="00D2741F" w:rsidRDefault="005B43FD" w:rsidP="00BC7FC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2741F">
        <w:rPr>
          <w:rFonts w:asciiTheme="minorHAnsi" w:hAnsiTheme="minorHAnsi"/>
          <w:b/>
          <w:sz w:val="24"/>
          <w:szCs w:val="24"/>
        </w:rPr>
        <w:lastRenderedPageBreak/>
        <w:t>Anexo 1</w:t>
      </w:r>
    </w:p>
    <w:p w14:paraId="682F3E20" w14:textId="77777777" w:rsidR="005B43FD" w:rsidRPr="00D2741F" w:rsidRDefault="005B43FD" w:rsidP="00BC7FC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2741F">
        <w:rPr>
          <w:rFonts w:asciiTheme="minorHAnsi" w:hAnsiTheme="minorHAnsi"/>
          <w:b/>
          <w:bCs/>
          <w:sz w:val="24"/>
          <w:szCs w:val="24"/>
        </w:rPr>
        <w:t>Plan de trabajo del Grupo de Supervisión de las Actividades de CECoP, 2023-2025</w:t>
      </w:r>
    </w:p>
    <w:p w14:paraId="39B6D21D" w14:textId="37F6ABAC" w:rsidR="005B43FD" w:rsidRPr="00D2741F" w:rsidRDefault="005B43FD" w:rsidP="00BC7FCF">
      <w:pPr>
        <w:spacing w:after="0" w:line="240" w:lineRule="auto"/>
      </w:pPr>
    </w:p>
    <w:p w14:paraId="0D24C279" w14:textId="6CB25143" w:rsidR="00BC7FCF" w:rsidRPr="00D2741F" w:rsidRDefault="00BC7FCF" w:rsidP="00BC7FCF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1915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050464" w:rsidRPr="00D2741F" w14:paraId="76D5B8F3" w14:textId="77777777" w:rsidTr="00C04118">
        <w:trPr>
          <w:cantSplit/>
          <w:tblHeader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BBEB1" w14:textId="285A5AA7" w:rsidR="00050464" w:rsidRPr="00D2741F" w:rsidRDefault="00050464" w:rsidP="00050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  <w:b/>
                <w:bCs/>
              </w:rPr>
              <w:t>Área de trabajo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F5488" w14:textId="5588C05C" w:rsidR="00050464" w:rsidRPr="00D2741F" w:rsidRDefault="00050464" w:rsidP="00050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  <w:b/>
                <w:bCs/>
              </w:rPr>
              <w:t>Tareas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AC325" w14:textId="1313ECA2" w:rsidR="00050464" w:rsidRPr="00D2741F" w:rsidRDefault="00050464" w:rsidP="00050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  <w:b/>
                <w:bCs/>
              </w:rPr>
              <w:t>Responsable / notas</w:t>
            </w:r>
            <w:r w:rsidRPr="00D2741F">
              <w:rPr>
                <w:rStyle w:val="FootnoteReference"/>
                <w:rFonts w:asciiTheme="minorHAnsi" w:eastAsia="Times New Roman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5919" w:type="dxa"/>
            <w:gridSpan w:val="10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A9CFF" w14:textId="68A9CCC2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  <w:b/>
                <w:bCs/>
              </w:rPr>
              <w:t>Fechas</w:t>
            </w:r>
          </w:p>
        </w:tc>
      </w:tr>
      <w:tr w:rsidR="0087303C" w:rsidRPr="00D2741F" w14:paraId="2CEFDCB1" w14:textId="77777777" w:rsidTr="00C04118">
        <w:trPr>
          <w:cantSplit/>
          <w:tblHeader/>
        </w:trPr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54C13" w14:textId="2860E5BD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429E1" w14:textId="16083FEA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76054" w14:textId="4E50E5E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7323C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T2 2023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EF8B9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T3 2023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88B47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T4 2023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F3DD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T1 2024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F53A8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T2 2024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91CDD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T3 2024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5130A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T4 2024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84EC9" w14:textId="7EC58EA4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T1 2025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33AEE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T2 2025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881FF" w14:textId="77777777" w:rsidR="00050464" w:rsidRPr="00D2741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2741F">
              <w:rPr>
                <w:rFonts w:asciiTheme="minorHAnsi" w:hAnsiTheme="minorHAnsi"/>
                <w:b/>
                <w:bCs/>
              </w:rPr>
              <w:t>T3 2025</w:t>
            </w:r>
          </w:p>
        </w:tc>
      </w:tr>
      <w:tr w:rsidR="0087303C" w:rsidRPr="00D2741F" w14:paraId="3DE76772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24FF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Elaborar el plan de trabajo del GS de CECoP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F26C27" w14:textId="1E3227C2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El subgrupo elaborará un plan de trabajo para el periodo 2023-25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C019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TM; CR; grupo de trabajo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4D2A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1DBE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E368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FFFA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EFB7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0CEC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89E7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56CE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033B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D8E4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34A6A62E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868B6" w14:textId="3904F1B4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 xml:space="preserve">Examinar las Resoluciones sobre CECoP 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60854" w14:textId="4E104FA3" w:rsidR="00BC7FCF" w:rsidRPr="00D2741F" w:rsidRDefault="00BC7FCF" w:rsidP="0087303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 xml:space="preserve">Examinar la documentación existente para identificar las responsabilidades y actividades clave, en particular en relación con la Resolución XIV.8 sobre </w:t>
            </w:r>
            <w:r w:rsidRPr="00D2741F">
              <w:rPr>
                <w:rFonts w:asciiTheme="minorHAnsi" w:hAnsiTheme="minorHAnsi"/>
                <w:i/>
                <w:iCs/>
              </w:rPr>
              <w:t>Nuevo enfoque de CECoP</w:t>
            </w:r>
            <w:r w:rsidRPr="00D2741F">
              <w:rPr>
                <w:rFonts w:asciiTheme="minorHAnsi" w:hAnsiTheme="minorHAnsi"/>
              </w:rPr>
              <w:t xml:space="preserve"> y la resolución original sobre las actividades de CECoP, Resolución XII.9.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A3BE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81DE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EECE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2005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36C2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92BF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8C97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FA0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8895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92A7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FE87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28D327FD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1F0F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Presentar un informe para la reunión SC62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67E7D" w14:textId="7778326D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Primer informe sobre los progresos del GS de CECoP para la reunión SC62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F48F8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TM; CR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F177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484C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7927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A27C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513F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C1C0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B6FC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C63E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1BF1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C4F8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70F74792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B1CEC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Reuniones periódicas del GS de CECoP en línea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5A4A6" w14:textId="62CBFA0D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Reuniones trimestrales del GS de CECoP, con equipos de trabajo adicionales para tareas específicas. Considerar la posibilidad de una reunión presencial, si la financiación lo permite.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A224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TM; CR; Secretaría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31EC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03EF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C439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940E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CE53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176D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A1C5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DC21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CDF8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8F83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3D9D9678" w14:textId="77777777" w:rsidTr="00C04118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193F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Apoyar a los coordinadores de CECoP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6422C" w14:textId="14762265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Actualizar las orientaciones sobre el papel y las responsabilidades de los coordinadores de CECoP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56AD9" w14:textId="1D68AE2E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0F10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A9C0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0FBF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EB50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4A5C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8153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29D9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5B0E8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098E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6FA5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1456F72C" w14:textId="77777777" w:rsidTr="00C04118">
        <w:trPr>
          <w:cantSplit/>
        </w:trPr>
        <w:tc>
          <w:tcPr>
            <w:tcW w:w="1701" w:type="dxa"/>
            <w:vMerge/>
            <w:hideMark/>
          </w:tcPr>
          <w:p w14:paraId="61A2576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FF425" w14:textId="2576ACE4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Comunicación periódica con los coordinadores de CECoP, incluidas encuestas / comentarios e impresiones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5EE3C" w14:textId="0E71113E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Secretaría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12F8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8ABE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690C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E264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F136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9788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14F1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34DB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8453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3EE3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423DE94E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50D2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Propuesta sobre las futuras actuaciones del GS de CECoP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58307" w14:textId="70CBA012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Elaborar una propuesta para el proceso de nombramiento, los términos de referencia, las relaciones con otros órganos de la Convención, etc.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E08DCB" w14:textId="55114E41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C6DF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2EEE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2DAE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5578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B3D6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086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766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7853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586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4683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55AAB4F1" w14:textId="77777777" w:rsidTr="00C04118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C3671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Nuevas orientaciones sobre CECoP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1767A" w14:textId="4644BCC2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Examinar las orientaciones existentes en materia de CECoP y el Manual 6 (</w:t>
            </w:r>
            <w:r w:rsidRPr="00D2741F">
              <w:rPr>
                <w:rFonts w:asciiTheme="minorHAnsi" w:hAnsiTheme="minorHAnsi"/>
                <w:i/>
                <w:iCs/>
              </w:rPr>
              <w:t>CECoP sobre los humedales</w:t>
            </w:r>
            <w:r w:rsidRPr="00D2741F">
              <w:rPr>
                <w:rFonts w:asciiTheme="minorHAnsi" w:hAnsiTheme="minorHAnsi"/>
              </w:rPr>
              <w:t>)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AEF9A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6B325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3883A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E079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602A0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F74A3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A7A1D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B8FC3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14E4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93BC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7300A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48D76860" w14:textId="77777777" w:rsidTr="00C04118">
        <w:trPr>
          <w:cantSplit/>
        </w:trPr>
        <w:tc>
          <w:tcPr>
            <w:tcW w:w="1701" w:type="dxa"/>
            <w:vMerge/>
            <w:hideMark/>
          </w:tcPr>
          <w:p w14:paraId="10EC5C11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4BBD6" w14:textId="5DA25A40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Consultar sobre la necesidad de orientaciones para los grupos de ejecución de las actividades de CECoP a escala local y nacional.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6DB6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BF660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7B9A9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A5ABE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7F666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49CEC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4B27F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084C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2D3E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850A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B3406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7B498F89" w14:textId="77777777" w:rsidTr="00C04118">
        <w:trPr>
          <w:cantSplit/>
        </w:trPr>
        <w:tc>
          <w:tcPr>
            <w:tcW w:w="1701" w:type="dxa"/>
            <w:vMerge/>
            <w:hideMark/>
          </w:tcPr>
          <w:p w14:paraId="0ACC0C70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5D278" w14:textId="4EF62EDF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Responder a la consulta con herramientas clave de apoyo a la CECoP, posiblemente a través de un consultor externo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81EC2" w14:textId="61347AA9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0D82A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17503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2BEF2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40F00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0389D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888B2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0EE34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F1D0D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A6598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86B4F" w14:textId="77777777" w:rsidR="00BC7FCF" w:rsidRPr="00D2741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4957261C" w14:textId="77777777" w:rsidTr="00C04118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472C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Plan Estratégico 5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52260" w14:textId="69B3561B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Trabajar con el consultor para el Plan Estratégico, el GECT y la Secretaría a fin de garantizar la incorporación de la CECoP en el PE5.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49909" w14:textId="3115ACA9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consultor / GT sobre el PE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FD82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3D03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8BB5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7796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A4AB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18C4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F36F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B896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303B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17DE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0E260BE2" w14:textId="77777777" w:rsidTr="00C04118">
        <w:trPr>
          <w:cantSplit/>
        </w:trPr>
        <w:tc>
          <w:tcPr>
            <w:tcW w:w="1701" w:type="dxa"/>
            <w:vMerge/>
            <w:hideMark/>
          </w:tcPr>
          <w:p w14:paraId="2F5DE64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58E18D" w14:textId="159CC781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Presentación del PE5 en el que se ha integrado la CECoP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1C64D" w14:textId="1BB4C530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consultor / GT sobre el PE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136E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478A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5DA6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9DBD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C41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47F0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9F7F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BE448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14E5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70B3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6995323A" w14:textId="77777777" w:rsidTr="00C04118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29AD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COP15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B1DB8" w14:textId="72F9A610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Buscar apoyo para las acciones de CECoP dentro del PE5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0001A" w14:textId="5F79495F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AA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09A4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B251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A4C3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A3BF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A1FE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6013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8B24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D3DB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4839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9455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1C41E5EF" w14:textId="77777777" w:rsidTr="00C04118">
        <w:trPr>
          <w:cantSplit/>
        </w:trPr>
        <w:tc>
          <w:tcPr>
            <w:tcW w:w="1701" w:type="dxa"/>
            <w:vMerge/>
            <w:hideMark/>
          </w:tcPr>
          <w:p w14:paraId="1BB4DA4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277FC9" w14:textId="253033AC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Organizar eventos paralelos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E0441" w14:textId="7606274E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6215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8D2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7D6E5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BF9F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14C6C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DC75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44078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A37E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F599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C799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63C4F8F4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FD8D17" w14:textId="6E926AB6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lastRenderedPageBreak/>
              <w:t xml:space="preserve">Sinergias GECT-CECoP 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1A656D" w14:textId="560A37DD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Examinar los enfoques actuales para difundir los productos del GECT e identificar oportunidades para mejorar la adopción de todos los productos del GECT producidos durante el trienio 2023-2025.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B1D7AB" w14:textId="556D8842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GECT / GS de CECoP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ABA97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920FA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7055E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D95D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8AB8E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E4D86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4FAB4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69DEC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93CC3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EFB2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39E424ED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9885B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4EDF08" w14:textId="2CC900AA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Buscar oportunidades para que los productos del GECT contribuyan a las actividades del Día Mundial de los Humedales y otros eventos medioambientales mundiales.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CEDAB3" w14:textId="221CE7F4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A8BF9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CC124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E4F2C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42616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9EC31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AE54B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F3EB4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951E78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BE8CC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A939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3D6FA4CB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94E9BE" w14:textId="5CA795C6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Tareas específicas del GECT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8014E" w14:textId="35F6B47B" w:rsidR="00BC7FCF" w:rsidRPr="00D2741F" w:rsidDel="00241E2A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Trabajar en coordinación con los responsables temáticos del GECT (Áreas de Trabajo Temáticas 1 y 5) y la Secretaría y, en el caso de las tareas que corresponda, ayudar a encontrar estudios de casos pertinentes e identificar vínculos con las actividades regionales y mundiales de CECoP.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B6DAAA" w14:textId="7C8C3D6F" w:rsidR="00BC7FCF" w:rsidRPr="00D2741F" w:rsidDel="00241E2A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GECT / GS de CECoP / Secretaría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EF709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C0347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A9959E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DDA6E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58402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A23BBC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DA892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CC0ED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62CD2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5836C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6A7F8481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86E5D8" w14:textId="3D03790B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Perspectiva Mundial sobre los Humedales (PMH)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2C45CA" w14:textId="610E0DDF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Contribuir al contenido de la PMH 2025 (GECT, tarea 5.1), el desarrollo de futuros temas de la PMH (GECT, tarea 5.3) y asesorar sobre la publicación y promoción de la PMH.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E4AAC" w14:textId="22CF61AC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GECT / GS de CECoP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037EB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21820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864C4B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299591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5B979F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D46E3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57B2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1E64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0BEF3D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E5A88A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D2741F" w14:paraId="0B82CD7A" w14:textId="77777777" w:rsidTr="00C04118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0B48EB" w14:textId="6B94124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Acreditación de Ciudad de Humedal Ramsar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F9231C" w14:textId="63E9F5F0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Apoyar el sistema de Acreditación de Ciudad de Humedal Ramsar para llevar a cabo actividades eficaces de CECoP.</w:t>
            </w:r>
          </w:p>
        </w:tc>
        <w:tc>
          <w:tcPr>
            <w:tcW w:w="1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4A470" w14:textId="0190F37E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2741F">
              <w:rPr>
                <w:rFonts w:asciiTheme="minorHAnsi" w:hAnsiTheme="minorHAnsi"/>
              </w:rPr>
              <w:t>GS de CECoP / Comité Asesor Independiente de Ciudad de Humedal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E55087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F296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33C03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522DE9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80FEC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7A720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E36106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DFA52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8FF24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7102BC" w14:textId="77777777" w:rsidR="00BC7FCF" w:rsidRPr="00D2741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B6EF697" w14:textId="77777777" w:rsidR="00A611BF" w:rsidRPr="00D2741F" w:rsidRDefault="00A611BF" w:rsidP="007954C4">
      <w:pPr>
        <w:spacing w:after="0" w:line="240" w:lineRule="auto"/>
        <w:rPr>
          <w:strike/>
        </w:rPr>
      </w:pPr>
    </w:p>
    <w:sectPr w:rsidR="00A611BF" w:rsidRPr="00D2741F" w:rsidSect="0087303C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6A6B" w14:textId="77777777" w:rsidR="00B75908" w:rsidRDefault="00B75908" w:rsidP="005B43FD">
      <w:pPr>
        <w:spacing w:after="0" w:line="240" w:lineRule="auto"/>
      </w:pPr>
      <w:r>
        <w:separator/>
      </w:r>
    </w:p>
  </w:endnote>
  <w:endnote w:type="continuationSeparator" w:id="0">
    <w:p w14:paraId="6652785F" w14:textId="77777777" w:rsidR="00B75908" w:rsidRDefault="00B75908" w:rsidP="005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4619" w14:textId="407CB16A" w:rsidR="00BC7FCF" w:rsidRPr="00BC7FCF" w:rsidRDefault="00BC7FCF" w:rsidP="00BC7FCF">
    <w:pPr>
      <w:pStyle w:val="Footer"/>
      <w:tabs>
        <w:tab w:val="clear" w:pos="9026"/>
        <w:tab w:val="left" w:pos="13750"/>
      </w:tabs>
      <w:ind w:right="66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SC62 Doc.16.2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fldChar w:fldCharType="begin"/>
    </w:r>
    <w:r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67BF4">
      <w:rPr>
        <w:rFonts w:asciiTheme="minorHAnsi" w:hAnsiTheme="minorHAnsi" w:cstheme="minorHAnsi"/>
        <w:sz w:val="20"/>
        <w:szCs w:val="20"/>
      </w:rPr>
      <w:fldChar w:fldCharType="separate"/>
    </w:r>
    <w:r w:rsidR="00C04118">
      <w:rPr>
        <w:rFonts w:asciiTheme="minorHAnsi" w:hAnsiTheme="minorHAnsi" w:cstheme="minorHAnsi"/>
        <w:noProof/>
        <w:sz w:val="20"/>
        <w:szCs w:val="20"/>
      </w:rPr>
      <w:t>2</w:t>
    </w:r>
    <w:r w:rsidRPr="00967BF4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E6D6" w14:textId="77777777" w:rsidR="00B75908" w:rsidRDefault="00B75908" w:rsidP="005B43FD">
      <w:pPr>
        <w:spacing w:after="0" w:line="240" w:lineRule="auto"/>
      </w:pPr>
      <w:r>
        <w:separator/>
      </w:r>
    </w:p>
  </w:footnote>
  <w:footnote w:type="continuationSeparator" w:id="0">
    <w:p w14:paraId="0AECEC31" w14:textId="77777777" w:rsidR="00B75908" w:rsidRDefault="00B75908" w:rsidP="005B43FD">
      <w:pPr>
        <w:spacing w:after="0" w:line="240" w:lineRule="auto"/>
      </w:pPr>
      <w:r>
        <w:continuationSeparator/>
      </w:r>
    </w:p>
  </w:footnote>
  <w:footnote w:id="1">
    <w:p w14:paraId="1A896BDC" w14:textId="0432C688" w:rsidR="00050464" w:rsidRDefault="00050464" w:rsidP="005B43FD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TM = Tsayi Mouvagha, presidenta del GS de CECoP</w:t>
      </w:r>
    </w:p>
    <w:p w14:paraId="18760E5A" w14:textId="0D699DC5" w:rsidR="00050464" w:rsidRPr="005B43FD" w:rsidRDefault="00050464" w:rsidP="005B43F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CR = Chris Rostron, vicepresidente del GS de CECoP</w:t>
      </w:r>
    </w:p>
    <w:p w14:paraId="04113F0F" w14:textId="77777777" w:rsidR="00050464" w:rsidRDefault="0005046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BF"/>
    <w:rsid w:val="0003733D"/>
    <w:rsid w:val="00050464"/>
    <w:rsid w:val="000816EB"/>
    <w:rsid w:val="0008300C"/>
    <w:rsid w:val="000A05CD"/>
    <w:rsid w:val="00116664"/>
    <w:rsid w:val="00121430"/>
    <w:rsid w:val="00150E22"/>
    <w:rsid w:val="00160BA5"/>
    <w:rsid w:val="00163FBF"/>
    <w:rsid w:val="00166759"/>
    <w:rsid w:val="00176FB3"/>
    <w:rsid w:val="001E2F37"/>
    <w:rsid w:val="00241E2A"/>
    <w:rsid w:val="002811C2"/>
    <w:rsid w:val="00282C83"/>
    <w:rsid w:val="00343267"/>
    <w:rsid w:val="003A1FE1"/>
    <w:rsid w:val="00434D1B"/>
    <w:rsid w:val="00446B1B"/>
    <w:rsid w:val="004474DF"/>
    <w:rsid w:val="00490BC2"/>
    <w:rsid w:val="004D2AD9"/>
    <w:rsid w:val="004E6076"/>
    <w:rsid w:val="004F79ED"/>
    <w:rsid w:val="005263AD"/>
    <w:rsid w:val="005B43FD"/>
    <w:rsid w:val="005D39DF"/>
    <w:rsid w:val="00605B7C"/>
    <w:rsid w:val="0062431D"/>
    <w:rsid w:val="00663D79"/>
    <w:rsid w:val="006835E2"/>
    <w:rsid w:val="006D5610"/>
    <w:rsid w:val="006F741D"/>
    <w:rsid w:val="00777252"/>
    <w:rsid w:val="007954C4"/>
    <w:rsid w:val="007E303B"/>
    <w:rsid w:val="00864CCF"/>
    <w:rsid w:val="0087303C"/>
    <w:rsid w:val="008F74BD"/>
    <w:rsid w:val="00980AFA"/>
    <w:rsid w:val="00997EB0"/>
    <w:rsid w:val="00A611BF"/>
    <w:rsid w:val="00AD7865"/>
    <w:rsid w:val="00B10D0D"/>
    <w:rsid w:val="00B75908"/>
    <w:rsid w:val="00BC7FCF"/>
    <w:rsid w:val="00BF73E0"/>
    <w:rsid w:val="00C04118"/>
    <w:rsid w:val="00CB7955"/>
    <w:rsid w:val="00CF2B6B"/>
    <w:rsid w:val="00D2741F"/>
    <w:rsid w:val="00D331AE"/>
    <w:rsid w:val="00D65489"/>
    <w:rsid w:val="00DE6C70"/>
    <w:rsid w:val="00E33060"/>
    <w:rsid w:val="00E42BB1"/>
    <w:rsid w:val="00E630E3"/>
    <w:rsid w:val="00EC4CBB"/>
    <w:rsid w:val="00F312D9"/>
    <w:rsid w:val="00F824FC"/>
    <w:rsid w:val="00F87263"/>
    <w:rsid w:val="00F945CC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A811"/>
  <w15:chartTrackingRefBased/>
  <w15:docId w15:val="{61528E06-E80B-4947-B750-499CE6A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3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3"/>
    <w:rPr>
      <w:rFonts w:ascii="MS Shell Dlg" w:hAnsi="MS Shell Dlg" w:cs="MS Shell Dlg"/>
      <w:sz w:val="18"/>
      <w:szCs w:val="18"/>
    </w:rPr>
  </w:style>
  <w:style w:type="paragraph" w:styleId="Revision">
    <w:name w:val="Revision"/>
    <w:hidden/>
    <w:uiPriority w:val="99"/>
    <w:semiHidden/>
    <w:rsid w:val="003A1FE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3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3F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C7FCF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F"/>
  </w:style>
  <w:style w:type="paragraph" w:styleId="Footer">
    <w:name w:val="footer"/>
    <w:basedOn w:val="Normal"/>
    <w:link w:val="FooterChar"/>
    <w:uiPriority w:val="99"/>
    <w:unhideWhenUsed/>
    <w:rsid w:val="00BC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DA1B-00EB-4B78-B3A6-03CBB71956FC}">
  <ds:schemaRefs>
    <ds:schemaRef ds:uri="http://schemas.openxmlformats.org/package/2006/metadata/core-properties"/>
    <ds:schemaRef ds:uri="8c0b6b05-eb82-4bda-97e8-cd82d0d6b453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F177A4-BD62-4AA7-A707-01A40448E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30B98-DCFD-411F-845C-E1834205E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E8EA0-8FAC-4AEB-835D-85135635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dcterms:created xsi:type="dcterms:W3CDTF">2023-06-02T13:30:00Z</dcterms:created>
  <dcterms:modified xsi:type="dcterms:W3CDTF">2023-06-02T13:30:00Z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