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4D9C0" w14:textId="3D7AACCC" w:rsidR="00F26729" w:rsidRPr="005601C3" w:rsidRDefault="00555598" w:rsidP="009256CF">
      <w:pPr>
        <w:pBdr>
          <w:top w:val="single" w:sz="12" w:space="0" w:color="auto" w:shadow="1"/>
          <w:left w:val="single" w:sz="12" w:space="4" w:color="auto" w:shadow="1"/>
          <w:bottom w:val="single" w:sz="12" w:space="1" w:color="auto" w:shadow="1"/>
          <w:right w:val="single" w:sz="12" w:space="7" w:color="auto" w:shadow="1"/>
        </w:pBdr>
        <w:ind w:right="4490"/>
        <w:rPr>
          <w:bCs/>
        </w:rPr>
      </w:pPr>
      <w:r w:rsidRPr="005601C3">
        <w:t>CONVENTION SUR LES ZONES HUMIDES</w:t>
      </w:r>
    </w:p>
    <w:p w14:paraId="30F29077" w14:textId="2C041DFB" w:rsidR="00F26729" w:rsidRPr="005601C3" w:rsidRDefault="00F26729" w:rsidP="009256CF">
      <w:pPr>
        <w:pBdr>
          <w:top w:val="single" w:sz="12" w:space="0" w:color="auto" w:shadow="1"/>
          <w:left w:val="single" w:sz="12" w:space="4" w:color="auto" w:shadow="1"/>
          <w:bottom w:val="single" w:sz="12" w:space="1" w:color="auto" w:shadow="1"/>
          <w:right w:val="single" w:sz="12" w:space="7" w:color="auto" w:shadow="1"/>
        </w:pBdr>
        <w:ind w:right="4490"/>
        <w:rPr>
          <w:bCs/>
        </w:rPr>
      </w:pPr>
      <w:r w:rsidRPr="005601C3">
        <w:t>62</w:t>
      </w:r>
      <w:r w:rsidR="005601C3" w:rsidRPr="005601C3">
        <w:rPr>
          <w:vertAlign w:val="superscript"/>
        </w:rPr>
        <w:t>e</w:t>
      </w:r>
      <w:r w:rsidRPr="005601C3">
        <w:t xml:space="preserve"> réunion du Comité permanent</w:t>
      </w:r>
    </w:p>
    <w:p w14:paraId="649CE67E" w14:textId="17C90219" w:rsidR="00F26729" w:rsidRPr="005601C3" w:rsidRDefault="00F26729" w:rsidP="009256CF">
      <w:pPr>
        <w:pBdr>
          <w:top w:val="single" w:sz="12" w:space="0" w:color="auto" w:shadow="1"/>
          <w:left w:val="single" w:sz="12" w:space="4" w:color="auto" w:shadow="1"/>
          <w:bottom w:val="single" w:sz="12" w:space="1" w:color="auto" w:shadow="1"/>
          <w:right w:val="single" w:sz="12" w:space="7" w:color="auto" w:shadow="1"/>
        </w:pBdr>
        <w:ind w:right="4490"/>
        <w:rPr>
          <w:bCs/>
        </w:rPr>
      </w:pPr>
      <w:r w:rsidRPr="005601C3">
        <w:t>Gland, Suisse, 4 au 8 septembre 2023</w:t>
      </w:r>
    </w:p>
    <w:p w14:paraId="1476A649" w14:textId="77777777" w:rsidR="008F4369" w:rsidRPr="005601C3" w:rsidRDefault="008F4369">
      <w:pPr>
        <w:jc w:val="right"/>
        <w:rPr>
          <w:rFonts w:cs="Arial"/>
          <w:b/>
          <w:sz w:val="28"/>
          <w:szCs w:val="28"/>
        </w:rPr>
      </w:pPr>
    </w:p>
    <w:p w14:paraId="724351A1" w14:textId="7A82184C" w:rsidR="00F26729" w:rsidRPr="005601C3" w:rsidRDefault="00F26729">
      <w:pPr>
        <w:jc w:val="right"/>
        <w:rPr>
          <w:rFonts w:cs="Arial"/>
          <w:sz w:val="28"/>
          <w:szCs w:val="28"/>
        </w:rPr>
      </w:pPr>
      <w:r w:rsidRPr="005601C3">
        <w:rPr>
          <w:b/>
          <w:sz w:val="28"/>
        </w:rPr>
        <w:t>SC62 Doc.17</w:t>
      </w:r>
    </w:p>
    <w:p w14:paraId="7AB6FE07" w14:textId="77777777" w:rsidR="008F4369" w:rsidRPr="005601C3" w:rsidRDefault="008F4369">
      <w:pPr>
        <w:jc w:val="center"/>
        <w:rPr>
          <w:rFonts w:cs="Arial"/>
          <w:b/>
          <w:sz w:val="28"/>
          <w:szCs w:val="28"/>
        </w:rPr>
      </w:pPr>
    </w:p>
    <w:p w14:paraId="1B9F6FDF" w14:textId="26D5FF7C" w:rsidR="00F26729" w:rsidRPr="005601C3" w:rsidRDefault="00F26729">
      <w:pPr>
        <w:jc w:val="center"/>
        <w:rPr>
          <w:rFonts w:cs="Arial"/>
          <w:b/>
          <w:sz w:val="28"/>
          <w:szCs w:val="28"/>
        </w:rPr>
      </w:pPr>
      <w:r w:rsidRPr="005601C3">
        <w:rPr>
          <w:b/>
          <w:sz w:val="28"/>
        </w:rPr>
        <w:t xml:space="preserve">Rapport du Groupe de travail sur la jeunesse </w:t>
      </w:r>
    </w:p>
    <w:p w14:paraId="5B41AC3C" w14:textId="77777777" w:rsidR="0016014E" w:rsidRPr="005601C3" w:rsidRDefault="0016014E">
      <w:pPr>
        <w:ind w:left="0" w:right="-188" w:firstLine="0"/>
        <w:rPr>
          <w:rFonts w:ascii="Arial" w:hAnsi="Arial" w:cs="Arial"/>
          <w:b/>
          <w:bCs/>
          <w:sz w:val="20"/>
          <w:szCs w:val="20"/>
          <w:lang w:eastAsia="en-AU"/>
        </w:rPr>
      </w:pPr>
    </w:p>
    <w:p w14:paraId="3CBD20EB" w14:textId="77777777" w:rsidR="0016014E" w:rsidRPr="005601C3" w:rsidRDefault="0016014E">
      <w:pPr>
        <w:ind w:left="0" w:right="-188" w:firstLine="0"/>
        <w:rPr>
          <w:rFonts w:ascii="Arial" w:hAnsi="Arial" w:cs="Arial"/>
          <w:b/>
          <w:bCs/>
          <w:sz w:val="20"/>
          <w:szCs w:val="20"/>
          <w:lang w:eastAsia="en-AU"/>
        </w:rPr>
      </w:pPr>
    </w:p>
    <w:p w14:paraId="0CB88D37" w14:textId="77777777" w:rsidR="00416ED2" w:rsidRPr="005601C3" w:rsidRDefault="00416ED2" w:rsidP="00F44065">
      <w:pPr>
        <w:autoSpaceDE w:val="0"/>
        <w:autoSpaceDN w:val="0"/>
        <w:adjustRightInd w:val="0"/>
        <w:ind w:left="0" w:firstLine="0"/>
        <w:rPr>
          <w:rFonts w:asciiTheme="minorHAnsi" w:eastAsiaTheme="minorHAnsi" w:hAnsiTheme="minorHAnsi" w:cs="Calibri-Bold"/>
          <w:b/>
          <w:bCs/>
        </w:rPr>
      </w:pPr>
      <w:r w:rsidRPr="005601C3">
        <w:rPr>
          <w:rFonts w:asciiTheme="minorHAnsi" w:hAnsiTheme="minorHAnsi"/>
          <w:noProof/>
          <w:lang w:val="en-GB" w:eastAsia="en-GB"/>
        </w:rPr>
        <mc:AlternateContent>
          <mc:Choice Requires="wps">
            <w:drawing>
              <wp:inline distT="0" distB="0" distL="0" distR="0" wp14:anchorId="1F0E3C11" wp14:editId="3AC112AF">
                <wp:extent cx="5800725" cy="1181100"/>
                <wp:effectExtent l="0" t="0" r="2857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181100"/>
                        </a:xfrm>
                        <a:prstGeom prst="rect">
                          <a:avLst/>
                        </a:prstGeom>
                        <a:solidFill>
                          <a:srgbClr val="FFFFFF"/>
                        </a:solidFill>
                        <a:ln w="9525">
                          <a:solidFill>
                            <a:srgbClr val="000000"/>
                          </a:solidFill>
                          <a:miter lim="800000"/>
                          <a:headEnd/>
                          <a:tailEnd/>
                        </a:ln>
                      </wps:spPr>
                      <wps:txbx>
                        <w:txbxContent>
                          <w:p w14:paraId="6134D0BF" w14:textId="43E826BC" w:rsidR="00416ED2" w:rsidRDefault="00416ED2" w:rsidP="00416ED2">
                            <w:pPr>
                              <w:rPr>
                                <w:b/>
                                <w:bCs/>
                              </w:rPr>
                            </w:pPr>
                            <w:r>
                              <w:rPr>
                                <w:b/>
                              </w:rPr>
                              <w:t>Mesures requises :</w:t>
                            </w:r>
                          </w:p>
                          <w:p w14:paraId="42391E22" w14:textId="77777777" w:rsidR="00416ED2" w:rsidRDefault="00416ED2" w:rsidP="00416ED2">
                            <w:pPr>
                              <w:pStyle w:val="ColorfulList-Accent11"/>
                              <w:ind w:left="0"/>
                            </w:pPr>
                          </w:p>
                          <w:p w14:paraId="0B55ABDB" w14:textId="34E336C6" w:rsidR="00997800" w:rsidRPr="00DC0FB4" w:rsidRDefault="00965531" w:rsidP="00E220EE">
                            <w:pPr>
                              <w:pStyle w:val="ColorfulList-Accent11"/>
                              <w:ind w:left="0" w:firstLine="0"/>
                              <w:rPr>
                                <w:rFonts w:cs="Calibri"/>
                              </w:rPr>
                            </w:pPr>
                            <w:r>
                              <w:t xml:space="preserve">Le Comité permanent est invité à prendre note des progrès réalisés par le Groupe de travail sur la jeunesse (YWG) qui a organisé deux réunions virtuelles du GT et deux ateliers sur l’engagement des jeunes, avec la participation d’autres </w:t>
                            </w:r>
                            <w:r>
                              <w:rPr>
                                <w:rFonts w:asciiTheme="minorHAnsi" w:hAnsiTheme="minorHAnsi"/>
                                <w:color w:val="000000" w:themeColor="text1"/>
                              </w:rPr>
                              <w:t>organisations représentant la jeunesse au titre d’accords multilatéraux sur l'environnement (AME) et d’organis</w:t>
                            </w:r>
                            <w:r w:rsidR="005601C3">
                              <w:rPr>
                                <w:rFonts w:asciiTheme="minorHAnsi" w:hAnsiTheme="minorHAnsi"/>
                                <w:color w:val="000000" w:themeColor="text1"/>
                              </w:rPr>
                              <w:t>mes</w:t>
                            </w:r>
                            <w:r>
                              <w:rPr>
                                <w:rFonts w:asciiTheme="minorHAnsi" w:hAnsiTheme="minorHAnsi"/>
                                <w:color w:val="000000" w:themeColor="text1"/>
                              </w:rPr>
                              <w:t xml:space="preserve"> des Nations unies.</w:t>
                            </w:r>
                          </w:p>
                        </w:txbxContent>
                      </wps:txbx>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0E3C11" id="_x0000_t202" coordsize="21600,21600" o:spt="202" path="m,l,21600r21600,l21600,xe">
                <v:stroke joinstyle="miter"/>
                <v:path gradientshapeok="t" o:connecttype="rect"/>
              </v:shapetype>
              <v:shape id="Text Box 1" o:spid="_x0000_s1026" type="#_x0000_t202" style="width:456.7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">
                <v:textbox>
                  <w:txbxContent>
                    <w:p w14:paraId="6134D0BF" w14:textId="43E826BC" w:rsidR="00416ED2" w:rsidRDefault="00416ED2" w:rsidP="00416ED2">
                      <w:pPr>
                        <w:rPr>
                          <w:b/>
                          <w:bCs/>
                        </w:rPr>
                      </w:pPr>
                      <w:r>
                        <w:rPr>
                          <w:b/>
                        </w:rPr>
                        <w:t>Mesures requises :</w:t>
                      </w:r>
                    </w:p>
                    <w:p w14:paraId="42391E22" w14:textId="77777777" w:rsidR="00416ED2" w:rsidRDefault="00416ED2" w:rsidP="00416ED2">
                      <w:pPr>
                        <w:pStyle w:val="ColorfulList-Accent11"/>
                        <w:ind w:left="0"/>
                      </w:pPr>
                    </w:p>
                    <w:p w14:paraId="0B55ABDB" w14:textId="34E336C6" w:rsidR="00997800" w:rsidRPr="00DC0FB4" w:rsidRDefault="00965531" w:rsidP="00E220EE">
                      <w:pPr>
                        <w:pStyle w:val="ColorfulList-Accent11"/>
                        <w:ind w:left="0" w:firstLine="0"/>
                        <w:rPr>
                          <w:rFonts w:cs="Calibri"/>
                        </w:rPr>
                      </w:pPr>
                      <w:r>
                        <w:t xml:space="preserve">Le Comité permanent est invité à prendre note des progrès réalisés par le Groupe de travail sur la jeunesse (YWG) qui a organisé deux réunions virtuelles du GT et deux ateliers sur l’engagement des jeunes, avec la participation d’autres </w:t>
                      </w:r>
                      <w:r>
                        <w:rPr>
                          <w:rFonts w:asciiTheme="minorHAnsi" w:hAnsiTheme="minorHAnsi"/>
                          <w:color w:val="000000" w:themeColor="text1"/>
                        </w:rPr>
                        <w:t>organisations représentant la jeunesse au titre d’accords multilatéraux sur l'environnement (AME) et d’organis</w:t>
                      </w:r>
                      <w:r w:rsidR="005601C3">
                        <w:rPr>
                          <w:rFonts w:asciiTheme="minorHAnsi" w:hAnsiTheme="minorHAnsi"/>
                          <w:color w:val="000000" w:themeColor="text1"/>
                        </w:rPr>
                        <w:t>mes</w:t>
                      </w:r>
                      <w:r>
                        <w:rPr>
                          <w:rFonts w:asciiTheme="minorHAnsi" w:hAnsiTheme="minorHAnsi"/>
                          <w:color w:val="000000" w:themeColor="text1"/>
                        </w:rPr>
                        <w:t xml:space="preserve"> des Nations unies.</w:t>
                      </w:r>
                    </w:p>
                  </w:txbxContent>
                </v:textbox>
                <w10:anchorlock/>
              </v:shape>
            </w:pict>
          </mc:Fallback>
        </mc:AlternateContent>
      </w:r>
    </w:p>
    <w:p w14:paraId="06BA384B" w14:textId="77777777" w:rsidR="008F4369" w:rsidRPr="005601C3" w:rsidRDefault="008F4369">
      <w:pPr>
        <w:ind w:left="0" w:right="-188" w:firstLine="0"/>
        <w:rPr>
          <w:rFonts w:ascii="Arial" w:hAnsi="Arial" w:cs="Arial"/>
          <w:b/>
          <w:bCs/>
          <w:sz w:val="20"/>
          <w:szCs w:val="20"/>
          <w:lang w:eastAsia="en-AU"/>
        </w:rPr>
      </w:pPr>
    </w:p>
    <w:p w14:paraId="13D7170D" w14:textId="2C34F57B" w:rsidR="000C5687" w:rsidRPr="005601C3" w:rsidRDefault="000C5687">
      <w:pPr>
        <w:ind w:left="0" w:right="-188" w:firstLine="0"/>
        <w:rPr>
          <w:rFonts w:ascii="Arial" w:hAnsi="Arial" w:cs="Arial"/>
          <w:b/>
          <w:bCs/>
          <w:sz w:val="20"/>
          <w:szCs w:val="20"/>
          <w:lang w:eastAsia="en-AU"/>
        </w:rPr>
      </w:pPr>
    </w:p>
    <w:p w14:paraId="3B3F9106" w14:textId="373778FA" w:rsidR="0016014E" w:rsidRPr="005601C3" w:rsidRDefault="0016014E" w:rsidP="00F44065">
      <w:pPr>
        <w:ind w:left="567" w:right="-188" w:hanging="567"/>
        <w:rPr>
          <w:rFonts w:ascii="Arial" w:hAnsi="Arial" w:cs="Arial"/>
          <w:b/>
          <w:bCs/>
          <w:sz w:val="20"/>
          <w:szCs w:val="20"/>
        </w:rPr>
      </w:pPr>
      <w:r w:rsidRPr="005601C3">
        <w:rPr>
          <w:rFonts w:ascii="Arial" w:hAnsi="Arial"/>
          <w:b/>
          <w:sz w:val="20"/>
        </w:rPr>
        <w:t>Contexte</w:t>
      </w:r>
    </w:p>
    <w:p w14:paraId="3C436054" w14:textId="77777777" w:rsidR="00A4164A" w:rsidRPr="005601C3" w:rsidRDefault="00A4164A" w:rsidP="00F44065">
      <w:pPr>
        <w:ind w:left="567" w:hanging="567"/>
        <w:rPr>
          <w:rFonts w:cs="Calibri"/>
        </w:rPr>
      </w:pPr>
    </w:p>
    <w:p w14:paraId="759420EC" w14:textId="25076FB5" w:rsidR="00DF25E8" w:rsidRPr="005601C3" w:rsidRDefault="0051725A" w:rsidP="00F44065">
      <w:pPr>
        <w:rPr>
          <w:rFonts w:cstheme="minorHAnsi"/>
        </w:rPr>
      </w:pPr>
      <w:r w:rsidRPr="005601C3">
        <w:t>1.</w:t>
      </w:r>
      <w:r w:rsidRPr="005601C3">
        <w:tab/>
        <w:t xml:space="preserve">La Résolution XIV.12, </w:t>
      </w:r>
      <w:r w:rsidRPr="005601C3">
        <w:rPr>
          <w:i/>
        </w:rPr>
        <w:t>Renforcement des liens Ramsar avec la jeunesse</w:t>
      </w:r>
      <w:r w:rsidRPr="005601C3">
        <w:t>, a demandé au Comité permanent d’établir un Groupe de travail sur la jeunesse (YWG) dont le mandat vise à faciliter l’intégration de la participation des jeunes dans la gouvernance, les programmes de travail et les autres activités de la Convention.</w:t>
      </w:r>
    </w:p>
    <w:p w14:paraId="02824FF5" w14:textId="77777777" w:rsidR="008F4369" w:rsidRPr="005601C3" w:rsidRDefault="008F4369" w:rsidP="00F44065">
      <w:pPr>
        <w:rPr>
          <w:rFonts w:cstheme="minorHAnsi"/>
        </w:rPr>
      </w:pPr>
    </w:p>
    <w:p w14:paraId="3C461410" w14:textId="3A1A66EA" w:rsidR="004C490B" w:rsidRPr="005601C3" w:rsidRDefault="0051725A" w:rsidP="00F44065">
      <w:pPr>
        <w:rPr>
          <w:rFonts w:cstheme="minorHAnsi"/>
        </w:rPr>
      </w:pPr>
      <w:r w:rsidRPr="005601C3">
        <w:t>2.</w:t>
      </w:r>
      <w:r w:rsidRPr="005601C3">
        <w:tab/>
        <w:t>À sa 61</w:t>
      </w:r>
      <w:r w:rsidR="00297124" w:rsidRPr="00297124">
        <w:rPr>
          <w:vertAlign w:val="superscript"/>
        </w:rPr>
        <w:t>e</w:t>
      </w:r>
      <w:r w:rsidRPr="005601C3">
        <w:t xml:space="preserve"> réunion, le Comité permanent a nommé le Président par intérim et les membres du YWG dans ses Décisions SC61-06 et SC61-07 respectivement.</w:t>
      </w:r>
    </w:p>
    <w:p w14:paraId="39F8F705" w14:textId="14AA8EFE" w:rsidR="008A47C5" w:rsidRPr="005601C3" w:rsidRDefault="0051725A" w:rsidP="00F44065">
      <w:pPr>
        <w:ind w:left="851"/>
        <w:rPr>
          <w:rFonts w:cstheme="minorHAnsi"/>
        </w:rPr>
      </w:pPr>
      <w:r w:rsidRPr="005601C3">
        <w:t>a.</w:t>
      </w:r>
      <w:r w:rsidRPr="005601C3">
        <w:tab/>
        <w:t>Le point focal pour les jeunes de l’Australie (</w:t>
      </w:r>
      <w:r w:rsidR="00C16880">
        <w:t>coauteur</w:t>
      </w:r>
      <w:r w:rsidRPr="005601C3">
        <w:t xml:space="preserve"> de la Résolution XIV.12 avec le Costa Rica) a été nommé à la présidence par intérim.</w:t>
      </w:r>
    </w:p>
    <w:p w14:paraId="79C20EC4" w14:textId="5E7568C8" w:rsidR="00244CA4" w:rsidRPr="005601C3" w:rsidRDefault="0051725A" w:rsidP="00F44065">
      <w:pPr>
        <w:ind w:left="851"/>
        <w:rPr>
          <w:rFonts w:cstheme="minorHAnsi"/>
        </w:rPr>
      </w:pPr>
      <w:r w:rsidRPr="005601C3">
        <w:t>b.</w:t>
      </w:r>
      <w:r w:rsidRPr="005601C3">
        <w:tab/>
        <w:t>Le Groupe de travail sur la jeunesse se compose des Parties contractantes suivantes : le Congo, pour représenter la région Afrique ; l’Irak et l’Iran (République islamique d'), pour représenter la région Asie ; l’Autriche et la Slovaquie, pour représenter la région Europe ; la Colombie, pour représenter la région Amérique latine et Caraïbes ; et le Mexique, pour représenter la région Amérique du Nord.</w:t>
      </w:r>
    </w:p>
    <w:p w14:paraId="2B272960" w14:textId="4D01CA84" w:rsidR="00244CA4" w:rsidRPr="005601C3" w:rsidRDefault="00244CA4" w:rsidP="00F44065">
      <w:pPr>
        <w:pStyle w:val="ListParagraph"/>
        <w:ind w:left="567" w:hanging="567"/>
        <w:contextualSpacing w:val="0"/>
        <w:rPr>
          <w:rFonts w:cstheme="minorHAnsi"/>
        </w:rPr>
      </w:pPr>
    </w:p>
    <w:p w14:paraId="58C3049D" w14:textId="130FE5AD" w:rsidR="00244CA4" w:rsidRPr="005601C3" w:rsidRDefault="00244CA4" w:rsidP="00F44065">
      <w:pPr>
        <w:ind w:left="567" w:right="-188" w:hanging="567"/>
        <w:rPr>
          <w:rFonts w:ascii="Arial" w:hAnsi="Arial" w:cs="Arial"/>
          <w:b/>
          <w:bCs/>
          <w:sz w:val="20"/>
          <w:szCs w:val="20"/>
        </w:rPr>
      </w:pPr>
      <w:r w:rsidRPr="005601C3">
        <w:rPr>
          <w:rFonts w:ascii="Arial" w:hAnsi="Arial"/>
          <w:b/>
          <w:sz w:val="20"/>
        </w:rPr>
        <w:t>Première réunion du Groupe de travail sur la jeunesse</w:t>
      </w:r>
    </w:p>
    <w:p w14:paraId="63EAE6D3" w14:textId="77777777" w:rsidR="00244CA4" w:rsidRPr="005601C3" w:rsidRDefault="00244CA4" w:rsidP="00F44065">
      <w:pPr>
        <w:ind w:left="567" w:right="-188" w:hanging="567"/>
        <w:rPr>
          <w:rFonts w:ascii="Arial" w:hAnsi="Arial" w:cs="Arial"/>
          <w:b/>
          <w:bCs/>
          <w:sz w:val="20"/>
          <w:szCs w:val="20"/>
          <w:lang w:eastAsia="en-AU"/>
        </w:rPr>
      </w:pPr>
    </w:p>
    <w:p w14:paraId="7B66077E" w14:textId="3F9A6984" w:rsidR="00172079" w:rsidRPr="005601C3" w:rsidRDefault="0051725A" w:rsidP="00F44065">
      <w:pPr>
        <w:rPr>
          <w:rFonts w:cstheme="minorHAnsi"/>
        </w:rPr>
      </w:pPr>
      <w:r w:rsidRPr="005601C3">
        <w:t>3.</w:t>
      </w:r>
      <w:r w:rsidRPr="005601C3">
        <w:tab/>
        <w:t>La réunion inaugurale du YWG s’est tenue virtuellement le 1</w:t>
      </w:r>
      <w:r w:rsidR="00301D20" w:rsidRPr="00301D20">
        <w:rPr>
          <w:vertAlign w:val="superscript"/>
        </w:rPr>
        <w:t>e</w:t>
      </w:r>
      <w:r w:rsidRPr="005601C3">
        <w:t xml:space="preserve"> mars 2023. L’Australie a été élue à la Présidence et l’Iran (République islamique d’) à la Vice-présidence du YWG. Le YWG a pris note de la mise à disposition par le Canada de fonds pour l’engagement des jeunes, et a chargé le Secrétariat d’organiser deux ateliers internationaux de la jeunesse pour échanger avec les jeunes et définir les priorités de travail pour le YWG.</w:t>
      </w:r>
    </w:p>
    <w:p w14:paraId="752A8375" w14:textId="77777777" w:rsidR="008F4369" w:rsidRPr="005601C3" w:rsidRDefault="008F4369" w:rsidP="00F44065">
      <w:pPr>
        <w:rPr>
          <w:rFonts w:cstheme="minorHAnsi"/>
        </w:rPr>
      </w:pPr>
    </w:p>
    <w:p w14:paraId="297D2CB4" w14:textId="1351802A" w:rsidR="009A192C" w:rsidRPr="005601C3" w:rsidRDefault="0051725A" w:rsidP="00F44065">
      <w:pPr>
        <w:rPr>
          <w:rFonts w:cstheme="minorHAnsi"/>
        </w:rPr>
      </w:pPr>
      <w:r w:rsidRPr="005601C3">
        <w:t>4.</w:t>
      </w:r>
      <w:r w:rsidRPr="005601C3">
        <w:tab/>
        <w:t>Le Président a publié un communiqué le 13 mars 2023 résumant les décisions du YWG et appelant à une plus grande participation des Parties contractantes aux activités du YWG.</w:t>
      </w:r>
    </w:p>
    <w:p w14:paraId="779729D6" w14:textId="3AE5F0F7" w:rsidR="0016014E" w:rsidRPr="005601C3" w:rsidRDefault="0016014E" w:rsidP="00F44065">
      <w:pPr>
        <w:ind w:left="567" w:hanging="567"/>
        <w:rPr>
          <w:highlight w:val="yellow"/>
        </w:rPr>
      </w:pPr>
    </w:p>
    <w:p w14:paraId="410DF31F" w14:textId="38AE75E5" w:rsidR="0016014E" w:rsidRPr="005601C3" w:rsidRDefault="002B07D6" w:rsidP="00F44065">
      <w:pPr>
        <w:ind w:left="567" w:right="-187" w:hanging="567"/>
        <w:rPr>
          <w:rFonts w:asciiTheme="minorHAnsi" w:hAnsiTheme="minorHAnsi" w:cstheme="minorHAnsi"/>
          <w:b/>
          <w:bCs/>
        </w:rPr>
      </w:pPr>
      <w:r w:rsidRPr="005601C3">
        <w:rPr>
          <w:rFonts w:asciiTheme="minorHAnsi" w:hAnsiTheme="minorHAnsi"/>
          <w:b/>
        </w:rPr>
        <w:t>Ateliers sur l’engagement de la jeunesse</w:t>
      </w:r>
    </w:p>
    <w:p w14:paraId="129AE4AA" w14:textId="77777777" w:rsidR="00244CA4" w:rsidRPr="005601C3" w:rsidRDefault="00244CA4" w:rsidP="00F44065">
      <w:pPr>
        <w:ind w:left="567" w:right="-187" w:hanging="567"/>
        <w:rPr>
          <w:rFonts w:asciiTheme="minorHAnsi" w:hAnsiTheme="minorHAnsi" w:cstheme="minorHAnsi"/>
          <w:b/>
          <w:bCs/>
        </w:rPr>
      </w:pPr>
    </w:p>
    <w:p w14:paraId="23CDB30B" w14:textId="450F07A7" w:rsidR="000104CC" w:rsidRPr="005601C3" w:rsidRDefault="0051725A" w:rsidP="00F44065">
      <w:pPr>
        <w:rPr>
          <w:bCs/>
          <w:color w:val="000000" w:themeColor="text1"/>
        </w:rPr>
      </w:pPr>
      <w:r w:rsidRPr="005601C3">
        <w:rPr>
          <w:rFonts w:asciiTheme="minorHAnsi" w:hAnsiTheme="minorHAnsi"/>
        </w:rPr>
        <w:t>5.</w:t>
      </w:r>
      <w:r w:rsidRPr="005601C3">
        <w:rPr>
          <w:rFonts w:asciiTheme="minorHAnsi" w:hAnsiTheme="minorHAnsi"/>
        </w:rPr>
        <w:tab/>
      </w:r>
      <w:r w:rsidRPr="005601C3">
        <w:rPr>
          <w:color w:val="000000" w:themeColor="text1"/>
        </w:rPr>
        <w:t xml:space="preserve">Deux ateliers se sont tenus virtuellement le 21 mars 2023 </w:t>
      </w:r>
      <w:r w:rsidR="002364DF">
        <w:rPr>
          <w:color w:val="000000" w:themeColor="text1"/>
        </w:rPr>
        <w:t>de</w:t>
      </w:r>
      <w:r w:rsidRPr="005601C3">
        <w:rPr>
          <w:color w:val="000000" w:themeColor="text1"/>
        </w:rPr>
        <w:t xml:space="preserve"> 8 h </w:t>
      </w:r>
      <w:r w:rsidR="002364DF">
        <w:rPr>
          <w:color w:val="000000" w:themeColor="text1"/>
        </w:rPr>
        <w:t>à</w:t>
      </w:r>
      <w:r w:rsidRPr="005601C3">
        <w:rPr>
          <w:color w:val="000000" w:themeColor="text1"/>
        </w:rPr>
        <w:t xml:space="preserve"> 10 h (CET) </w:t>
      </w:r>
      <w:r w:rsidR="00D244C4">
        <w:rPr>
          <w:color w:val="000000" w:themeColor="text1"/>
        </w:rPr>
        <w:t>et</w:t>
      </w:r>
      <w:r w:rsidRPr="005601C3">
        <w:rPr>
          <w:color w:val="000000" w:themeColor="text1"/>
        </w:rPr>
        <w:t xml:space="preserve"> </w:t>
      </w:r>
      <w:r w:rsidR="002364DF">
        <w:rPr>
          <w:color w:val="000000" w:themeColor="text1"/>
        </w:rPr>
        <w:t>de</w:t>
      </w:r>
      <w:r w:rsidRPr="005601C3">
        <w:rPr>
          <w:color w:val="000000" w:themeColor="text1"/>
        </w:rPr>
        <w:t xml:space="preserve"> 16 h </w:t>
      </w:r>
      <w:r w:rsidR="002364DF">
        <w:rPr>
          <w:color w:val="000000" w:themeColor="text1"/>
        </w:rPr>
        <w:t>à</w:t>
      </w:r>
      <w:r w:rsidRPr="005601C3">
        <w:rPr>
          <w:color w:val="000000" w:themeColor="text1"/>
        </w:rPr>
        <w:t xml:space="preserve"> 18 h (CET).</w:t>
      </w:r>
    </w:p>
    <w:p w14:paraId="7A0A34BF" w14:textId="77777777" w:rsidR="008F4369" w:rsidRPr="005601C3" w:rsidRDefault="008F4369" w:rsidP="00F44065">
      <w:pPr>
        <w:rPr>
          <w:rFonts w:asciiTheme="minorHAnsi" w:hAnsiTheme="minorHAnsi" w:cstheme="minorHAnsi"/>
          <w:bCs/>
          <w:color w:val="000000" w:themeColor="text1"/>
        </w:rPr>
      </w:pPr>
    </w:p>
    <w:p w14:paraId="21F653FC" w14:textId="16E56BE9" w:rsidR="00244CA4" w:rsidRPr="005601C3" w:rsidRDefault="0051725A" w:rsidP="00F44065">
      <w:r w:rsidRPr="005601C3">
        <w:rPr>
          <w:rFonts w:asciiTheme="minorHAnsi" w:hAnsiTheme="minorHAnsi"/>
          <w:color w:val="000000" w:themeColor="text1"/>
        </w:rPr>
        <w:lastRenderedPageBreak/>
        <w:t>6.</w:t>
      </w:r>
      <w:r w:rsidRPr="005601C3">
        <w:rPr>
          <w:rFonts w:asciiTheme="minorHAnsi" w:hAnsiTheme="minorHAnsi"/>
          <w:color w:val="000000" w:themeColor="text1"/>
        </w:rPr>
        <w:tab/>
        <w:t xml:space="preserve">Une société de conseil, Flow in Action, a été recrutée pour accompagner l'organisation des ateliers. Les réseaux sociaux, listes de diffusion et divers partenaires ont </w:t>
      </w:r>
      <w:r w:rsidR="005E29EB">
        <w:rPr>
          <w:rFonts w:asciiTheme="minorHAnsi" w:hAnsiTheme="minorHAnsi"/>
          <w:color w:val="000000" w:themeColor="text1"/>
        </w:rPr>
        <w:t>été sollicités pour l’envoi</w:t>
      </w:r>
      <w:r w:rsidRPr="005601C3">
        <w:rPr>
          <w:rFonts w:asciiTheme="minorHAnsi" w:hAnsiTheme="minorHAnsi"/>
          <w:color w:val="000000" w:themeColor="text1"/>
        </w:rPr>
        <w:t xml:space="preserve"> d</w:t>
      </w:r>
      <w:r w:rsidR="005E29EB">
        <w:rPr>
          <w:rFonts w:asciiTheme="minorHAnsi" w:hAnsiTheme="minorHAnsi"/>
          <w:color w:val="000000" w:themeColor="text1"/>
        </w:rPr>
        <w:t>’i</w:t>
      </w:r>
      <w:r w:rsidRPr="005601C3">
        <w:rPr>
          <w:rFonts w:asciiTheme="minorHAnsi" w:hAnsiTheme="minorHAnsi"/>
          <w:color w:val="000000" w:themeColor="text1"/>
        </w:rPr>
        <w:t>nvitations aux ateliers.</w:t>
      </w:r>
    </w:p>
    <w:p w14:paraId="4E347EBD" w14:textId="77777777" w:rsidR="008F4369" w:rsidRPr="005601C3" w:rsidRDefault="008F4369" w:rsidP="00F44065">
      <w:pPr>
        <w:rPr>
          <w:rFonts w:asciiTheme="minorHAnsi" w:hAnsiTheme="minorHAnsi" w:cstheme="minorHAnsi"/>
          <w:bCs/>
          <w:color w:val="000000" w:themeColor="text1"/>
        </w:rPr>
      </w:pPr>
    </w:p>
    <w:p w14:paraId="6F419A76" w14:textId="1ADE1ACF" w:rsidR="004D73FD" w:rsidRPr="005601C3" w:rsidRDefault="0051725A" w:rsidP="00F44065">
      <w:pPr>
        <w:rPr>
          <w:rFonts w:asciiTheme="minorHAnsi" w:hAnsiTheme="minorHAnsi" w:cstheme="minorHAnsi"/>
          <w:bCs/>
          <w:color w:val="000000" w:themeColor="text1"/>
        </w:rPr>
      </w:pPr>
      <w:r w:rsidRPr="005601C3">
        <w:rPr>
          <w:rFonts w:asciiTheme="minorHAnsi" w:hAnsiTheme="minorHAnsi"/>
          <w:color w:val="000000" w:themeColor="text1"/>
        </w:rPr>
        <w:t>7.</w:t>
      </w:r>
      <w:r w:rsidRPr="005601C3">
        <w:rPr>
          <w:rFonts w:asciiTheme="minorHAnsi" w:hAnsiTheme="minorHAnsi"/>
          <w:color w:val="000000" w:themeColor="text1"/>
        </w:rPr>
        <w:tab/>
        <w:t xml:space="preserve">Les ateliers </w:t>
      </w:r>
      <w:r w:rsidR="006273A3">
        <w:rPr>
          <w:rFonts w:asciiTheme="minorHAnsi" w:hAnsiTheme="minorHAnsi"/>
          <w:color w:val="000000" w:themeColor="text1"/>
        </w:rPr>
        <w:t xml:space="preserve">ont débuté </w:t>
      </w:r>
      <w:r w:rsidRPr="005601C3">
        <w:rPr>
          <w:rFonts w:asciiTheme="minorHAnsi" w:hAnsiTheme="minorHAnsi"/>
          <w:color w:val="000000" w:themeColor="text1"/>
        </w:rPr>
        <w:t>sur une déclaration du Secrétaire général adjoint pour la séance du matin ainsi que sur une déclaration du Secrétaire général pour la session de l’après-midi. Ils étaient composés de plusieurs courtes discussions en groupes, suivies d’un atelier interactif avec les participants. Parmi les intervenants se trouvaient des représentants de l’équipe des Jeunes engagés dans les zones humides (YEW), des Organisations internationales partenaires (OIP) de la Convention, plusieurs organisations représentant la jeunesse au titre d’autres accords multilatéraux sur l’environnement (AME), ainsi que le Grand groupe des enfants et des jeunes des Nations Unies. Environ 50 participants étaient présents lors des ateliers.</w:t>
      </w:r>
    </w:p>
    <w:p w14:paraId="40B46058" w14:textId="77777777" w:rsidR="008F4369" w:rsidRPr="005601C3" w:rsidRDefault="008F4369" w:rsidP="00F44065">
      <w:pPr>
        <w:rPr>
          <w:rFonts w:asciiTheme="minorHAnsi" w:hAnsiTheme="minorHAnsi" w:cstheme="minorHAnsi"/>
          <w:bCs/>
          <w:color w:val="000000" w:themeColor="text1"/>
        </w:rPr>
      </w:pPr>
    </w:p>
    <w:p w14:paraId="117F0CCE" w14:textId="2681C095" w:rsidR="00DE4430" w:rsidRPr="005601C3" w:rsidRDefault="0051725A" w:rsidP="00F44065">
      <w:pPr>
        <w:rPr>
          <w:rFonts w:asciiTheme="minorHAnsi" w:hAnsiTheme="minorHAnsi" w:cstheme="minorHAnsi"/>
          <w:bCs/>
          <w:color w:val="000000" w:themeColor="text1"/>
        </w:rPr>
      </w:pPr>
      <w:r w:rsidRPr="005601C3">
        <w:rPr>
          <w:rFonts w:asciiTheme="minorHAnsi" w:hAnsiTheme="minorHAnsi"/>
          <w:color w:val="000000" w:themeColor="text1"/>
        </w:rPr>
        <w:t>8.</w:t>
      </w:r>
      <w:r w:rsidRPr="005601C3">
        <w:rPr>
          <w:rFonts w:asciiTheme="minorHAnsi" w:hAnsiTheme="minorHAnsi"/>
          <w:color w:val="000000" w:themeColor="text1"/>
        </w:rPr>
        <w:tab/>
        <w:t>Les intervenants étaient invités à répondre à une série de questions sur les défis en matière d’engagement des jeunes pour la conservation des zones humides, les exemples d’engagement effectif des jeunes au titre d’autres AME mais aussi au niveau national, et sur les opportunités pour de futurs événements et projets ou d’autres actions.</w:t>
      </w:r>
    </w:p>
    <w:p w14:paraId="6873C782" w14:textId="77777777" w:rsidR="008F4369" w:rsidRPr="005601C3" w:rsidRDefault="008F4369" w:rsidP="00F44065">
      <w:pPr>
        <w:rPr>
          <w:rFonts w:asciiTheme="minorHAnsi" w:hAnsiTheme="minorHAnsi" w:cstheme="minorHAnsi"/>
          <w:bCs/>
          <w:color w:val="000000" w:themeColor="text1"/>
        </w:rPr>
      </w:pPr>
    </w:p>
    <w:p w14:paraId="5C95CBF5" w14:textId="7F49F885" w:rsidR="002471C9" w:rsidRPr="005601C3" w:rsidRDefault="0051725A" w:rsidP="00F44065">
      <w:pPr>
        <w:rPr>
          <w:rFonts w:asciiTheme="minorHAnsi" w:hAnsiTheme="minorHAnsi" w:cstheme="minorHAnsi"/>
          <w:bCs/>
          <w:color w:val="000000" w:themeColor="text1"/>
        </w:rPr>
      </w:pPr>
      <w:r w:rsidRPr="005601C3">
        <w:rPr>
          <w:rFonts w:asciiTheme="minorHAnsi" w:hAnsiTheme="minorHAnsi"/>
          <w:color w:val="000000" w:themeColor="text1"/>
        </w:rPr>
        <w:t>9.</w:t>
      </w:r>
      <w:r w:rsidRPr="005601C3">
        <w:rPr>
          <w:rFonts w:asciiTheme="minorHAnsi" w:hAnsiTheme="minorHAnsi"/>
          <w:color w:val="000000" w:themeColor="text1"/>
        </w:rPr>
        <w:tab/>
        <w:t xml:space="preserve">La deuxième séance </w:t>
      </w:r>
      <w:r w:rsidR="00386E6C">
        <w:rPr>
          <w:rFonts w:asciiTheme="minorHAnsi" w:hAnsiTheme="minorHAnsi"/>
          <w:color w:val="000000" w:themeColor="text1"/>
        </w:rPr>
        <w:t>consistait à</w:t>
      </w:r>
      <w:r w:rsidRPr="005601C3">
        <w:rPr>
          <w:rFonts w:asciiTheme="minorHAnsi" w:hAnsiTheme="minorHAnsi"/>
          <w:color w:val="000000" w:themeColor="text1"/>
        </w:rPr>
        <w:t xml:space="preserve"> </w:t>
      </w:r>
      <w:r w:rsidR="00386E6C">
        <w:rPr>
          <w:rFonts w:asciiTheme="minorHAnsi" w:hAnsiTheme="minorHAnsi"/>
          <w:color w:val="000000" w:themeColor="text1"/>
        </w:rPr>
        <w:t>répartir l</w:t>
      </w:r>
      <w:r w:rsidRPr="005601C3">
        <w:rPr>
          <w:rFonts w:asciiTheme="minorHAnsi" w:hAnsiTheme="minorHAnsi"/>
          <w:color w:val="000000" w:themeColor="text1"/>
        </w:rPr>
        <w:t>es participants en plusieurs groupes (des Breakout rooms sur Zoom) afin qu’ils étudient quelles pourrai</w:t>
      </w:r>
      <w:r w:rsidR="00C05E11">
        <w:rPr>
          <w:rFonts w:asciiTheme="minorHAnsi" w:hAnsiTheme="minorHAnsi"/>
          <w:color w:val="000000" w:themeColor="text1"/>
        </w:rPr>
        <w:t>en</w:t>
      </w:r>
      <w:r w:rsidRPr="005601C3">
        <w:rPr>
          <w:rFonts w:asciiTheme="minorHAnsi" w:hAnsiTheme="minorHAnsi"/>
          <w:color w:val="000000" w:themeColor="text1"/>
        </w:rPr>
        <w:t>t être les conséquences du renforcement de l’engagement des jeunes dans les processus de la Convention et processus nationaux, que</w:t>
      </w:r>
      <w:r w:rsidR="00E977EE">
        <w:rPr>
          <w:rFonts w:asciiTheme="minorHAnsi" w:hAnsiTheme="minorHAnsi"/>
          <w:color w:val="000000" w:themeColor="text1"/>
        </w:rPr>
        <w:t>l</w:t>
      </w:r>
      <w:r w:rsidRPr="005601C3">
        <w:rPr>
          <w:rFonts w:asciiTheme="minorHAnsi" w:hAnsiTheme="minorHAnsi"/>
          <w:color w:val="000000" w:themeColor="text1"/>
        </w:rPr>
        <w:t>l</w:t>
      </w:r>
      <w:r w:rsidR="00E977EE">
        <w:rPr>
          <w:rFonts w:asciiTheme="minorHAnsi" w:hAnsiTheme="minorHAnsi"/>
          <w:color w:val="000000" w:themeColor="text1"/>
        </w:rPr>
        <w:t>e</w:t>
      </w:r>
      <w:r w:rsidRPr="005601C3">
        <w:rPr>
          <w:rFonts w:asciiTheme="minorHAnsi" w:hAnsiTheme="minorHAnsi"/>
          <w:color w:val="000000" w:themeColor="text1"/>
        </w:rPr>
        <w:t xml:space="preserve"> serait </w:t>
      </w:r>
      <w:r w:rsidR="007D61D6">
        <w:rPr>
          <w:rFonts w:asciiTheme="minorHAnsi" w:hAnsiTheme="minorHAnsi"/>
          <w:color w:val="000000" w:themeColor="text1"/>
        </w:rPr>
        <w:t>la situation</w:t>
      </w:r>
      <w:r w:rsidRPr="005601C3">
        <w:rPr>
          <w:rFonts w:asciiTheme="minorHAnsi" w:hAnsiTheme="minorHAnsi"/>
          <w:color w:val="000000" w:themeColor="text1"/>
        </w:rPr>
        <w:t xml:space="preserve"> souhaité</w:t>
      </w:r>
      <w:r w:rsidR="007D61D6">
        <w:rPr>
          <w:rFonts w:asciiTheme="minorHAnsi" w:hAnsiTheme="minorHAnsi"/>
          <w:color w:val="000000" w:themeColor="text1"/>
        </w:rPr>
        <w:t>e</w:t>
      </w:r>
      <w:r w:rsidRPr="005601C3">
        <w:rPr>
          <w:rFonts w:asciiTheme="minorHAnsi" w:hAnsiTheme="minorHAnsi"/>
          <w:color w:val="000000" w:themeColor="text1"/>
        </w:rPr>
        <w:t xml:space="preserve"> </w:t>
      </w:r>
      <w:r w:rsidR="00666E40">
        <w:rPr>
          <w:rFonts w:asciiTheme="minorHAnsi" w:hAnsiTheme="minorHAnsi"/>
          <w:color w:val="000000" w:themeColor="text1"/>
        </w:rPr>
        <w:t xml:space="preserve">à l’avenir </w:t>
      </w:r>
      <w:r w:rsidRPr="005601C3">
        <w:rPr>
          <w:rFonts w:asciiTheme="minorHAnsi" w:hAnsiTheme="minorHAnsi"/>
          <w:color w:val="000000" w:themeColor="text1"/>
        </w:rPr>
        <w:t>et qu’est-ce qui pourrait être fait dès maintenant pour faire de ce souhait une réalité.</w:t>
      </w:r>
    </w:p>
    <w:p w14:paraId="3C045265" w14:textId="77777777" w:rsidR="008F4369" w:rsidRPr="005601C3" w:rsidRDefault="008F4369" w:rsidP="00F44065">
      <w:pPr>
        <w:rPr>
          <w:rFonts w:asciiTheme="minorHAnsi" w:hAnsiTheme="minorHAnsi" w:cstheme="minorHAnsi"/>
          <w:bCs/>
          <w:color w:val="000000" w:themeColor="text1"/>
        </w:rPr>
      </w:pPr>
    </w:p>
    <w:p w14:paraId="34CA10BB" w14:textId="1F2615FD" w:rsidR="00D15DE5" w:rsidRPr="005601C3" w:rsidRDefault="0051725A" w:rsidP="00F44065">
      <w:pPr>
        <w:rPr>
          <w:rFonts w:asciiTheme="minorHAnsi" w:hAnsiTheme="minorHAnsi" w:cstheme="minorHAnsi"/>
          <w:bCs/>
          <w:color w:val="000000" w:themeColor="text1"/>
        </w:rPr>
      </w:pPr>
      <w:r w:rsidRPr="005601C3">
        <w:rPr>
          <w:rFonts w:asciiTheme="minorHAnsi" w:hAnsiTheme="minorHAnsi"/>
          <w:color w:val="000000" w:themeColor="text1"/>
        </w:rPr>
        <w:t>10.</w:t>
      </w:r>
      <w:r w:rsidRPr="005601C3">
        <w:rPr>
          <w:rFonts w:asciiTheme="minorHAnsi" w:hAnsiTheme="minorHAnsi"/>
          <w:color w:val="000000" w:themeColor="text1"/>
        </w:rPr>
        <w:tab/>
        <w:t xml:space="preserve">Le débat entre les participants et les intervenants était à la fois riche et stimulant, plusieurs idées ont été passées en revue, tous ont eu une même compréhension des questions convenues et de la nécessité </w:t>
      </w:r>
      <w:r w:rsidR="003745B7">
        <w:rPr>
          <w:rFonts w:asciiTheme="minorHAnsi" w:hAnsiTheme="minorHAnsi"/>
          <w:color w:val="000000" w:themeColor="text1"/>
        </w:rPr>
        <w:t>de nouer des relations</w:t>
      </w:r>
      <w:r w:rsidRPr="005601C3">
        <w:rPr>
          <w:rFonts w:asciiTheme="minorHAnsi" w:hAnsiTheme="minorHAnsi"/>
          <w:color w:val="000000" w:themeColor="text1"/>
        </w:rPr>
        <w:t xml:space="preserve"> entre différents acteurs.</w:t>
      </w:r>
    </w:p>
    <w:p w14:paraId="1906E810" w14:textId="77777777" w:rsidR="008F4369" w:rsidRPr="005601C3" w:rsidRDefault="008F4369" w:rsidP="00F44065">
      <w:pPr>
        <w:rPr>
          <w:rFonts w:asciiTheme="minorHAnsi" w:hAnsiTheme="minorHAnsi" w:cstheme="minorHAnsi"/>
          <w:bCs/>
          <w:color w:val="000000" w:themeColor="text1"/>
        </w:rPr>
      </w:pPr>
    </w:p>
    <w:p w14:paraId="5E0041A2" w14:textId="75379CAC" w:rsidR="00D07B7D" w:rsidRPr="005601C3" w:rsidRDefault="0051725A" w:rsidP="00F44065">
      <w:pPr>
        <w:rPr>
          <w:rFonts w:asciiTheme="minorHAnsi" w:hAnsiTheme="minorHAnsi" w:cstheme="minorHAnsi"/>
          <w:bCs/>
          <w:color w:val="000000" w:themeColor="text1"/>
        </w:rPr>
      </w:pPr>
      <w:r w:rsidRPr="005601C3">
        <w:rPr>
          <w:rFonts w:asciiTheme="minorHAnsi" w:hAnsiTheme="minorHAnsi"/>
          <w:color w:val="000000" w:themeColor="text1"/>
        </w:rPr>
        <w:t>11.</w:t>
      </w:r>
      <w:r w:rsidRPr="005601C3">
        <w:rPr>
          <w:rFonts w:asciiTheme="minorHAnsi" w:hAnsiTheme="minorHAnsi"/>
          <w:color w:val="000000" w:themeColor="text1"/>
        </w:rPr>
        <w:tab/>
        <w:t>Les ateliers ont permis d’identifier un ensemble de besoins clés pour les participants, y compris</w:t>
      </w:r>
      <w:r w:rsidR="009256CF">
        <w:rPr>
          <w:rFonts w:asciiTheme="minorHAnsi" w:hAnsiTheme="minorHAnsi"/>
          <w:color w:val="000000" w:themeColor="text1"/>
        </w:rPr>
        <w:t> </w:t>
      </w:r>
      <w:r w:rsidRPr="005601C3">
        <w:rPr>
          <w:rFonts w:asciiTheme="minorHAnsi" w:hAnsiTheme="minorHAnsi"/>
          <w:color w:val="000000" w:themeColor="text1"/>
        </w:rPr>
        <w:t xml:space="preserve">: </w:t>
      </w:r>
    </w:p>
    <w:p w14:paraId="6853724D" w14:textId="6673C0DC" w:rsidR="00D07B7D" w:rsidRPr="005601C3" w:rsidRDefault="0051725A" w:rsidP="00F44065">
      <w:pPr>
        <w:ind w:left="851"/>
        <w:rPr>
          <w:rFonts w:asciiTheme="minorHAnsi" w:hAnsiTheme="minorHAnsi" w:cstheme="minorHAnsi"/>
          <w:bCs/>
          <w:color w:val="000000" w:themeColor="text1"/>
        </w:rPr>
      </w:pPr>
      <w:r w:rsidRPr="005601C3">
        <w:rPr>
          <w:rFonts w:asciiTheme="minorHAnsi" w:hAnsiTheme="minorHAnsi"/>
          <w:color w:val="000000" w:themeColor="text1"/>
        </w:rPr>
        <w:t>a.</w:t>
      </w:r>
      <w:r w:rsidRPr="005601C3">
        <w:rPr>
          <w:rFonts w:asciiTheme="minorHAnsi" w:hAnsiTheme="minorHAnsi"/>
          <w:color w:val="000000" w:themeColor="text1"/>
        </w:rPr>
        <w:tab/>
        <w:t>La nécessité pour les Parties contractantes (PC) de contacter les jeunes et les impliquer de manière significative aux négociations et processus décisionnels ;</w:t>
      </w:r>
    </w:p>
    <w:p w14:paraId="39AA64CA" w14:textId="3BD717B5" w:rsidR="003748F4" w:rsidRPr="005601C3" w:rsidRDefault="0051725A" w:rsidP="00F44065">
      <w:pPr>
        <w:ind w:left="851"/>
        <w:rPr>
          <w:rFonts w:asciiTheme="minorHAnsi" w:hAnsiTheme="minorHAnsi" w:cstheme="minorHAnsi"/>
          <w:bCs/>
          <w:color w:val="000000" w:themeColor="text1"/>
        </w:rPr>
      </w:pPr>
      <w:r w:rsidRPr="005601C3">
        <w:rPr>
          <w:rFonts w:asciiTheme="minorHAnsi" w:hAnsiTheme="minorHAnsi"/>
          <w:color w:val="000000" w:themeColor="text1"/>
        </w:rPr>
        <w:t>b.</w:t>
      </w:r>
      <w:r w:rsidRPr="005601C3">
        <w:rPr>
          <w:rFonts w:asciiTheme="minorHAnsi" w:hAnsiTheme="minorHAnsi"/>
          <w:color w:val="000000" w:themeColor="text1"/>
        </w:rPr>
        <w:tab/>
        <w:t xml:space="preserve">La nécessité pour les PC et autres parties prenantes d’impliquer les jeunes dès le début des projets afin qu’ils </w:t>
      </w:r>
      <w:r w:rsidR="00630139">
        <w:rPr>
          <w:rFonts w:asciiTheme="minorHAnsi" w:hAnsiTheme="minorHAnsi"/>
          <w:color w:val="000000" w:themeColor="text1"/>
        </w:rPr>
        <w:t>développent</w:t>
      </w:r>
      <w:r w:rsidRPr="005601C3">
        <w:rPr>
          <w:rFonts w:asciiTheme="minorHAnsi" w:hAnsiTheme="minorHAnsi"/>
          <w:color w:val="000000" w:themeColor="text1"/>
        </w:rPr>
        <w:t xml:space="preserve"> ensemble des solutions </w:t>
      </w:r>
      <w:r w:rsidR="00630139">
        <w:rPr>
          <w:rFonts w:asciiTheme="minorHAnsi" w:hAnsiTheme="minorHAnsi"/>
          <w:color w:val="000000" w:themeColor="text1"/>
        </w:rPr>
        <w:t>dans</w:t>
      </w:r>
      <w:r w:rsidRPr="005601C3">
        <w:rPr>
          <w:rFonts w:asciiTheme="minorHAnsi" w:hAnsiTheme="minorHAnsi"/>
          <w:color w:val="000000" w:themeColor="text1"/>
        </w:rPr>
        <w:t xml:space="preserve"> une approche collective ;</w:t>
      </w:r>
    </w:p>
    <w:p w14:paraId="49989357" w14:textId="77CDF7A3" w:rsidR="00307197" w:rsidRPr="005601C3" w:rsidRDefault="0051725A" w:rsidP="00F44065">
      <w:pPr>
        <w:ind w:left="851"/>
        <w:rPr>
          <w:rFonts w:asciiTheme="minorHAnsi" w:hAnsiTheme="minorHAnsi" w:cstheme="minorHAnsi"/>
          <w:bCs/>
          <w:color w:val="000000" w:themeColor="text1"/>
        </w:rPr>
      </w:pPr>
      <w:r w:rsidRPr="005601C3">
        <w:rPr>
          <w:rFonts w:asciiTheme="minorHAnsi" w:hAnsiTheme="minorHAnsi"/>
          <w:color w:val="000000" w:themeColor="text1"/>
        </w:rPr>
        <w:t>c.</w:t>
      </w:r>
      <w:r w:rsidRPr="005601C3">
        <w:rPr>
          <w:rFonts w:asciiTheme="minorHAnsi" w:hAnsiTheme="minorHAnsi"/>
          <w:color w:val="000000" w:themeColor="text1"/>
        </w:rPr>
        <w:tab/>
        <w:t>Les jeunes ont besoin de ressources financières, les projets doivent être élaborés en tenant compte des possibilités pour les jeunes d’en vivre, et ils doivent éviter aux jeunes d’être considérés comme des bénévoles ; et</w:t>
      </w:r>
    </w:p>
    <w:p w14:paraId="562649CF" w14:textId="7D6206D3" w:rsidR="00707ED8" w:rsidRPr="005601C3" w:rsidRDefault="0051725A" w:rsidP="00F44065">
      <w:pPr>
        <w:ind w:left="851"/>
        <w:rPr>
          <w:rFonts w:asciiTheme="minorHAnsi" w:hAnsiTheme="minorHAnsi" w:cstheme="minorHAnsi"/>
          <w:bCs/>
          <w:color w:val="000000" w:themeColor="text1"/>
        </w:rPr>
      </w:pPr>
      <w:r w:rsidRPr="005601C3">
        <w:rPr>
          <w:rFonts w:asciiTheme="minorHAnsi" w:hAnsiTheme="minorHAnsi"/>
          <w:color w:val="000000" w:themeColor="text1"/>
        </w:rPr>
        <w:t>d.</w:t>
      </w:r>
      <w:r w:rsidRPr="005601C3">
        <w:rPr>
          <w:rFonts w:asciiTheme="minorHAnsi" w:hAnsiTheme="minorHAnsi"/>
          <w:color w:val="000000" w:themeColor="text1"/>
        </w:rPr>
        <w:tab/>
        <w:t xml:space="preserve">Les PC peuvent inclure la conservation des zones humides dans leurs stratégies </w:t>
      </w:r>
      <w:r w:rsidR="00482A4D">
        <w:rPr>
          <w:rFonts w:asciiTheme="minorHAnsi" w:hAnsiTheme="minorHAnsi"/>
          <w:color w:val="000000" w:themeColor="text1"/>
        </w:rPr>
        <w:t>pour l’</w:t>
      </w:r>
      <w:r w:rsidRPr="005601C3">
        <w:rPr>
          <w:rFonts w:asciiTheme="minorHAnsi" w:hAnsiTheme="minorHAnsi"/>
          <w:color w:val="000000" w:themeColor="text1"/>
        </w:rPr>
        <w:t xml:space="preserve">emploi et </w:t>
      </w:r>
      <w:r w:rsidR="00482A4D">
        <w:rPr>
          <w:rFonts w:asciiTheme="minorHAnsi" w:hAnsiTheme="minorHAnsi"/>
          <w:color w:val="000000" w:themeColor="text1"/>
        </w:rPr>
        <w:t>l</w:t>
      </w:r>
      <w:r w:rsidRPr="005601C3">
        <w:rPr>
          <w:rFonts w:asciiTheme="minorHAnsi" w:hAnsiTheme="minorHAnsi"/>
          <w:color w:val="000000" w:themeColor="text1"/>
        </w:rPr>
        <w:t>’éducation.</w:t>
      </w:r>
    </w:p>
    <w:p w14:paraId="09877150" w14:textId="77777777" w:rsidR="008F4369" w:rsidRPr="005601C3" w:rsidRDefault="008F4369" w:rsidP="00F44065">
      <w:pPr>
        <w:pStyle w:val="ListParagraph"/>
        <w:ind w:left="567" w:firstLine="0"/>
        <w:contextualSpacing w:val="0"/>
        <w:rPr>
          <w:rFonts w:asciiTheme="minorHAnsi" w:hAnsiTheme="minorHAnsi" w:cstheme="minorHAnsi"/>
          <w:bCs/>
          <w:color w:val="000000" w:themeColor="text1"/>
        </w:rPr>
      </w:pPr>
    </w:p>
    <w:p w14:paraId="461F9007" w14:textId="3A23F0F7" w:rsidR="00EA69DF" w:rsidRPr="005601C3" w:rsidRDefault="0051725A" w:rsidP="00F44065">
      <w:pPr>
        <w:ind w:left="426" w:hanging="426"/>
        <w:rPr>
          <w:rFonts w:asciiTheme="minorHAnsi" w:hAnsiTheme="minorHAnsi" w:cstheme="minorHAnsi"/>
          <w:bCs/>
          <w:color w:val="000000" w:themeColor="text1"/>
        </w:rPr>
      </w:pPr>
      <w:r w:rsidRPr="005601C3">
        <w:rPr>
          <w:rFonts w:asciiTheme="minorHAnsi" w:hAnsiTheme="minorHAnsi"/>
          <w:color w:val="000000" w:themeColor="text1"/>
        </w:rPr>
        <w:t>12.</w:t>
      </w:r>
      <w:r w:rsidRPr="005601C3">
        <w:rPr>
          <w:rFonts w:asciiTheme="minorHAnsi" w:hAnsiTheme="minorHAnsi"/>
          <w:color w:val="000000" w:themeColor="text1"/>
        </w:rPr>
        <w:tab/>
        <w:t xml:space="preserve">Les ateliers ont également permis d’identifier une série d’actions possibles, que le YWG pourrait examiner. Il s’agit notamment de : </w:t>
      </w:r>
    </w:p>
    <w:p w14:paraId="0F129495" w14:textId="273D28BD" w:rsidR="00EA69DF" w:rsidRPr="005601C3" w:rsidRDefault="0051725A" w:rsidP="00F44065">
      <w:pPr>
        <w:ind w:left="851"/>
        <w:rPr>
          <w:rFonts w:asciiTheme="minorHAnsi" w:hAnsiTheme="minorHAnsi" w:cstheme="minorHAnsi"/>
          <w:bCs/>
          <w:color w:val="000000" w:themeColor="text1"/>
        </w:rPr>
      </w:pPr>
      <w:r w:rsidRPr="005601C3">
        <w:rPr>
          <w:rFonts w:asciiTheme="minorHAnsi" w:hAnsiTheme="minorHAnsi"/>
          <w:color w:val="000000" w:themeColor="text1"/>
        </w:rPr>
        <w:t>a.</w:t>
      </w:r>
      <w:r w:rsidRPr="005601C3">
        <w:rPr>
          <w:rFonts w:asciiTheme="minorHAnsi" w:hAnsiTheme="minorHAnsi"/>
          <w:color w:val="000000" w:themeColor="text1"/>
        </w:rPr>
        <w:tab/>
        <w:t>La création d'une plateforme en ligne permettant de relier entre eux les jeunes praticiens des zones humides ;</w:t>
      </w:r>
    </w:p>
    <w:p w14:paraId="782497A5" w14:textId="47CCCCE0" w:rsidR="0045339F" w:rsidRPr="005601C3" w:rsidRDefault="0051725A" w:rsidP="00F44065">
      <w:pPr>
        <w:ind w:left="851"/>
        <w:rPr>
          <w:rFonts w:asciiTheme="minorHAnsi" w:hAnsiTheme="minorHAnsi" w:cstheme="minorHAnsi"/>
          <w:bCs/>
          <w:color w:val="000000" w:themeColor="text1"/>
        </w:rPr>
      </w:pPr>
      <w:r w:rsidRPr="005601C3">
        <w:rPr>
          <w:rFonts w:asciiTheme="minorHAnsi" w:hAnsiTheme="minorHAnsi"/>
          <w:color w:val="000000" w:themeColor="text1"/>
        </w:rPr>
        <w:t>b.</w:t>
      </w:r>
      <w:r w:rsidRPr="005601C3">
        <w:rPr>
          <w:rFonts w:asciiTheme="minorHAnsi" w:hAnsiTheme="minorHAnsi"/>
          <w:color w:val="000000" w:themeColor="text1"/>
        </w:rPr>
        <w:tab/>
        <w:t>Le développement d'un programme structuré d’engagement pour le YWG, la Convention et les PC, comprenant une approche régionale ;</w:t>
      </w:r>
    </w:p>
    <w:p w14:paraId="037F18D5" w14:textId="048B7B5C" w:rsidR="00A41195" w:rsidRPr="005601C3" w:rsidRDefault="0051725A" w:rsidP="00F44065">
      <w:pPr>
        <w:ind w:left="851"/>
        <w:rPr>
          <w:rFonts w:asciiTheme="minorHAnsi" w:hAnsiTheme="minorHAnsi" w:cstheme="minorHAnsi"/>
          <w:bCs/>
          <w:color w:val="000000" w:themeColor="text1"/>
        </w:rPr>
      </w:pPr>
      <w:r w:rsidRPr="005601C3">
        <w:rPr>
          <w:rFonts w:asciiTheme="minorHAnsi" w:hAnsiTheme="minorHAnsi"/>
          <w:color w:val="000000" w:themeColor="text1"/>
        </w:rPr>
        <w:t>c.</w:t>
      </w:r>
      <w:r w:rsidRPr="005601C3">
        <w:rPr>
          <w:rFonts w:asciiTheme="minorHAnsi" w:hAnsiTheme="minorHAnsi"/>
          <w:color w:val="000000" w:themeColor="text1"/>
        </w:rPr>
        <w:tab/>
        <w:t>Un programme de mentorat intergénérationnel pour les professionnels des zones humides</w:t>
      </w:r>
      <w:r w:rsidR="009256CF">
        <w:rPr>
          <w:rFonts w:asciiTheme="minorHAnsi" w:hAnsiTheme="minorHAnsi"/>
          <w:color w:val="000000" w:themeColor="text1"/>
        </w:rPr>
        <w:t> </w:t>
      </w:r>
      <w:bookmarkStart w:id="0" w:name="_GoBack"/>
      <w:bookmarkEnd w:id="0"/>
      <w:r w:rsidRPr="005601C3">
        <w:rPr>
          <w:rFonts w:asciiTheme="minorHAnsi" w:hAnsiTheme="minorHAnsi"/>
          <w:color w:val="000000" w:themeColor="text1"/>
        </w:rPr>
        <w:t>;</w:t>
      </w:r>
    </w:p>
    <w:p w14:paraId="3DBDDB09" w14:textId="74E8DADB" w:rsidR="00BB4057" w:rsidRPr="005601C3" w:rsidRDefault="0051725A" w:rsidP="00F44065">
      <w:pPr>
        <w:ind w:left="851"/>
        <w:rPr>
          <w:rFonts w:asciiTheme="minorHAnsi" w:hAnsiTheme="minorHAnsi" w:cstheme="minorHAnsi"/>
          <w:bCs/>
          <w:color w:val="000000" w:themeColor="text1"/>
        </w:rPr>
      </w:pPr>
      <w:r w:rsidRPr="005601C3">
        <w:rPr>
          <w:rFonts w:asciiTheme="minorHAnsi" w:hAnsiTheme="minorHAnsi"/>
          <w:color w:val="000000" w:themeColor="text1"/>
        </w:rPr>
        <w:t>d.</w:t>
      </w:r>
      <w:r w:rsidRPr="005601C3">
        <w:rPr>
          <w:rFonts w:asciiTheme="minorHAnsi" w:hAnsiTheme="minorHAnsi"/>
          <w:color w:val="000000" w:themeColor="text1"/>
        </w:rPr>
        <w:tab/>
        <w:t xml:space="preserve">Un renforcement des capacités, y compris des opportunités de leadership, des formations et </w:t>
      </w:r>
      <w:r w:rsidR="00137E6B">
        <w:rPr>
          <w:rFonts w:asciiTheme="minorHAnsi" w:hAnsiTheme="minorHAnsi"/>
          <w:color w:val="000000" w:themeColor="text1"/>
        </w:rPr>
        <w:t xml:space="preserve">du </w:t>
      </w:r>
      <w:r w:rsidRPr="005601C3">
        <w:rPr>
          <w:rFonts w:asciiTheme="minorHAnsi" w:hAnsiTheme="minorHAnsi"/>
          <w:color w:val="000000" w:themeColor="text1"/>
        </w:rPr>
        <w:t>développement de compétences ; et</w:t>
      </w:r>
    </w:p>
    <w:p w14:paraId="2ED557B7" w14:textId="406BEB72" w:rsidR="00015124" w:rsidRPr="005601C3" w:rsidRDefault="0051725A" w:rsidP="00F44065">
      <w:pPr>
        <w:ind w:left="851"/>
        <w:rPr>
          <w:rFonts w:asciiTheme="minorHAnsi" w:hAnsiTheme="minorHAnsi" w:cstheme="minorHAnsi"/>
          <w:bCs/>
          <w:color w:val="000000" w:themeColor="text1"/>
        </w:rPr>
      </w:pPr>
      <w:r w:rsidRPr="005601C3">
        <w:rPr>
          <w:rFonts w:asciiTheme="minorHAnsi" w:hAnsiTheme="minorHAnsi"/>
          <w:color w:val="000000" w:themeColor="text1"/>
        </w:rPr>
        <w:lastRenderedPageBreak/>
        <w:t>e.</w:t>
      </w:r>
      <w:r w:rsidRPr="005601C3">
        <w:rPr>
          <w:rFonts w:asciiTheme="minorHAnsi" w:hAnsiTheme="minorHAnsi"/>
          <w:color w:val="000000" w:themeColor="text1"/>
        </w:rPr>
        <w:tab/>
        <w:t>L’identification des soutiens financiers et en nature pour la formation, les opportunités de travail rémunéré, la participation à des conférences et le soutien à des projets.</w:t>
      </w:r>
    </w:p>
    <w:p w14:paraId="0E90EE07" w14:textId="77777777" w:rsidR="008F4369" w:rsidRPr="005601C3" w:rsidRDefault="008F4369" w:rsidP="00F44065">
      <w:pPr>
        <w:rPr>
          <w:rFonts w:asciiTheme="minorHAnsi" w:hAnsiTheme="minorHAnsi" w:cstheme="minorHAnsi"/>
          <w:bCs/>
          <w:color w:val="000000" w:themeColor="text1"/>
        </w:rPr>
      </w:pPr>
    </w:p>
    <w:p w14:paraId="344AE9A6" w14:textId="2081B8C4" w:rsidR="007C31A2" w:rsidRPr="005601C3" w:rsidRDefault="0051725A" w:rsidP="00F44065">
      <w:pPr>
        <w:rPr>
          <w:rFonts w:asciiTheme="minorHAnsi" w:hAnsiTheme="minorHAnsi" w:cstheme="minorHAnsi"/>
          <w:bCs/>
          <w:color w:val="000000" w:themeColor="text1"/>
        </w:rPr>
      </w:pPr>
      <w:r w:rsidRPr="005601C3">
        <w:rPr>
          <w:rFonts w:asciiTheme="minorHAnsi" w:hAnsiTheme="minorHAnsi"/>
          <w:color w:val="000000" w:themeColor="text1"/>
        </w:rPr>
        <w:t>13.</w:t>
      </w:r>
      <w:r w:rsidRPr="005601C3">
        <w:rPr>
          <w:rFonts w:asciiTheme="minorHAnsi" w:hAnsiTheme="minorHAnsi"/>
          <w:color w:val="000000" w:themeColor="text1"/>
        </w:rPr>
        <w:tab/>
        <w:t>Les conclusions des ateliers ont été compilées dans un rapport qui a été distribué aux membres du YWG.</w:t>
      </w:r>
    </w:p>
    <w:p w14:paraId="68B85F21" w14:textId="77777777" w:rsidR="00015124" w:rsidRPr="005601C3" w:rsidRDefault="00015124" w:rsidP="00F44065">
      <w:pPr>
        <w:ind w:left="567" w:hanging="567"/>
        <w:rPr>
          <w:rFonts w:asciiTheme="minorHAnsi" w:hAnsiTheme="minorHAnsi" w:cstheme="minorHAnsi"/>
          <w:bCs/>
          <w:color w:val="000000" w:themeColor="text1"/>
        </w:rPr>
      </w:pPr>
    </w:p>
    <w:p w14:paraId="50FF75B5" w14:textId="0AB54F85" w:rsidR="000104CC" w:rsidRPr="005601C3" w:rsidRDefault="000104CC" w:rsidP="008C09A0">
      <w:pPr>
        <w:keepNext/>
        <w:ind w:left="567" w:hanging="567"/>
        <w:rPr>
          <w:rFonts w:asciiTheme="minorHAnsi" w:hAnsiTheme="minorHAnsi" w:cstheme="minorHAnsi"/>
          <w:b/>
          <w:bCs/>
          <w:color w:val="000000" w:themeColor="text1"/>
        </w:rPr>
      </w:pPr>
      <w:r w:rsidRPr="005601C3">
        <w:rPr>
          <w:rFonts w:asciiTheme="minorHAnsi" w:hAnsiTheme="minorHAnsi"/>
          <w:b/>
          <w:color w:val="000000" w:themeColor="text1"/>
        </w:rPr>
        <w:t>Deuxième réunion du Groupe de travail sur la jeunesse</w:t>
      </w:r>
    </w:p>
    <w:p w14:paraId="6D3CEE64" w14:textId="77777777" w:rsidR="000104CC" w:rsidRPr="005601C3" w:rsidRDefault="000104CC" w:rsidP="008C09A0">
      <w:pPr>
        <w:keepNext/>
        <w:ind w:left="567" w:hanging="567"/>
        <w:rPr>
          <w:rFonts w:asciiTheme="minorHAnsi" w:hAnsiTheme="minorHAnsi" w:cstheme="minorHAnsi"/>
          <w:bCs/>
          <w:color w:val="000000" w:themeColor="text1"/>
        </w:rPr>
      </w:pPr>
    </w:p>
    <w:p w14:paraId="6D13C138" w14:textId="37E8C207" w:rsidR="000104CC" w:rsidRPr="005601C3" w:rsidRDefault="0051725A" w:rsidP="00F44065">
      <w:pPr>
        <w:ind w:left="426" w:hanging="426"/>
        <w:rPr>
          <w:rFonts w:asciiTheme="minorHAnsi" w:hAnsiTheme="minorHAnsi" w:cstheme="minorHAnsi"/>
          <w:bCs/>
          <w:color w:val="000000" w:themeColor="text1"/>
        </w:rPr>
      </w:pPr>
      <w:r w:rsidRPr="005601C3">
        <w:rPr>
          <w:rFonts w:asciiTheme="minorHAnsi" w:hAnsiTheme="minorHAnsi"/>
          <w:color w:val="000000" w:themeColor="text1"/>
        </w:rPr>
        <w:t>14.</w:t>
      </w:r>
      <w:r w:rsidRPr="005601C3">
        <w:rPr>
          <w:rFonts w:asciiTheme="minorHAnsi" w:hAnsiTheme="minorHAnsi"/>
          <w:color w:val="000000" w:themeColor="text1"/>
        </w:rPr>
        <w:tab/>
        <w:t>La deuxième réunion du YWG s’est tenue virtuellement le 3 mai 2023. Le YWG a échangé sur les conclusions des ateliers précédents et a décidé de commencer à travailler sur le plan de travail du YWG.</w:t>
      </w:r>
    </w:p>
    <w:p w14:paraId="63556974" w14:textId="77777777" w:rsidR="008F4369" w:rsidRPr="005601C3" w:rsidRDefault="008F4369" w:rsidP="00F44065">
      <w:pPr>
        <w:pStyle w:val="ColorfulList-Accent11"/>
        <w:ind w:left="426" w:hanging="426"/>
        <w:rPr>
          <w:rFonts w:cs="Calibri"/>
        </w:rPr>
      </w:pPr>
    </w:p>
    <w:p w14:paraId="414055E1" w14:textId="17566B59" w:rsidR="00015124" w:rsidRPr="005601C3" w:rsidRDefault="0051725A" w:rsidP="00F44065">
      <w:pPr>
        <w:pStyle w:val="ColorfulList-Accent11"/>
        <w:ind w:left="426" w:hanging="426"/>
        <w:rPr>
          <w:rFonts w:cs="Calibri"/>
        </w:rPr>
      </w:pPr>
      <w:r w:rsidRPr="005601C3">
        <w:t>15.</w:t>
      </w:r>
      <w:r w:rsidRPr="005601C3">
        <w:tab/>
        <w:t xml:space="preserve">Le YWG a nommé l’Iran (République islamique d’) en tant que représentant du YWG auprès du Groupe d’évaluation scientifique et technique (GEST), et l’Australie en tant que représentant du YWG auprès du Groupe de travail sur le </w:t>
      </w:r>
      <w:r w:rsidR="000D0760">
        <w:t>P</w:t>
      </w:r>
      <w:r w:rsidRPr="005601C3">
        <w:t>lan stratégique.</w:t>
      </w:r>
    </w:p>
    <w:p w14:paraId="22F449BD" w14:textId="77777777" w:rsidR="00C467F9" w:rsidRPr="005601C3" w:rsidRDefault="00C467F9" w:rsidP="00F44065">
      <w:pPr>
        <w:ind w:left="567" w:hanging="567"/>
        <w:rPr>
          <w:rFonts w:asciiTheme="minorHAnsi" w:hAnsiTheme="minorHAnsi" w:cstheme="minorHAnsi"/>
          <w:bCs/>
        </w:rPr>
      </w:pPr>
    </w:p>
    <w:p w14:paraId="10BD9076" w14:textId="47A14690" w:rsidR="00C467F9" w:rsidRPr="005601C3" w:rsidRDefault="00C467F9" w:rsidP="00F44065">
      <w:pPr>
        <w:ind w:left="567" w:right="-187" w:hanging="567"/>
        <w:rPr>
          <w:rFonts w:asciiTheme="minorHAnsi" w:hAnsiTheme="minorHAnsi" w:cstheme="minorHAnsi"/>
          <w:b/>
          <w:bCs/>
        </w:rPr>
      </w:pPr>
      <w:r w:rsidRPr="005601C3">
        <w:rPr>
          <w:rFonts w:asciiTheme="minorHAnsi" w:hAnsiTheme="minorHAnsi"/>
          <w:b/>
        </w:rPr>
        <w:t>Conseiller des jeunes</w:t>
      </w:r>
    </w:p>
    <w:p w14:paraId="535BA634" w14:textId="77777777" w:rsidR="00C467F9" w:rsidRPr="005601C3" w:rsidRDefault="00C467F9" w:rsidP="00F44065">
      <w:pPr>
        <w:pStyle w:val="ListParagraph"/>
        <w:ind w:left="567" w:hanging="567"/>
        <w:contextualSpacing w:val="0"/>
        <w:rPr>
          <w:rFonts w:asciiTheme="minorHAnsi" w:hAnsiTheme="minorHAnsi" w:cstheme="minorHAnsi"/>
          <w:bCs/>
        </w:rPr>
      </w:pPr>
    </w:p>
    <w:p w14:paraId="4E3670DF" w14:textId="01E348EE" w:rsidR="00915AE2" w:rsidRPr="005601C3" w:rsidRDefault="0051725A" w:rsidP="00F44065">
      <w:pPr>
        <w:pStyle w:val="ColorfulList-Accent11"/>
        <w:ind w:left="426"/>
      </w:pPr>
      <w:r w:rsidRPr="005601C3">
        <w:t>16.</w:t>
      </w:r>
      <w:r w:rsidRPr="005601C3">
        <w:tab/>
        <w:t xml:space="preserve">Au paragraphe 17, la Résolution XIV.12 demande l’emploi d’un conseiller des jeunes au Secrétariat dans le but de faciliter l'engagement et les projets des jeunes et pour aider à coordonner ce programme de travail. </w:t>
      </w:r>
      <w:r w:rsidR="00012D79">
        <w:t>Afin de soutenir l’emploi d’un conseiller des jeunes, le Secrétariat</w:t>
      </w:r>
      <w:r w:rsidRPr="005601C3">
        <w:t xml:space="preserve"> sollicite des contributions volontaires </w:t>
      </w:r>
      <w:r w:rsidR="00012D79">
        <w:t xml:space="preserve">auprès des </w:t>
      </w:r>
      <w:r w:rsidR="00012D79" w:rsidRPr="005601C3">
        <w:t>Parties contractantes ayant des ressources disponibles</w:t>
      </w:r>
      <w:r w:rsidRPr="005601C3">
        <w:t>.</w:t>
      </w:r>
    </w:p>
    <w:sectPr w:rsidR="00915AE2" w:rsidRPr="005601C3" w:rsidSect="00F44065">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3CEB9" w14:textId="77777777" w:rsidR="00CA2D1D" w:rsidRDefault="00CA2D1D" w:rsidP="00DF16AB">
      <w:r>
        <w:separator/>
      </w:r>
    </w:p>
  </w:endnote>
  <w:endnote w:type="continuationSeparator" w:id="0">
    <w:p w14:paraId="60DDC834" w14:textId="77777777" w:rsidR="00CA2D1D" w:rsidRDefault="00CA2D1D" w:rsidP="00DF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067E7" w14:textId="4B3A4BC9" w:rsidR="0051725A" w:rsidRPr="00F44065" w:rsidRDefault="00E220EE">
    <w:pPr>
      <w:pStyle w:val="Footer"/>
      <w:rPr>
        <w:sz w:val="20"/>
        <w:szCs w:val="20"/>
      </w:rPr>
    </w:pPr>
    <w:r>
      <w:rPr>
        <w:sz w:val="20"/>
      </w:rPr>
      <w:t>SC62 Doc.17</w:t>
    </w:r>
    <w:r>
      <w:rPr>
        <w:sz w:val="20"/>
      </w:rPr>
      <w:tab/>
    </w:r>
    <w:r>
      <w:rPr>
        <w:sz w:val="20"/>
      </w:rPr>
      <w:tab/>
    </w:r>
    <w:r w:rsidR="0051725A" w:rsidRPr="0051725A">
      <w:rPr>
        <w:sz w:val="20"/>
      </w:rPr>
      <w:fldChar w:fldCharType="begin"/>
    </w:r>
    <w:r w:rsidR="0051725A" w:rsidRPr="0051725A">
      <w:rPr>
        <w:sz w:val="20"/>
      </w:rPr>
      <w:instrText xml:space="preserve"> PAGE   \* MERGEFORMAT </w:instrText>
    </w:r>
    <w:r w:rsidR="0051725A" w:rsidRPr="0051725A">
      <w:rPr>
        <w:sz w:val="20"/>
      </w:rPr>
      <w:fldChar w:fldCharType="separate"/>
    </w:r>
    <w:r w:rsidR="009256CF">
      <w:rPr>
        <w:noProof/>
        <w:sz w:val="20"/>
      </w:rPr>
      <w:t>3</w:t>
    </w:r>
    <w:r w:rsidR="0051725A" w:rsidRPr="0051725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A650C" w14:textId="77777777" w:rsidR="00CA2D1D" w:rsidRDefault="00CA2D1D" w:rsidP="00DF16AB">
      <w:r>
        <w:separator/>
      </w:r>
    </w:p>
  </w:footnote>
  <w:footnote w:type="continuationSeparator" w:id="0">
    <w:p w14:paraId="79092A37" w14:textId="77777777" w:rsidR="00CA2D1D" w:rsidRDefault="00CA2D1D" w:rsidP="00DF1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3F0"/>
    <w:multiLevelType w:val="hybridMultilevel"/>
    <w:tmpl w:val="3C96C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8255A7"/>
    <w:multiLevelType w:val="hybridMultilevel"/>
    <w:tmpl w:val="3EDAA8AA"/>
    <w:lvl w:ilvl="0" w:tplc="1EE45DE6">
      <w:start w:val="1"/>
      <w:numFmt w:val="bullet"/>
      <w:lvlText w:val="-"/>
      <w:lvlJc w:val="left"/>
      <w:pPr>
        <w:ind w:left="720" w:hanging="360"/>
      </w:pPr>
      <w:rPr>
        <w:rFonts w:ascii="Yu Gothic" w:eastAsia="Yu Gothic" w:hAnsi="Yu Gothic" w:hint="eastAsia"/>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BB7F72"/>
    <w:multiLevelType w:val="hybridMultilevel"/>
    <w:tmpl w:val="0A48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D555C"/>
    <w:multiLevelType w:val="hybridMultilevel"/>
    <w:tmpl w:val="065649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2A4E38"/>
    <w:multiLevelType w:val="hybridMultilevel"/>
    <w:tmpl w:val="06564960"/>
    <w:lvl w:ilvl="0" w:tplc="0C09000F">
      <w:start w:val="1"/>
      <w:numFmt w:val="decimal"/>
      <w:lvlText w:val="%1."/>
      <w:lvlJc w:val="left"/>
      <w:pPr>
        <w:ind w:left="357" w:hanging="360"/>
      </w:pPr>
    </w:lvl>
    <w:lvl w:ilvl="1" w:tplc="0C090019">
      <w:start w:val="1"/>
      <w:numFmt w:val="lowerLetter"/>
      <w:lvlText w:val="%2."/>
      <w:lvlJc w:val="left"/>
      <w:pPr>
        <w:ind w:left="1077" w:hanging="360"/>
      </w:pPr>
    </w:lvl>
    <w:lvl w:ilvl="2" w:tplc="0C09001B">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5" w15:restartNumberingAfterBreak="0">
    <w:nsid w:val="2B646615"/>
    <w:multiLevelType w:val="hybridMultilevel"/>
    <w:tmpl w:val="5266975A"/>
    <w:lvl w:ilvl="0" w:tplc="A8DC7D10">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6" w15:restartNumberingAfterBreak="0">
    <w:nsid w:val="467C49D5"/>
    <w:multiLevelType w:val="hybridMultilevel"/>
    <w:tmpl w:val="43D6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6B1E23"/>
    <w:multiLevelType w:val="hybridMultilevel"/>
    <w:tmpl w:val="09FE953A"/>
    <w:lvl w:ilvl="0" w:tplc="0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24033F"/>
    <w:multiLevelType w:val="hybridMultilevel"/>
    <w:tmpl w:val="8A648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0C112AB"/>
    <w:multiLevelType w:val="hybridMultilevel"/>
    <w:tmpl w:val="665C4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3308B8"/>
    <w:multiLevelType w:val="hybridMultilevel"/>
    <w:tmpl w:val="6276A13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75A463F7"/>
    <w:multiLevelType w:val="hybridMultilevel"/>
    <w:tmpl w:val="A32E8544"/>
    <w:lvl w:ilvl="0" w:tplc="D61A4CDA">
      <w:start w:val="1"/>
      <w:numFmt w:val="upp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79EE60E5"/>
    <w:multiLevelType w:val="hybridMultilevel"/>
    <w:tmpl w:val="5282D0E0"/>
    <w:lvl w:ilvl="0" w:tplc="FD60E36C">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7ACE15D1"/>
    <w:multiLevelType w:val="hybridMultilevel"/>
    <w:tmpl w:val="27CE72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9"/>
  </w:num>
  <w:num w:numId="5">
    <w:abstractNumId w:val="6"/>
  </w:num>
  <w:num w:numId="6">
    <w:abstractNumId w:val="2"/>
  </w:num>
  <w:num w:numId="7">
    <w:abstractNumId w:val="4"/>
  </w:num>
  <w:num w:numId="8">
    <w:abstractNumId w:val="10"/>
  </w:num>
  <w:num w:numId="9">
    <w:abstractNumId w:val="7"/>
  </w:num>
  <w:num w:numId="10">
    <w:abstractNumId w:val="5"/>
  </w:num>
  <w:num w:numId="11">
    <w:abstractNumId w:val="12"/>
  </w:num>
  <w:num w:numId="12">
    <w:abstractNumId w:val="6"/>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4E"/>
    <w:rsid w:val="000104CC"/>
    <w:rsid w:val="00012D79"/>
    <w:rsid w:val="0001398E"/>
    <w:rsid w:val="00015124"/>
    <w:rsid w:val="00044983"/>
    <w:rsid w:val="00052249"/>
    <w:rsid w:val="0006245C"/>
    <w:rsid w:val="000C3315"/>
    <w:rsid w:val="000C5687"/>
    <w:rsid w:val="000D0760"/>
    <w:rsid w:val="00105D59"/>
    <w:rsid w:val="001169B8"/>
    <w:rsid w:val="00121053"/>
    <w:rsid w:val="00123203"/>
    <w:rsid w:val="00133471"/>
    <w:rsid w:val="00137E6B"/>
    <w:rsid w:val="00145837"/>
    <w:rsid w:val="0016014E"/>
    <w:rsid w:val="00172079"/>
    <w:rsid w:val="001922BF"/>
    <w:rsid w:val="001A469B"/>
    <w:rsid w:val="001A7385"/>
    <w:rsid w:val="001B224B"/>
    <w:rsid w:val="001C0251"/>
    <w:rsid w:val="001D1006"/>
    <w:rsid w:val="001F2926"/>
    <w:rsid w:val="001F773C"/>
    <w:rsid w:val="00211E39"/>
    <w:rsid w:val="002239F2"/>
    <w:rsid w:val="00230ADF"/>
    <w:rsid w:val="002364DF"/>
    <w:rsid w:val="002366E5"/>
    <w:rsid w:val="00244CA4"/>
    <w:rsid w:val="002471C9"/>
    <w:rsid w:val="00250BF8"/>
    <w:rsid w:val="00250CF2"/>
    <w:rsid w:val="00257237"/>
    <w:rsid w:val="00280A27"/>
    <w:rsid w:val="00283F77"/>
    <w:rsid w:val="00297124"/>
    <w:rsid w:val="00297855"/>
    <w:rsid w:val="002B07D6"/>
    <w:rsid w:val="002D197A"/>
    <w:rsid w:val="002D3D7F"/>
    <w:rsid w:val="002D52B7"/>
    <w:rsid w:val="002E7337"/>
    <w:rsid w:val="002E7B73"/>
    <w:rsid w:val="002E7EDB"/>
    <w:rsid w:val="002F1826"/>
    <w:rsid w:val="00301D20"/>
    <w:rsid w:val="00307197"/>
    <w:rsid w:val="003163C6"/>
    <w:rsid w:val="00324069"/>
    <w:rsid w:val="00333A0D"/>
    <w:rsid w:val="003745B7"/>
    <w:rsid w:val="003748F4"/>
    <w:rsid w:val="0038305C"/>
    <w:rsid w:val="00386E6C"/>
    <w:rsid w:val="00387961"/>
    <w:rsid w:val="003D1F6F"/>
    <w:rsid w:val="003D7BC9"/>
    <w:rsid w:val="003E549D"/>
    <w:rsid w:val="00404494"/>
    <w:rsid w:val="00416ED2"/>
    <w:rsid w:val="00420FD1"/>
    <w:rsid w:val="00423306"/>
    <w:rsid w:val="00434864"/>
    <w:rsid w:val="00446563"/>
    <w:rsid w:val="00451C32"/>
    <w:rsid w:val="00452742"/>
    <w:rsid w:val="0045339F"/>
    <w:rsid w:val="00471D26"/>
    <w:rsid w:val="0048242B"/>
    <w:rsid w:val="00482A4D"/>
    <w:rsid w:val="00487F57"/>
    <w:rsid w:val="0049639F"/>
    <w:rsid w:val="004B1DB7"/>
    <w:rsid w:val="004C490B"/>
    <w:rsid w:val="004C4E1E"/>
    <w:rsid w:val="004D3888"/>
    <w:rsid w:val="004D73FD"/>
    <w:rsid w:val="004D7828"/>
    <w:rsid w:val="004F1BB2"/>
    <w:rsid w:val="0051725A"/>
    <w:rsid w:val="005269D9"/>
    <w:rsid w:val="005432CA"/>
    <w:rsid w:val="005455D0"/>
    <w:rsid w:val="005535FB"/>
    <w:rsid w:val="00555598"/>
    <w:rsid w:val="005576DC"/>
    <w:rsid w:val="005601C3"/>
    <w:rsid w:val="00565563"/>
    <w:rsid w:val="0057313F"/>
    <w:rsid w:val="005B44AA"/>
    <w:rsid w:val="005D4724"/>
    <w:rsid w:val="005E29EB"/>
    <w:rsid w:val="00611422"/>
    <w:rsid w:val="00624784"/>
    <w:rsid w:val="006273A3"/>
    <w:rsid w:val="00630139"/>
    <w:rsid w:val="00635112"/>
    <w:rsid w:val="0064794D"/>
    <w:rsid w:val="006518C2"/>
    <w:rsid w:val="00655F23"/>
    <w:rsid w:val="0066133B"/>
    <w:rsid w:val="00666DEC"/>
    <w:rsid w:val="00666E40"/>
    <w:rsid w:val="0067732F"/>
    <w:rsid w:val="00684C7D"/>
    <w:rsid w:val="00693F2F"/>
    <w:rsid w:val="006950C1"/>
    <w:rsid w:val="0069517A"/>
    <w:rsid w:val="0069548B"/>
    <w:rsid w:val="006A3E60"/>
    <w:rsid w:val="006A6757"/>
    <w:rsid w:val="006D74D3"/>
    <w:rsid w:val="006E216F"/>
    <w:rsid w:val="006E5E26"/>
    <w:rsid w:val="006F6463"/>
    <w:rsid w:val="00700240"/>
    <w:rsid w:val="00707ED8"/>
    <w:rsid w:val="00710886"/>
    <w:rsid w:val="0071661A"/>
    <w:rsid w:val="00717D29"/>
    <w:rsid w:val="0072546B"/>
    <w:rsid w:val="00730BD6"/>
    <w:rsid w:val="0073284B"/>
    <w:rsid w:val="00745959"/>
    <w:rsid w:val="00750D39"/>
    <w:rsid w:val="00754CFE"/>
    <w:rsid w:val="00755BAF"/>
    <w:rsid w:val="007657F3"/>
    <w:rsid w:val="00772DAB"/>
    <w:rsid w:val="00796A4C"/>
    <w:rsid w:val="007C31A2"/>
    <w:rsid w:val="007D3033"/>
    <w:rsid w:val="007D4FD8"/>
    <w:rsid w:val="007D60E3"/>
    <w:rsid w:val="007D61D6"/>
    <w:rsid w:val="007E4D95"/>
    <w:rsid w:val="007F1159"/>
    <w:rsid w:val="007F5EB8"/>
    <w:rsid w:val="008019B8"/>
    <w:rsid w:val="008023BD"/>
    <w:rsid w:val="008122F1"/>
    <w:rsid w:val="00817F52"/>
    <w:rsid w:val="00824811"/>
    <w:rsid w:val="008942DC"/>
    <w:rsid w:val="008A17F9"/>
    <w:rsid w:val="008A3089"/>
    <w:rsid w:val="008A47C5"/>
    <w:rsid w:val="008C09A0"/>
    <w:rsid w:val="008C1D78"/>
    <w:rsid w:val="008C323E"/>
    <w:rsid w:val="008D4144"/>
    <w:rsid w:val="008E54AB"/>
    <w:rsid w:val="008F4369"/>
    <w:rsid w:val="00915AE2"/>
    <w:rsid w:val="0091761A"/>
    <w:rsid w:val="009256CF"/>
    <w:rsid w:val="009258BB"/>
    <w:rsid w:val="00927222"/>
    <w:rsid w:val="009276BB"/>
    <w:rsid w:val="00942B53"/>
    <w:rsid w:val="00957379"/>
    <w:rsid w:val="00965531"/>
    <w:rsid w:val="00987365"/>
    <w:rsid w:val="00997800"/>
    <w:rsid w:val="009A192C"/>
    <w:rsid w:val="009A4120"/>
    <w:rsid w:val="009A507E"/>
    <w:rsid w:val="009A63E7"/>
    <w:rsid w:val="009B1423"/>
    <w:rsid w:val="009B4A0D"/>
    <w:rsid w:val="009B6620"/>
    <w:rsid w:val="009D1A1A"/>
    <w:rsid w:val="009D2699"/>
    <w:rsid w:val="009D3A7D"/>
    <w:rsid w:val="009E17EF"/>
    <w:rsid w:val="009F1CA9"/>
    <w:rsid w:val="00A123F6"/>
    <w:rsid w:val="00A124CC"/>
    <w:rsid w:val="00A15219"/>
    <w:rsid w:val="00A22A59"/>
    <w:rsid w:val="00A3638E"/>
    <w:rsid w:val="00A41195"/>
    <w:rsid w:val="00A4164A"/>
    <w:rsid w:val="00A46833"/>
    <w:rsid w:val="00A61878"/>
    <w:rsid w:val="00A72666"/>
    <w:rsid w:val="00A7438D"/>
    <w:rsid w:val="00A973C9"/>
    <w:rsid w:val="00AA6CC9"/>
    <w:rsid w:val="00AC694D"/>
    <w:rsid w:val="00AF4153"/>
    <w:rsid w:val="00B02CA0"/>
    <w:rsid w:val="00B1014D"/>
    <w:rsid w:val="00B21F94"/>
    <w:rsid w:val="00B26680"/>
    <w:rsid w:val="00B34B4A"/>
    <w:rsid w:val="00B37F05"/>
    <w:rsid w:val="00B660D3"/>
    <w:rsid w:val="00B7559D"/>
    <w:rsid w:val="00B77A5E"/>
    <w:rsid w:val="00B8318B"/>
    <w:rsid w:val="00B87E03"/>
    <w:rsid w:val="00B968EC"/>
    <w:rsid w:val="00BB4057"/>
    <w:rsid w:val="00BD3C62"/>
    <w:rsid w:val="00BE14EE"/>
    <w:rsid w:val="00C00AD9"/>
    <w:rsid w:val="00C01679"/>
    <w:rsid w:val="00C01697"/>
    <w:rsid w:val="00C05E11"/>
    <w:rsid w:val="00C11ECE"/>
    <w:rsid w:val="00C16880"/>
    <w:rsid w:val="00C467F9"/>
    <w:rsid w:val="00C53074"/>
    <w:rsid w:val="00C80711"/>
    <w:rsid w:val="00C87061"/>
    <w:rsid w:val="00C87C32"/>
    <w:rsid w:val="00CA17DA"/>
    <w:rsid w:val="00CA2D1D"/>
    <w:rsid w:val="00CB2CBD"/>
    <w:rsid w:val="00CB6425"/>
    <w:rsid w:val="00CB6EE2"/>
    <w:rsid w:val="00CB7B0D"/>
    <w:rsid w:val="00CD4674"/>
    <w:rsid w:val="00CE6084"/>
    <w:rsid w:val="00CE6BCA"/>
    <w:rsid w:val="00D01A7F"/>
    <w:rsid w:val="00D07B7D"/>
    <w:rsid w:val="00D15DE5"/>
    <w:rsid w:val="00D244C4"/>
    <w:rsid w:val="00D41F17"/>
    <w:rsid w:val="00D45D73"/>
    <w:rsid w:val="00D72AA7"/>
    <w:rsid w:val="00D809F0"/>
    <w:rsid w:val="00D8528E"/>
    <w:rsid w:val="00D916EA"/>
    <w:rsid w:val="00D937D1"/>
    <w:rsid w:val="00D951AB"/>
    <w:rsid w:val="00D97F1B"/>
    <w:rsid w:val="00DA5977"/>
    <w:rsid w:val="00DB674E"/>
    <w:rsid w:val="00DB799E"/>
    <w:rsid w:val="00DC0FB4"/>
    <w:rsid w:val="00DC10AA"/>
    <w:rsid w:val="00DC1DF5"/>
    <w:rsid w:val="00DC68E9"/>
    <w:rsid w:val="00DE4430"/>
    <w:rsid w:val="00DE6D96"/>
    <w:rsid w:val="00DF16AB"/>
    <w:rsid w:val="00DF25E8"/>
    <w:rsid w:val="00DF4299"/>
    <w:rsid w:val="00E0522E"/>
    <w:rsid w:val="00E220EE"/>
    <w:rsid w:val="00E34839"/>
    <w:rsid w:val="00E50BEB"/>
    <w:rsid w:val="00E568CF"/>
    <w:rsid w:val="00E72797"/>
    <w:rsid w:val="00E74BB7"/>
    <w:rsid w:val="00E87711"/>
    <w:rsid w:val="00E96F12"/>
    <w:rsid w:val="00E977EE"/>
    <w:rsid w:val="00EA3391"/>
    <w:rsid w:val="00EA4B20"/>
    <w:rsid w:val="00EA69DF"/>
    <w:rsid w:val="00EA7457"/>
    <w:rsid w:val="00EC3E20"/>
    <w:rsid w:val="00ED15E6"/>
    <w:rsid w:val="00EE0441"/>
    <w:rsid w:val="00EE6F57"/>
    <w:rsid w:val="00EE73D8"/>
    <w:rsid w:val="00F15559"/>
    <w:rsid w:val="00F173D3"/>
    <w:rsid w:val="00F256D0"/>
    <w:rsid w:val="00F25E16"/>
    <w:rsid w:val="00F26729"/>
    <w:rsid w:val="00F3068B"/>
    <w:rsid w:val="00F44065"/>
    <w:rsid w:val="00F612C6"/>
    <w:rsid w:val="00F8068B"/>
    <w:rsid w:val="00F862C3"/>
    <w:rsid w:val="00F86755"/>
    <w:rsid w:val="00F86FF5"/>
    <w:rsid w:val="00FA04A1"/>
    <w:rsid w:val="00FA2F13"/>
    <w:rsid w:val="00FC2088"/>
    <w:rsid w:val="00FC3D1E"/>
    <w:rsid w:val="00FD471B"/>
    <w:rsid w:val="00FE6D9E"/>
    <w:rsid w:val="082773D0"/>
    <w:rsid w:val="1B75397C"/>
    <w:rsid w:val="6033A70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327B4"/>
  <w15:chartTrackingRefBased/>
  <w15:docId w15:val="{74EDD251-82D9-458B-B394-F22EEC6B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14E"/>
    <w:pPr>
      <w:spacing w:after="0" w:line="240" w:lineRule="auto"/>
      <w:ind w:left="425" w:hanging="42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c para Char,List Paragraph (numbered (a)) Char"/>
    <w:link w:val="ListParagraph"/>
    <w:uiPriority w:val="34"/>
    <w:locked/>
    <w:rsid w:val="0016014E"/>
    <w:rPr>
      <w:rFonts w:ascii="Calibri" w:eastAsia="Calibri" w:hAnsi="Calibri" w:cs="Times New Roman"/>
      <w:lang w:val="fr-FR"/>
    </w:rPr>
  </w:style>
  <w:style w:type="paragraph" w:styleId="ListParagraph">
    <w:name w:val="List Paragraph"/>
    <w:aliases w:val="Rec para,List Paragraph (numbered (a))"/>
    <w:basedOn w:val="Normal"/>
    <w:link w:val="ListParagraphChar"/>
    <w:uiPriority w:val="34"/>
    <w:qFormat/>
    <w:rsid w:val="0016014E"/>
    <w:pPr>
      <w:ind w:left="720"/>
      <w:contextualSpacing/>
    </w:pPr>
  </w:style>
  <w:style w:type="paragraph" w:styleId="FootnoteText">
    <w:name w:val="footnote text"/>
    <w:basedOn w:val="Normal"/>
    <w:link w:val="FootnoteTextChar"/>
    <w:uiPriority w:val="99"/>
    <w:semiHidden/>
    <w:unhideWhenUsed/>
    <w:rsid w:val="00DF16AB"/>
    <w:rPr>
      <w:sz w:val="20"/>
      <w:szCs w:val="20"/>
    </w:rPr>
  </w:style>
  <w:style w:type="character" w:customStyle="1" w:styleId="FootnoteTextChar">
    <w:name w:val="Footnote Text Char"/>
    <w:basedOn w:val="DefaultParagraphFont"/>
    <w:link w:val="FootnoteText"/>
    <w:uiPriority w:val="99"/>
    <w:semiHidden/>
    <w:rsid w:val="00DF16AB"/>
    <w:rPr>
      <w:rFonts w:ascii="Calibri" w:eastAsia="Calibri" w:hAnsi="Calibri" w:cs="Times New Roman"/>
      <w:sz w:val="20"/>
      <w:szCs w:val="20"/>
      <w:lang w:val="fr-FR"/>
    </w:rPr>
  </w:style>
  <w:style w:type="character" w:styleId="FootnoteReference">
    <w:name w:val="footnote reference"/>
    <w:basedOn w:val="DefaultParagraphFont"/>
    <w:uiPriority w:val="99"/>
    <w:semiHidden/>
    <w:unhideWhenUsed/>
    <w:rsid w:val="00DF16AB"/>
    <w:rPr>
      <w:vertAlign w:val="superscript"/>
    </w:rPr>
  </w:style>
  <w:style w:type="paragraph" w:customStyle="1" w:styleId="ColorfulList-Accent11">
    <w:name w:val="Colorful List - Accent 11"/>
    <w:basedOn w:val="Normal"/>
    <w:uiPriority w:val="34"/>
    <w:qFormat/>
    <w:rsid w:val="00416ED2"/>
    <w:pPr>
      <w:ind w:left="720"/>
      <w:contextualSpacing/>
    </w:pPr>
  </w:style>
  <w:style w:type="paragraph" w:customStyle="1" w:styleId="Default">
    <w:name w:val="Default"/>
    <w:rsid w:val="00915AE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B7B0D"/>
    <w:pPr>
      <w:tabs>
        <w:tab w:val="center" w:pos="4513"/>
        <w:tab w:val="right" w:pos="9026"/>
      </w:tabs>
    </w:pPr>
  </w:style>
  <w:style w:type="character" w:customStyle="1" w:styleId="HeaderChar">
    <w:name w:val="Header Char"/>
    <w:basedOn w:val="DefaultParagraphFont"/>
    <w:link w:val="Header"/>
    <w:uiPriority w:val="99"/>
    <w:rsid w:val="00CB7B0D"/>
    <w:rPr>
      <w:rFonts w:ascii="Calibri" w:eastAsia="Calibri" w:hAnsi="Calibri" w:cs="Times New Roman"/>
      <w:lang w:val="fr-FR"/>
    </w:rPr>
  </w:style>
  <w:style w:type="paragraph" w:styleId="Footer">
    <w:name w:val="footer"/>
    <w:basedOn w:val="Normal"/>
    <w:link w:val="FooterChar"/>
    <w:uiPriority w:val="99"/>
    <w:unhideWhenUsed/>
    <w:rsid w:val="00CB7B0D"/>
    <w:pPr>
      <w:tabs>
        <w:tab w:val="center" w:pos="4513"/>
        <w:tab w:val="right" w:pos="9026"/>
      </w:tabs>
    </w:pPr>
  </w:style>
  <w:style w:type="character" w:customStyle="1" w:styleId="FooterChar">
    <w:name w:val="Footer Char"/>
    <w:basedOn w:val="DefaultParagraphFont"/>
    <w:link w:val="Footer"/>
    <w:uiPriority w:val="99"/>
    <w:rsid w:val="00CB7B0D"/>
    <w:rPr>
      <w:rFonts w:ascii="Calibri" w:eastAsia="Calibri" w:hAnsi="Calibri" w:cs="Times New Roman"/>
      <w:lang w:val="fr-FR"/>
    </w:rPr>
  </w:style>
  <w:style w:type="paragraph" w:styleId="Revision">
    <w:name w:val="Revision"/>
    <w:hidden/>
    <w:uiPriority w:val="99"/>
    <w:semiHidden/>
    <w:rsid w:val="00FC208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C323E"/>
    <w:rPr>
      <w:rFonts w:ascii="Arial" w:hAnsi="Arial" w:cs="Arial"/>
      <w:sz w:val="18"/>
      <w:szCs w:val="18"/>
    </w:rPr>
  </w:style>
  <w:style w:type="character" w:customStyle="1" w:styleId="BalloonTextChar">
    <w:name w:val="Balloon Text Char"/>
    <w:basedOn w:val="DefaultParagraphFont"/>
    <w:link w:val="BalloonText"/>
    <w:uiPriority w:val="99"/>
    <w:semiHidden/>
    <w:rsid w:val="008C323E"/>
    <w:rPr>
      <w:rFonts w:ascii="Arial" w:eastAsia="Calibri" w:hAnsi="Arial" w:cs="Arial"/>
      <w:sz w:val="18"/>
      <w:szCs w:val="18"/>
      <w:lang w:val="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09A0"/>
    <w:rPr>
      <w:b/>
      <w:bCs/>
    </w:rPr>
  </w:style>
  <w:style w:type="character" w:customStyle="1" w:styleId="CommentSubjectChar">
    <w:name w:val="Comment Subject Char"/>
    <w:basedOn w:val="CommentTextChar"/>
    <w:link w:val="CommentSubject"/>
    <w:uiPriority w:val="99"/>
    <w:semiHidden/>
    <w:rsid w:val="008C09A0"/>
    <w:rPr>
      <w:rFonts w:ascii="Calibri" w:eastAsia="Calibri" w:hAnsi="Calibri"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68381">
      <w:bodyDiv w:val="1"/>
      <w:marLeft w:val="0"/>
      <w:marRight w:val="0"/>
      <w:marTop w:val="0"/>
      <w:marBottom w:val="0"/>
      <w:divBdr>
        <w:top w:val="none" w:sz="0" w:space="0" w:color="auto"/>
        <w:left w:val="none" w:sz="0" w:space="0" w:color="auto"/>
        <w:bottom w:val="none" w:sz="0" w:space="0" w:color="auto"/>
        <w:right w:val="none" w:sz="0" w:space="0" w:color="auto"/>
      </w:divBdr>
    </w:div>
    <w:div w:id="1096054353">
      <w:bodyDiv w:val="1"/>
      <w:marLeft w:val="0"/>
      <w:marRight w:val="0"/>
      <w:marTop w:val="0"/>
      <w:marBottom w:val="0"/>
      <w:divBdr>
        <w:top w:val="none" w:sz="0" w:space="0" w:color="auto"/>
        <w:left w:val="none" w:sz="0" w:space="0" w:color="auto"/>
        <w:bottom w:val="none" w:sz="0" w:space="0" w:color="auto"/>
        <w:right w:val="none" w:sz="0" w:space="0" w:color="auto"/>
      </w:divBdr>
    </w:div>
    <w:div w:id="1303271096">
      <w:bodyDiv w:val="1"/>
      <w:marLeft w:val="0"/>
      <w:marRight w:val="0"/>
      <w:marTop w:val="0"/>
      <w:marBottom w:val="0"/>
      <w:divBdr>
        <w:top w:val="none" w:sz="0" w:space="0" w:color="auto"/>
        <w:left w:val="none" w:sz="0" w:space="0" w:color="auto"/>
        <w:bottom w:val="none" w:sz="0" w:space="0" w:color="auto"/>
        <w:right w:val="none" w:sz="0" w:space="0" w:color="auto"/>
      </w:divBdr>
      <w:divsChild>
        <w:div w:id="1484279548">
          <w:marLeft w:val="0"/>
          <w:marRight w:val="0"/>
          <w:marTop w:val="0"/>
          <w:marBottom w:val="0"/>
          <w:divBdr>
            <w:top w:val="none" w:sz="0" w:space="0" w:color="auto"/>
            <w:left w:val="none" w:sz="0" w:space="0" w:color="auto"/>
            <w:bottom w:val="none" w:sz="0" w:space="0" w:color="auto"/>
            <w:right w:val="none" w:sz="0" w:space="0" w:color="auto"/>
          </w:divBdr>
        </w:div>
        <w:div w:id="921644025">
          <w:marLeft w:val="0"/>
          <w:marRight w:val="0"/>
          <w:marTop w:val="0"/>
          <w:marBottom w:val="0"/>
          <w:divBdr>
            <w:top w:val="none" w:sz="0" w:space="0" w:color="auto"/>
            <w:left w:val="none" w:sz="0" w:space="0" w:color="auto"/>
            <w:bottom w:val="none" w:sz="0" w:space="0" w:color="auto"/>
            <w:right w:val="none" w:sz="0" w:space="0" w:color="auto"/>
          </w:divBdr>
        </w:div>
        <w:div w:id="53090641">
          <w:marLeft w:val="0"/>
          <w:marRight w:val="0"/>
          <w:marTop w:val="0"/>
          <w:marBottom w:val="0"/>
          <w:divBdr>
            <w:top w:val="none" w:sz="0" w:space="0" w:color="auto"/>
            <w:left w:val="none" w:sz="0" w:space="0" w:color="auto"/>
            <w:bottom w:val="none" w:sz="0" w:space="0" w:color="auto"/>
            <w:right w:val="none" w:sz="0" w:space="0" w:color="auto"/>
          </w:divBdr>
        </w:div>
      </w:divsChild>
    </w:div>
    <w:div w:id="1471555469">
      <w:bodyDiv w:val="1"/>
      <w:marLeft w:val="0"/>
      <w:marRight w:val="0"/>
      <w:marTop w:val="0"/>
      <w:marBottom w:val="0"/>
      <w:divBdr>
        <w:top w:val="none" w:sz="0" w:space="0" w:color="auto"/>
        <w:left w:val="none" w:sz="0" w:space="0" w:color="auto"/>
        <w:bottom w:val="none" w:sz="0" w:space="0" w:color="auto"/>
        <w:right w:val="none" w:sz="0" w:space="0" w:color="auto"/>
      </w:divBdr>
    </w:div>
    <w:div w:id="1492484079">
      <w:bodyDiv w:val="1"/>
      <w:marLeft w:val="0"/>
      <w:marRight w:val="0"/>
      <w:marTop w:val="0"/>
      <w:marBottom w:val="0"/>
      <w:divBdr>
        <w:top w:val="none" w:sz="0" w:space="0" w:color="auto"/>
        <w:left w:val="none" w:sz="0" w:space="0" w:color="auto"/>
        <w:bottom w:val="none" w:sz="0" w:space="0" w:color="auto"/>
        <w:right w:val="none" w:sz="0" w:space="0" w:color="auto"/>
      </w:divBdr>
    </w:div>
    <w:div w:id="1826823561">
      <w:bodyDiv w:val="1"/>
      <w:marLeft w:val="0"/>
      <w:marRight w:val="0"/>
      <w:marTop w:val="0"/>
      <w:marBottom w:val="0"/>
      <w:divBdr>
        <w:top w:val="none" w:sz="0" w:space="0" w:color="auto"/>
        <w:left w:val="none" w:sz="0" w:space="0" w:color="auto"/>
        <w:bottom w:val="none" w:sz="0" w:space="0" w:color="auto"/>
        <w:right w:val="none" w:sz="0" w:space="0" w:color="auto"/>
      </w:divBdr>
    </w:div>
    <w:div w:id="19648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8913f9-f658-49ad-a093-b53919ef12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5" ma:contentTypeDescription="Create a new document." ma:contentTypeScope="" ma:versionID="1ad1d3e574010c2b697b6c74c9370700">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cc5066b6cd73c94acbc636a704092c2b"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95611-34CC-49DD-93B2-1EE235CE8740}">
  <ds:schemaRefs>
    <ds:schemaRef ds:uri="http://schemas.microsoft.com/sharepoint/v3/contenttype/forms"/>
  </ds:schemaRefs>
</ds:datastoreItem>
</file>

<file path=customXml/itemProps2.xml><?xml version="1.0" encoding="utf-8"?>
<ds:datastoreItem xmlns:ds="http://schemas.openxmlformats.org/officeDocument/2006/customXml" ds:itemID="{0267F2C8-7FDA-42EB-B5FC-7BCDDA5F800B}">
  <ds:schemaRefs>
    <ds:schemaRef ds:uri="http://www.w3.org/XML/1998/namespace"/>
    <ds:schemaRef ds:uri="http://purl.org/dc/elements/1.1/"/>
    <ds:schemaRef ds:uri="a28913f9-f658-49ad-a093-b53919ef12c6"/>
    <ds:schemaRef ds:uri="c68b630d-a516-445e-9d53-7d1a6d7959c9"/>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329C4D0-52D0-45F5-BB11-C71DBD6FE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1A143-13AA-43E1-B5A6-6AD58281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5631</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Ed Jennings</cp:lastModifiedBy>
  <cp:revision>2</cp:revision>
  <dcterms:created xsi:type="dcterms:W3CDTF">2023-06-02T13:08:00Z</dcterms:created>
  <dcterms:modified xsi:type="dcterms:W3CDTF">2023-06-02T13:08:00Z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